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7CBA5" w14:textId="1C4E5A3C" w:rsidR="00097600" w:rsidRPr="0054098D" w:rsidRDefault="00B13378" w:rsidP="00097600">
      <w:pPr>
        <w:pStyle w:val="af6"/>
        <w:ind w:left="5529"/>
        <w:rPr>
          <w:snapToGrid w:val="0"/>
          <w:sz w:val="24"/>
          <w:szCs w:val="24"/>
        </w:rPr>
      </w:pPr>
      <w:r>
        <w:rPr>
          <w:snapToGrid w:val="0"/>
          <w:sz w:val="24"/>
          <w:szCs w:val="24"/>
          <w:lang w:val="kk-KZ"/>
        </w:rPr>
        <w:t>«</w:t>
      </w:r>
      <w:r w:rsidR="0054098D" w:rsidRPr="0054098D">
        <w:rPr>
          <w:snapToGrid w:val="0"/>
          <w:sz w:val="24"/>
          <w:szCs w:val="24"/>
          <w:lang w:val="kk"/>
        </w:rPr>
        <w:t xml:space="preserve">Қазақстан Республикасы  </w:t>
      </w:r>
    </w:p>
    <w:p w14:paraId="105C631E" w14:textId="77777777" w:rsidR="00097600" w:rsidRPr="00097600" w:rsidRDefault="0054098D" w:rsidP="00097600">
      <w:pPr>
        <w:pStyle w:val="af6"/>
        <w:ind w:left="5529"/>
        <w:rPr>
          <w:bCs/>
          <w:snapToGrid w:val="0"/>
          <w:sz w:val="24"/>
          <w:szCs w:val="24"/>
        </w:rPr>
      </w:pPr>
      <w:r w:rsidRPr="00097600">
        <w:rPr>
          <w:bCs/>
          <w:snapToGrid w:val="0"/>
          <w:sz w:val="24"/>
          <w:szCs w:val="24"/>
          <w:lang w:val="kk"/>
        </w:rPr>
        <w:t xml:space="preserve">Денсаулық сақтау министрлігі   </w:t>
      </w:r>
    </w:p>
    <w:p w14:paraId="43533823" w14:textId="77777777" w:rsidR="00097600" w:rsidRPr="00097600" w:rsidRDefault="0054098D" w:rsidP="00097600">
      <w:pPr>
        <w:pStyle w:val="af6"/>
        <w:ind w:left="5529"/>
        <w:rPr>
          <w:bCs/>
          <w:snapToGrid w:val="0"/>
          <w:sz w:val="24"/>
          <w:szCs w:val="24"/>
        </w:rPr>
      </w:pPr>
      <w:r w:rsidRPr="00097600">
        <w:rPr>
          <w:bCs/>
          <w:snapToGrid w:val="0"/>
          <w:sz w:val="24"/>
          <w:szCs w:val="24"/>
          <w:lang w:val="kk"/>
        </w:rPr>
        <w:t>Медициналық және фармацевтикалық</w:t>
      </w:r>
    </w:p>
    <w:p w14:paraId="6A9D6011" w14:textId="77777777" w:rsidR="00097600" w:rsidRPr="00097600" w:rsidRDefault="0054098D" w:rsidP="00097600">
      <w:pPr>
        <w:pStyle w:val="af6"/>
        <w:ind w:left="5529"/>
        <w:rPr>
          <w:bCs/>
          <w:snapToGrid w:val="0"/>
          <w:sz w:val="24"/>
          <w:szCs w:val="24"/>
        </w:rPr>
      </w:pPr>
      <w:r w:rsidRPr="00097600">
        <w:rPr>
          <w:bCs/>
          <w:snapToGrid w:val="0"/>
          <w:sz w:val="24"/>
          <w:szCs w:val="24"/>
          <w:lang w:val="kk"/>
        </w:rPr>
        <w:t xml:space="preserve">бақылау  </w:t>
      </w:r>
    </w:p>
    <w:p w14:paraId="327B65B6" w14:textId="77777777" w:rsidR="00097600" w:rsidRPr="00097600" w:rsidRDefault="0054098D" w:rsidP="00097600">
      <w:pPr>
        <w:pStyle w:val="af6"/>
        <w:ind w:left="5529"/>
        <w:rPr>
          <w:bCs/>
          <w:snapToGrid w:val="0"/>
          <w:sz w:val="24"/>
          <w:szCs w:val="24"/>
        </w:rPr>
      </w:pPr>
      <w:r w:rsidRPr="00097600">
        <w:rPr>
          <w:bCs/>
          <w:snapToGrid w:val="0"/>
          <w:sz w:val="24"/>
          <w:szCs w:val="24"/>
          <w:lang w:val="kk"/>
        </w:rPr>
        <w:t>комитеті» РММ төрағасының</w:t>
      </w:r>
    </w:p>
    <w:p w14:paraId="25A4DB59" w14:textId="77777777" w:rsidR="006B2B71" w:rsidRPr="006B2B71" w:rsidRDefault="006B2B71" w:rsidP="006B2B71">
      <w:pPr>
        <w:pStyle w:val="af6"/>
        <w:ind w:left="5529"/>
        <w:rPr>
          <w:bCs/>
          <w:snapToGrid w:val="0"/>
          <w:sz w:val="24"/>
          <w:szCs w:val="24"/>
          <w:lang w:val="kk"/>
        </w:rPr>
      </w:pPr>
      <w:r w:rsidRPr="006B2B71">
        <w:rPr>
          <w:bCs/>
          <w:snapToGrid w:val="0"/>
          <w:sz w:val="24"/>
          <w:szCs w:val="24"/>
          <w:lang w:val="kk"/>
        </w:rPr>
        <w:t xml:space="preserve">2022   ж. «19» 09  </w:t>
      </w:r>
    </w:p>
    <w:p w14:paraId="4CE35D32" w14:textId="77777777" w:rsidR="006B2B71" w:rsidRDefault="006B2B71" w:rsidP="006B2B71">
      <w:pPr>
        <w:pStyle w:val="af6"/>
        <w:ind w:left="5529"/>
        <w:rPr>
          <w:bCs/>
          <w:snapToGrid w:val="0"/>
          <w:sz w:val="24"/>
          <w:szCs w:val="24"/>
          <w:lang w:val="kk"/>
        </w:rPr>
      </w:pPr>
      <w:r w:rsidRPr="006B2B71">
        <w:rPr>
          <w:bCs/>
          <w:snapToGrid w:val="0"/>
          <w:sz w:val="24"/>
          <w:szCs w:val="24"/>
          <w:lang w:val="kk"/>
        </w:rPr>
        <w:t>№N056281</w:t>
      </w:r>
      <w:r w:rsidR="0054098D" w:rsidRPr="00097600">
        <w:rPr>
          <w:bCs/>
          <w:snapToGrid w:val="0"/>
          <w:sz w:val="24"/>
          <w:szCs w:val="24"/>
          <w:lang w:val="kk"/>
        </w:rPr>
        <w:t xml:space="preserve"> бұйрығымен </w:t>
      </w:r>
    </w:p>
    <w:p w14:paraId="32BD7692" w14:textId="3127548C" w:rsidR="00EC4F3F" w:rsidRPr="00097600" w:rsidRDefault="0054098D" w:rsidP="006B2B71">
      <w:pPr>
        <w:pStyle w:val="af6"/>
        <w:ind w:left="5529"/>
        <w:rPr>
          <w:bCs/>
          <w:sz w:val="24"/>
          <w:szCs w:val="24"/>
        </w:rPr>
      </w:pPr>
      <w:r w:rsidRPr="0054098D">
        <w:rPr>
          <w:b/>
          <w:bCs/>
          <w:snapToGrid w:val="0"/>
          <w:sz w:val="24"/>
          <w:szCs w:val="24"/>
          <w:lang w:val="kk"/>
        </w:rPr>
        <w:t>БЕКІТІЛГЕН</w:t>
      </w:r>
    </w:p>
    <w:p w14:paraId="18F14C18" w14:textId="77777777" w:rsidR="00097600" w:rsidRDefault="00097600" w:rsidP="00C96598">
      <w:pPr>
        <w:pStyle w:val="af6"/>
        <w:jc w:val="center"/>
        <w:rPr>
          <w:b/>
          <w:sz w:val="24"/>
          <w:szCs w:val="24"/>
        </w:rPr>
      </w:pPr>
    </w:p>
    <w:p w14:paraId="32BD7694" w14:textId="5FBBAC7B" w:rsidR="00CF2D83" w:rsidRPr="001047C3" w:rsidRDefault="0054098D" w:rsidP="00097600">
      <w:pPr>
        <w:pStyle w:val="af6"/>
        <w:jc w:val="center"/>
        <w:rPr>
          <w:b/>
          <w:sz w:val="24"/>
          <w:szCs w:val="24"/>
        </w:rPr>
      </w:pPr>
      <w:r w:rsidRPr="001047C3">
        <w:rPr>
          <w:b/>
          <w:sz w:val="24"/>
          <w:szCs w:val="24"/>
          <w:lang w:val="kk"/>
        </w:rPr>
        <w:t xml:space="preserve">ДӘРІЛІК ЗАТТЫҢ ЖАЛПЫ СИПАТТАМАСЫ </w:t>
      </w:r>
    </w:p>
    <w:p w14:paraId="32BD7695" w14:textId="4B9C6EC1" w:rsidR="005B7BE0" w:rsidRPr="00D618E1" w:rsidRDefault="0067103A" w:rsidP="005B7BE0">
      <w:pPr>
        <w:shd w:val="clear" w:color="auto" w:fill="FFFFFF"/>
        <w:rPr>
          <w:lang w:val="kk"/>
        </w:rPr>
      </w:pPr>
      <w:r w:rsidRPr="00D618E1">
        <w:rPr>
          <w:lang w:val="kk"/>
        </w:rPr>
        <w:t>▼</w:t>
      </w:r>
      <w:r w:rsidR="0054098D" w:rsidRPr="00D618E1">
        <w:rPr>
          <w:lang w:val="kk"/>
        </w:rPr>
        <w:t>Дәрілік препаратқа қауіпсіздігі туралы жаңа мәліметтерді жылдам анықтауға ықпал ететін қосымша мониторинг өткізіледі.  Бұл қауіпсіздігі жөніндегі жаңа ақпаратты қысқа мерзімде анықтауға мүмкіндік береді.  Кез келген күмәнді жағымсыз реакциялар туралы хабарлау өтінімімен денсаулық сақтау жүйесінің қызметкерлеріне жүгінеміз.</w:t>
      </w:r>
    </w:p>
    <w:p w14:paraId="32BD7696" w14:textId="77777777" w:rsidR="00CF2D83" w:rsidRPr="0054098D" w:rsidRDefault="00CF2D83" w:rsidP="00CF2D83">
      <w:pPr>
        <w:pStyle w:val="af6"/>
        <w:jc w:val="center"/>
        <w:rPr>
          <w:b/>
          <w:sz w:val="28"/>
          <w:szCs w:val="28"/>
          <w:lang w:val="kk"/>
        </w:rPr>
      </w:pPr>
    </w:p>
    <w:p w14:paraId="32BD7698" w14:textId="4254FBF2" w:rsidR="00B07C97" w:rsidRPr="00C96598" w:rsidRDefault="0054098D" w:rsidP="00C96598">
      <w:pPr>
        <w:numPr>
          <w:ilvl w:val="0"/>
          <w:numId w:val="19"/>
        </w:numPr>
        <w:shd w:val="clear" w:color="auto" w:fill="FFFFFF"/>
        <w:jc w:val="both"/>
      </w:pPr>
      <w:r w:rsidRPr="00810340">
        <w:rPr>
          <w:b/>
          <w:bCs/>
          <w:spacing w:val="2"/>
          <w:lang w:val="kk"/>
        </w:rPr>
        <w:t>ДӘРІЛІК ПРЕПАРАТ АТАУЫ</w:t>
      </w:r>
    </w:p>
    <w:p w14:paraId="32BD7699" w14:textId="65FE6526" w:rsidR="00CF2D83" w:rsidRPr="00810340" w:rsidRDefault="0054098D" w:rsidP="00EC28F8">
      <w:pPr>
        <w:keepNext/>
        <w:widowControl w:val="0"/>
        <w:ind w:right="-459"/>
        <w:jc w:val="both"/>
        <w:outlineLvl w:val="5"/>
      </w:pPr>
      <w:r>
        <w:rPr>
          <w:rFonts w:eastAsia="Arial Unicode MS"/>
          <w:bCs/>
          <w:iCs/>
          <w:lang w:val="kk"/>
        </w:rPr>
        <w:t xml:space="preserve">Ривамус, 10 мг, үлбірлі қабықпен қапталған таблеткалар </w:t>
      </w:r>
    </w:p>
    <w:p w14:paraId="32BD769A" w14:textId="77777777" w:rsidR="00B07C97" w:rsidRPr="00810340" w:rsidRDefault="00B07C97" w:rsidP="00CF2D83"/>
    <w:p w14:paraId="32BD769B" w14:textId="77777777" w:rsidR="00CF2D83" w:rsidRPr="00810340" w:rsidRDefault="0054098D" w:rsidP="00CF2D83">
      <w:pPr>
        <w:numPr>
          <w:ilvl w:val="0"/>
          <w:numId w:val="19"/>
        </w:numPr>
        <w:shd w:val="clear" w:color="auto" w:fill="FFFFFF"/>
        <w:jc w:val="both"/>
        <w:rPr>
          <w:b/>
        </w:rPr>
      </w:pPr>
      <w:r w:rsidRPr="00810340">
        <w:rPr>
          <w:b/>
          <w:bCs/>
          <w:lang w:val="kk"/>
        </w:rPr>
        <w:t>САПАЛЫҚ ЖӘНЕ САНДЫҚ ҚҰРАМЫ</w:t>
      </w:r>
    </w:p>
    <w:p w14:paraId="32BD769C" w14:textId="7654C1AD" w:rsidR="00CF2D83" w:rsidRPr="00512475" w:rsidRDefault="0054098D" w:rsidP="00810340">
      <w:pPr>
        <w:shd w:val="clear" w:color="auto" w:fill="FFFFFF"/>
        <w:jc w:val="both"/>
        <w:rPr>
          <w:b/>
          <w:bCs/>
        </w:rPr>
      </w:pPr>
      <w:r w:rsidRPr="00512475">
        <w:rPr>
          <w:b/>
          <w:bCs/>
          <w:lang w:val="kk"/>
        </w:rPr>
        <w:t>2.1 Жалпы сипаттамасы</w:t>
      </w:r>
    </w:p>
    <w:p w14:paraId="2C970D46" w14:textId="256F6673" w:rsidR="00B449C6" w:rsidRDefault="0054098D" w:rsidP="00810340">
      <w:pPr>
        <w:shd w:val="clear" w:color="auto" w:fill="FFFFFF"/>
        <w:jc w:val="both"/>
      </w:pPr>
      <w:r>
        <w:rPr>
          <w:lang w:val="kk"/>
        </w:rPr>
        <w:t>Ривароксабан</w:t>
      </w:r>
    </w:p>
    <w:p w14:paraId="14A3E70C" w14:textId="3E497181" w:rsidR="00B449C6" w:rsidRPr="00512475" w:rsidRDefault="0054098D" w:rsidP="00810340">
      <w:pPr>
        <w:shd w:val="clear" w:color="auto" w:fill="FFFFFF"/>
        <w:jc w:val="both"/>
        <w:rPr>
          <w:b/>
          <w:bCs/>
        </w:rPr>
      </w:pPr>
      <w:r w:rsidRPr="00512475">
        <w:rPr>
          <w:b/>
          <w:bCs/>
          <w:lang w:val="kk"/>
        </w:rPr>
        <w:t>2.2 Сапалық және сандық құрамы</w:t>
      </w:r>
    </w:p>
    <w:p w14:paraId="32BD769D" w14:textId="77777777" w:rsidR="00EC28F8" w:rsidRPr="00C96598" w:rsidRDefault="0054098D" w:rsidP="00EC28F8">
      <w:pPr>
        <w:shd w:val="clear" w:color="auto" w:fill="FFFFFF"/>
      </w:pPr>
      <w:r w:rsidRPr="00C96598">
        <w:rPr>
          <w:lang w:val="kk"/>
        </w:rPr>
        <w:t>Бір таблетканың құрамында</w:t>
      </w:r>
    </w:p>
    <w:p w14:paraId="32BD769E" w14:textId="39F242AA" w:rsidR="00EC28F8" w:rsidRPr="00810340" w:rsidRDefault="0054098D" w:rsidP="00EC28F8">
      <w:pPr>
        <w:shd w:val="clear" w:color="auto" w:fill="FFFFFF"/>
      </w:pPr>
      <w:r w:rsidRPr="00C96598">
        <w:rPr>
          <w:i/>
          <w:lang w:val="kk"/>
        </w:rPr>
        <w:t>белсенді зат</w:t>
      </w:r>
      <w:r w:rsidRPr="00810340">
        <w:rPr>
          <w:lang w:val="kk"/>
        </w:rPr>
        <w:t xml:space="preserve"> - 10 мг ривароксабан.</w:t>
      </w:r>
    </w:p>
    <w:p w14:paraId="32BD76A0" w14:textId="65A1B3E8" w:rsidR="005B7BE0" w:rsidRPr="00342450" w:rsidRDefault="0054098D" w:rsidP="00E84A86">
      <w:pPr>
        <w:shd w:val="clear" w:color="auto" w:fill="FFFFFF"/>
        <w:jc w:val="both"/>
        <w:rPr>
          <w:iCs/>
          <w:u w:val="single"/>
        </w:rPr>
      </w:pPr>
      <w:r w:rsidRPr="00342450">
        <w:rPr>
          <w:iCs/>
          <w:lang w:val="kk"/>
        </w:rPr>
        <w:t>Дәрілік препараттың құрамында бар екендігін ескеру қажет қосымша заттар: лактоза моногидраты (Pharmatose 200</w:t>
      </w:r>
      <w:r w:rsidR="00605195">
        <w:rPr>
          <w:iCs/>
          <w:lang w:val="en-US"/>
        </w:rPr>
        <w:t>M</w:t>
      </w:r>
      <w:r w:rsidRPr="00342450">
        <w:rPr>
          <w:iCs/>
          <w:lang w:val="kk"/>
        </w:rPr>
        <w:t xml:space="preserve">), натрий кроскармеллозасы, натрий лаурилсульфаты (Kolliphore SLS fine), натрий кроскармеллозасы (Primollose). </w:t>
      </w:r>
    </w:p>
    <w:p w14:paraId="32BD76A1" w14:textId="18671C09" w:rsidR="00CF2D83" w:rsidRPr="00810340" w:rsidRDefault="0054098D" w:rsidP="00E84A86">
      <w:pPr>
        <w:shd w:val="clear" w:color="auto" w:fill="FFFFFF"/>
        <w:jc w:val="both"/>
        <w:rPr>
          <w:bCs/>
        </w:rPr>
      </w:pPr>
      <w:r w:rsidRPr="00810340">
        <w:rPr>
          <w:lang w:val="kk"/>
        </w:rPr>
        <w:t xml:space="preserve">Қосымша заттардың толық тізімін 6.1 бөлімінен қараңыз </w:t>
      </w:r>
    </w:p>
    <w:p w14:paraId="32BD76A2" w14:textId="77777777" w:rsidR="00661595" w:rsidRPr="00810340" w:rsidRDefault="00661595" w:rsidP="00B07C97">
      <w:pPr>
        <w:jc w:val="both"/>
      </w:pPr>
    </w:p>
    <w:p w14:paraId="32BD76A4" w14:textId="0811E797" w:rsidR="00CF2D83" w:rsidRPr="00810340" w:rsidRDefault="0054098D" w:rsidP="00C96598">
      <w:pPr>
        <w:numPr>
          <w:ilvl w:val="0"/>
          <w:numId w:val="19"/>
        </w:numPr>
        <w:shd w:val="clear" w:color="auto" w:fill="FFFFFF"/>
        <w:jc w:val="both"/>
        <w:outlineLvl w:val="0"/>
      </w:pPr>
      <w:r w:rsidRPr="00810340">
        <w:rPr>
          <w:b/>
          <w:bCs/>
          <w:lang w:val="kk"/>
        </w:rPr>
        <w:t xml:space="preserve">ДӘРІЛІК ТҮРІ </w:t>
      </w:r>
    </w:p>
    <w:p w14:paraId="32BD76A5" w14:textId="77777777" w:rsidR="00CF2D83" w:rsidRPr="00810340" w:rsidRDefault="0054098D" w:rsidP="00CF2D83">
      <w:pPr>
        <w:jc w:val="both"/>
      </w:pPr>
      <w:r w:rsidRPr="00810340">
        <w:rPr>
          <w:lang w:val="kk"/>
        </w:rPr>
        <w:t xml:space="preserve">Үлбірлі қабықпен қапталған таблеткалар </w:t>
      </w:r>
    </w:p>
    <w:p w14:paraId="04D31CC0" w14:textId="5CF9CC07" w:rsidR="00942DAE" w:rsidRDefault="0054098D" w:rsidP="00835847">
      <w:pPr>
        <w:jc w:val="both"/>
      </w:pPr>
      <w:r w:rsidRPr="008D02D6">
        <w:rPr>
          <w:lang w:val="kk"/>
        </w:rPr>
        <w:t>Дөңгелек пішінді, бір жағында "ОР" және екінші жағында "1" өрнегі бар қызғылт түсті үлбірлі қабықпен қапталған таблеткалар.</w:t>
      </w:r>
    </w:p>
    <w:p w14:paraId="165B0246" w14:textId="77777777" w:rsidR="008D02D6" w:rsidRPr="00D22BB0" w:rsidRDefault="008D02D6" w:rsidP="00835847">
      <w:pPr>
        <w:jc w:val="both"/>
        <w:rPr>
          <w:b/>
        </w:rPr>
      </w:pPr>
    </w:p>
    <w:p w14:paraId="32BD76A9" w14:textId="376D5729" w:rsidR="00CF2D83" w:rsidRPr="00C96598" w:rsidRDefault="0054098D" w:rsidP="00C96598">
      <w:pPr>
        <w:numPr>
          <w:ilvl w:val="0"/>
          <w:numId w:val="19"/>
        </w:numPr>
        <w:shd w:val="clear" w:color="auto" w:fill="FFFFFF"/>
        <w:jc w:val="both"/>
        <w:rPr>
          <w:b/>
          <w:bCs/>
          <w:spacing w:val="2"/>
        </w:rPr>
      </w:pPr>
      <w:r w:rsidRPr="00810340">
        <w:rPr>
          <w:b/>
          <w:bCs/>
          <w:spacing w:val="2"/>
          <w:lang w:val="kk"/>
        </w:rPr>
        <w:t xml:space="preserve">КЛИНИКАЛЫҚ ДЕРЕКТЕРІ </w:t>
      </w:r>
    </w:p>
    <w:p w14:paraId="32BD76AB" w14:textId="78B581D4" w:rsidR="00B07C97" w:rsidRPr="00B449C6" w:rsidRDefault="0054098D" w:rsidP="00C96598">
      <w:pPr>
        <w:shd w:val="clear" w:color="auto" w:fill="FFFFFF"/>
      </w:pPr>
      <w:r w:rsidRPr="00810340">
        <w:rPr>
          <w:b/>
          <w:bCs/>
          <w:spacing w:val="2"/>
          <w:lang w:val="kk"/>
        </w:rPr>
        <w:t>4.1 Қолданылуы</w:t>
      </w:r>
    </w:p>
    <w:p w14:paraId="32BD76AD" w14:textId="66429C39" w:rsidR="00FD2D00" w:rsidRPr="00810340" w:rsidRDefault="0054098D" w:rsidP="00B64900">
      <w:pPr>
        <w:jc w:val="both"/>
      </w:pPr>
      <w:r w:rsidRPr="00810340">
        <w:rPr>
          <w:lang w:val="kk"/>
        </w:rPr>
        <w:t>- ұршықбуынды немесе тізебуынды жоспарлы протездеуден кейінгі ересек пациенттерде веналық тромбоэмболияның (ВТЭ) профилактикасы</w:t>
      </w:r>
    </w:p>
    <w:p w14:paraId="32BD76AE" w14:textId="383B4B8A" w:rsidR="00EC28F8" w:rsidRPr="000D268C" w:rsidRDefault="0054098D" w:rsidP="00B64900">
      <w:pPr>
        <w:jc w:val="both"/>
      </w:pPr>
      <w:r w:rsidRPr="00810340">
        <w:rPr>
          <w:lang w:val="kk"/>
        </w:rPr>
        <w:t>- терең веналар тромбозын (ТВТ) және өкпе артериясының тромбоэмболиясын (ӨАТЭ) емдеу, сондай-ақ ересектерде ТВТ және ӨАТЭ қайталануының профилактикасы (4.4 бөлімін қараңыз)</w:t>
      </w:r>
    </w:p>
    <w:p w14:paraId="32BD76AF" w14:textId="77777777" w:rsidR="00FD2D00" w:rsidRPr="00810340" w:rsidRDefault="00FD2D00" w:rsidP="00FD2D00"/>
    <w:p w14:paraId="32BD76B1" w14:textId="24701A70" w:rsidR="00FD2D00" w:rsidRPr="00C96598" w:rsidRDefault="0054098D" w:rsidP="00C96598">
      <w:pPr>
        <w:shd w:val="clear" w:color="auto" w:fill="FFFFFF"/>
      </w:pPr>
      <w:r w:rsidRPr="00810340">
        <w:rPr>
          <w:b/>
          <w:bCs/>
          <w:lang w:val="kk"/>
        </w:rPr>
        <w:t xml:space="preserve">4.2 Дозалау режимі және қолдану тәсілі </w:t>
      </w:r>
    </w:p>
    <w:p w14:paraId="32BD76BA" w14:textId="4BCF776F" w:rsidR="00FD2D00" w:rsidRPr="007309D9" w:rsidRDefault="0054098D" w:rsidP="007309D9">
      <w:pPr>
        <w:pStyle w:val="BodyText21"/>
        <w:tabs>
          <w:tab w:val="left" w:pos="708"/>
        </w:tabs>
        <w:spacing w:before="0"/>
        <w:rPr>
          <w:b/>
          <w:szCs w:val="24"/>
        </w:rPr>
      </w:pPr>
      <w:r w:rsidRPr="00B44468">
        <w:rPr>
          <w:b/>
          <w:szCs w:val="24"/>
          <w:lang w:val="kk"/>
        </w:rPr>
        <w:t>Дозалау режимі</w:t>
      </w:r>
    </w:p>
    <w:p w14:paraId="32BD76BB" w14:textId="77777777" w:rsidR="00FD2D00" w:rsidRPr="00810340" w:rsidRDefault="0054098D" w:rsidP="00FD2D00">
      <w:pPr>
        <w:jc w:val="both"/>
        <w:rPr>
          <w:i/>
        </w:rPr>
      </w:pPr>
      <w:r w:rsidRPr="00810340">
        <w:rPr>
          <w:i/>
          <w:lang w:val="kk"/>
        </w:rPr>
        <w:t>Ұршықбуынды немесе тізебуынды жоспарлы протездеуден кейінгі ересек пациенттерде веналық тромбоэмболияның (ВТЭ) профилактикасы</w:t>
      </w:r>
    </w:p>
    <w:p w14:paraId="32BD76BC" w14:textId="31C1077A" w:rsidR="00FD2D00" w:rsidRPr="0054098D" w:rsidRDefault="0054098D" w:rsidP="00FD2D00">
      <w:pPr>
        <w:jc w:val="both"/>
        <w:rPr>
          <w:lang w:val="kk"/>
        </w:rPr>
      </w:pPr>
      <w:r w:rsidRPr="00810340">
        <w:rPr>
          <w:rFonts w:eastAsia="SimSun"/>
          <w:lang w:val="kk" w:eastAsia="zh-CN"/>
        </w:rPr>
        <w:t>Ұсынылатын доза тәулігіне 1 рет 10 мг ривароксабанның 1 таблеткасын құрайды. Бірінші дозаны қол жеткізілген гемостаз жағдайында операциядан кейін 6-10 сағаттан кейін қабылдау керек.</w:t>
      </w:r>
    </w:p>
    <w:p w14:paraId="32BD76BD" w14:textId="77777777" w:rsidR="00FD2D00" w:rsidRPr="0054098D" w:rsidRDefault="0054098D" w:rsidP="00FD2D00">
      <w:pPr>
        <w:jc w:val="both"/>
        <w:rPr>
          <w:lang w:val="kk"/>
        </w:rPr>
      </w:pPr>
      <w:r w:rsidRPr="00810340">
        <w:rPr>
          <w:lang w:val="kk"/>
        </w:rPr>
        <w:t xml:space="preserve">Емдеу ұзақтығы үлкен ортопедиялық операцияның түрімен анықталады және пациентте ВТЭ дамуының жеке қаупіне байланысты. </w:t>
      </w:r>
    </w:p>
    <w:p w14:paraId="32BD76BE" w14:textId="77777777" w:rsidR="00FD2D00" w:rsidRPr="0054098D" w:rsidRDefault="0054098D" w:rsidP="00FD2D00">
      <w:pPr>
        <w:jc w:val="both"/>
        <w:rPr>
          <w:lang w:val="kk"/>
        </w:rPr>
      </w:pPr>
      <w:r w:rsidRPr="00810340">
        <w:rPr>
          <w:lang w:val="kk"/>
        </w:rPr>
        <w:lastRenderedPageBreak/>
        <w:t xml:space="preserve">-Ұршықбуынға жасалған үлкен операциядан кейін емдеудің ұсынылған ұзақтығы 5 аптаны құрайды. </w:t>
      </w:r>
    </w:p>
    <w:p w14:paraId="32BD76BF" w14:textId="77777777" w:rsidR="00FD2D00" w:rsidRPr="0054098D" w:rsidRDefault="0054098D" w:rsidP="00FD2D00">
      <w:pPr>
        <w:jc w:val="both"/>
        <w:rPr>
          <w:lang w:val="kk"/>
        </w:rPr>
      </w:pPr>
      <w:r w:rsidRPr="00810340">
        <w:rPr>
          <w:lang w:val="kk"/>
        </w:rPr>
        <w:t>- Тізебуынға жасалған үлкен операциядан кейін емдеудің ұсынылған ұзақтығы 2 аптаны құрайды.</w:t>
      </w:r>
    </w:p>
    <w:p w14:paraId="32BD76C1" w14:textId="3C2D9590" w:rsidR="00FD2D00" w:rsidRPr="0054098D" w:rsidRDefault="0054098D" w:rsidP="00FD2D00">
      <w:pPr>
        <w:jc w:val="both"/>
        <w:rPr>
          <w:lang w:val="kk"/>
        </w:rPr>
      </w:pPr>
      <w:r w:rsidRPr="008F4079">
        <w:rPr>
          <w:lang w:val="kk"/>
        </w:rPr>
        <w:t>Дозаны өткізіп алған жағдайда пациентке ривароксабан таблеткасын дереу қабылдау керек және келесі күні дозаны өткізіп алғанға дейін тәулігіне 1 рет қабылдауды жалғастыру керек.</w:t>
      </w:r>
    </w:p>
    <w:p w14:paraId="32BD76C2" w14:textId="77777777" w:rsidR="00FD2D00" w:rsidRPr="0054098D" w:rsidRDefault="0054098D" w:rsidP="00FD2D00">
      <w:pPr>
        <w:jc w:val="both"/>
        <w:rPr>
          <w:i/>
          <w:lang w:val="kk"/>
        </w:rPr>
      </w:pPr>
      <w:r w:rsidRPr="008F4079">
        <w:rPr>
          <w:bCs/>
          <w:i/>
          <w:color w:val="000000"/>
          <w:lang w:val="kk" w:eastAsia="en-US"/>
        </w:rPr>
        <w:t>Терең веналар тромбозын (ТВТ) және өкпе артериясының тромбоэмболиясын (ӨАТЭ) емдеу, сондай-ақ ересектерде ТВТ және ӨАТЭ қайталануының профилактикасы</w:t>
      </w:r>
    </w:p>
    <w:p w14:paraId="32BD76C3" w14:textId="4410058E" w:rsidR="00FD2D00" w:rsidRPr="0054098D" w:rsidRDefault="0054098D" w:rsidP="00FD2D00">
      <w:pPr>
        <w:tabs>
          <w:tab w:val="center" w:pos="4153"/>
          <w:tab w:val="right" w:pos="8306"/>
        </w:tabs>
        <w:jc w:val="both"/>
        <w:rPr>
          <w:lang w:val="kk"/>
        </w:rPr>
      </w:pPr>
      <w:r w:rsidRPr="008F4079">
        <w:rPr>
          <w:lang w:val="kk"/>
        </w:rPr>
        <w:t>Жедел ТВТ немесе ӨАТЭ бастапқы емдеу үшін ривароксабанның ұсынылған дозасы алғашқы 3 апта ішінде тәулігіне екі рет 15 мг құрайды, содан кейін ТВТ және ӨАТЭ қайталануын емдеуді жалғастыру және профилактикасы үшін тәулігіне бір рет 20 мг ривароксабанды қабылдайды.</w:t>
      </w:r>
    </w:p>
    <w:p w14:paraId="32BD76C4" w14:textId="20BB9700" w:rsidR="00FD2D00" w:rsidRPr="0054098D" w:rsidRDefault="0054098D" w:rsidP="00FD2D00">
      <w:pPr>
        <w:tabs>
          <w:tab w:val="center" w:pos="4153"/>
          <w:tab w:val="right" w:pos="8306"/>
        </w:tabs>
        <w:jc w:val="both"/>
        <w:rPr>
          <w:lang w:val="kk"/>
        </w:rPr>
      </w:pPr>
      <w:r w:rsidRPr="008F4079">
        <w:rPr>
          <w:lang w:val="kk"/>
        </w:rPr>
        <w:t xml:space="preserve">Қысқамерзімді емді (кем дегенде 3 ай) үлкен өткінші қауіп факторлары (мысалы, жақында болған ауқымды хирургиялық операциялар немесе жарақаттар) туындатқан ТВТ және ӨАТЭ бар пациенттерде қарастыру керек. Ұзағырақ емді үлкен өткінші қауіп факторларымен байланыспаған, ТВТ немесе ӨАТЭ қоздырған, ТВТ немесе ӨАТЭ қоздырмаған немесе анамнезінде ТВТ немесе ӨАТЭ қайталануы бар пациенттерде қарастыру керек.     </w:t>
      </w:r>
    </w:p>
    <w:p w14:paraId="32BD76C5" w14:textId="03EF5901" w:rsidR="00FD2D00" w:rsidRPr="0054098D" w:rsidRDefault="0054098D" w:rsidP="00FD2D00">
      <w:pPr>
        <w:tabs>
          <w:tab w:val="center" w:pos="4153"/>
          <w:tab w:val="right" w:pos="8306"/>
        </w:tabs>
        <w:jc w:val="both"/>
        <w:rPr>
          <w:lang w:val="kk"/>
        </w:rPr>
      </w:pPr>
      <w:r w:rsidRPr="008F4079">
        <w:rPr>
          <w:lang w:val="kk"/>
        </w:rPr>
        <w:t xml:space="preserve">ТВТ және ӨАТЭ қайталануының ұзартылған профилактикасына көрсетілімдер болған кезде (ТВТ немесе ӨАТЭ кем дегенде 6 ай бойы емдеуден кейін) ұсынылған доза тәулігіне бір рет 10 мг құрайды. Тәулігіне бір рет 10 мг профилактикалық дозада Ривамус препаратымен ұзартылған ем аясында асқынған қатарлас аурулардың немесе ТВТ немесе ӨАТЭ қайталануының сияқты болуы ТВТ немесе ӨАТЭ  қайталануының жоғары қаупі бар пациенттер тәулігіне бір рет 20 мг ривароксабан дозасын қабылдауды қарау керек.   </w:t>
      </w:r>
    </w:p>
    <w:p w14:paraId="32BD76C7" w14:textId="5AF1F3BE" w:rsidR="009C25DD" w:rsidRPr="0054098D" w:rsidRDefault="0054098D" w:rsidP="00FD2D00">
      <w:pPr>
        <w:tabs>
          <w:tab w:val="center" w:pos="4153"/>
          <w:tab w:val="right" w:pos="8306"/>
        </w:tabs>
        <w:jc w:val="both"/>
        <w:rPr>
          <w:lang w:val="kk"/>
        </w:rPr>
      </w:pPr>
      <w:r w:rsidRPr="008F4079">
        <w:rPr>
          <w:lang w:val="kk"/>
        </w:rPr>
        <w:t>Емдеу ұзақтығы мен дозасы – қан кету қаупіне қатысты емдеу пайдасын мұқият бағалағаннан кейін жекелей таңдалуы тиіс (4.4 бөлімін қараңыз).</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9"/>
        <w:gridCol w:w="2250"/>
        <w:gridCol w:w="2381"/>
        <w:gridCol w:w="2503"/>
      </w:tblGrid>
      <w:tr w:rsidR="00234FE7" w14:paraId="32BD76CC" w14:textId="77777777" w:rsidTr="00CD470C">
        <w:tc>
          <w:tcPr>
            <w:tcW w:w="2499" w:type="dxa"/>
            <w:shd w:val="clear" w:color="auto" w:fill="auto"/>
          </w:tcPr>
          <w:p w14:paraId="32BD76C8" w14:textId="77777777" w:rsidR="00FD2D00" w:rsidRPr="0054098D" w:rsidRDefault="00FD2D00" w:rsidP="0072219F">
            <w:pPr>
              <w:tabs>
                <w:tab w:val="center" w:pos="4153"/>
                <w:tab w:val="right" w:pos="8306"/>
              </w:tabs>
              <w:jc w:val="both"/>
              <w:rPr>
                <w:lang w:val="kk"/>
              </w:rPr>
            </w:pPr>
          </w:p>
        </w:tc>
        <w:tc>
          <w:tcPr>
            <w:tcW w:w="2250" w:type="dxa"/>
            <w:shd w:val="clear" w:color="auto" w:fill="auto"/>
          </w:tcPr>
          <w:p w14:paraId="32BD76C9" w14:textId="77777777" w:rsidR="00FD2D00" w:rsidRPr="008F4079" w:rsidRDefault="0054098D" w:rsidP="0072219F">
            <w:pPr>
              <w:tabs>
                <w:tab w:val="center" w:pos="4153"/>
                <w:tab w:val="right" w:pos="8306"/>
              </w:tabs>
              <w:jc w:val="center"/>
              <w:rPr>
                <w:b/>
              </w:rPr>
            </w:pPr>
            <w:r w:rsidRPr="008F4079">
              <w:rPr>
                <w:b/>
                <w:lang w:val="kk"/>
              </w:rPr>
              <w:t>Ұзақтығы</w:t>
            </w:r>
          </w:p>
        </w:tc>
        <w:tc>
          <w:tcPr>
            <w:tcW w:w="2381" w:type="dxa"/>
            <w:shd w:val="clear" w:color="auto" w:fill="auto"/>
          </w:tcPr>
          <w:p w14:paraId="32BD76CA" w14:textId="77777777" w:rsidR="00FD2D00" w:rsidRPr="008F4079" w:rsidRDefault="0054098D" w:rsidP="0072219F">
            <w:pPr>
              <w:tabs>
                <w:tab w:val="center" w:pos="4153"/>
                <w:tab w:val="right" w:pos="8306"/>
              </w:tabs>
              <w:jc w:val="center"/>
              <w:rPr>
                <w:b/>
              </w:rPr>
            </w:pPr>
            <w:r w:rsidRPr="008F4079">
              <w:rPr>
                <w:b/>
                <w:lang w:val="kk"/>
              </w:rPr>
              <w:t>Дозалау режимі</w:t>
            </w:r>
          </w:p>
        </w:tc>
        <w:tc>
          <w:tcPr>
            <w:tcW w:w="2503" w:type="dxa"/>
            <w:shd w:val="clear" w:color="auto" w:fill="auto"/>
          </w:tcPr>
          <w:p w14:paraId="32BD76CB" w14:textId="77777777" w:rsidR="00FD2D00" w:rsidRPr="008F4079" w:rsidRDefault="0054098D" w:rsidP="0072219F">
            <w:pPr>
              <w:tabs>
                <w:tab w:val="center" w:pos="4153"/>
                <w:tab w:val="right" w:pos="8306"/>
              </w:tabs>
              <w:jc w:val="center"/>
              <w:rPr>
                <w:b/>
              </w:rPr>
            </w:pPr>
            <w:r w:rsidRPr="008F4079">
              <w:rPr>
                <w:b/>
                <w:lang w:val="kk"/>
              </w:rPr>
              <w:t>Жалпы тәуліктік дозасы</w:t>
            </w:r>
          </w:p>
        </w:tc>
      </w:tr>
      <w:tr w:rsidR="00234FE7" w14:paraId="32BD76D1" w14:textId="77777777" w:rsidTr="00CD470C">
        <w:tc>
          <w:tcPr>
            <w:tcW w:w="2499" w:type="dxa"/>
            <w:vMerge w:val="restart"/>
            <w:shd w:val="clear" w:color="auto" w:fill="auto"/>
          </w:tcPr>
          <w:p w14:paraId="32BD76CD" w14:textId="77777777" w:rsidR="00FD2D00" w:rsidRPr="008F4079" w:rsidRDefault="0054098D" w:rsidP="0072219F">
            <w:pPr>
              <w:tabs>
                <w:tab w:val="center" w:pos="4153"/>
                <w:tab w:val="right" w:pos="8306"/>
              </w:tabs>
              <w:jc w:val="both"/>
            </w:pPr>
            <w:r w:rsidRPr="008F4079">
              <w:rPr>
                <w:lang w:val="kk"/>
              </w:rPr>
              <w:t>ТВТ мен ӨАТЭ қайталануын емдеу және профилактикасы</w:t>
            </w:r>
          </w:p>
        </w:tc>
        <w:tc>
          <w:tcPr>
            <w:tcW w:w="2250" w:type="dxa"/>
            <w:shd w:val="clear" w:color="auto" w:fill="auto"/>
          </w:tcPr>
          <w:p w14:paraId="32BD76CE" w14:textId="77777777" w:rsidR="00FD2D00" w:rsidRPr="008F4079" w:rsidRDefault="0054098D" w:rsidP="0072219F">
            <w:pPr>
              <w:tabs>
                <w:tab w:val="center" w:pos="4153"/>
                <w:tab w:val="right" w:pos="8306"/>
              </w:tabs>
              <w:jc w:val="center"/>
            </w:pPr>
            <w:r w:rsidRPr="008F4079">
              <w:rPr>
                <w:lang w:val="kk"/>
              </w:rPr>
              <w:t>1-күннен 21-күнге дейін</w:t>
            </w:r>
          </w:p>
        </w:tc>
        <w:tc>
          <w:tcPr>
            <w:tcW w:w="2381" w:type="dxa"/>
            <w:shd w:val="clear" w:color="auto" w:fill="auto"/>
          </w:tcPr>
          <w:p w14:paraId="32BD76CF" w14:textId="77777777" w:rsidR="00FD2D00" w:rsidRPr="008F4079" w:rsidRDefault="0054098D" w:rsidP="0072219F">
            <w:pPr>
              <w:tabs>
                <w:tab w:val="center" w:pos="4153"/>
                <w:tab w:val="right" w:pos="8306"/>
              </w:tabs>
              <w:jc w:val="center"/>
            </w:pPr>
            <w:r w:rsidRPr="008F4079">
              <w:rPr>
                <w:lang w:val="kk"/>
              </w:rPr>
              <w:t xml:space="preserve">15 мг тәулігіне екі рет </w:t>
            </w:r>
          </w:p>
        </w:tc>
        <w:tc>
          <w:tcPr>
            <w:tcW w:w="2503" w:type="dxa"/>
            <w:shd w:val="clear" w:color="auto" w:fill="auto"/>
          </w:tcPr>
          <w:p w14:paraId="32BD76D0" w14:textId="77777777" w:rsidR="00FD2D00" w:rsidRPr="008F4079" w:rsidRDefault="0054098D" w:rsidP="0072219F">
            <w:pPr>
              <w:tabs>
                <w:tab w:val="center" w:pos="4153"/>
                <w:tab w:val="right" w:pos="8306"/>
              </w:tabs>
              <w:jc w:val="center"/>
            </w:pPr>
            <w:r w:rsidRPr="008F4079">
              <w:rPr>
                <w:lang w:val="kk"/>
              </w:rPr>
              <w:t>30 мг</w:t>
            </w:r>
          </w:p>
        </w:tc>
      </w:tr>
      <w:tr w:rsidR="00234FE7" w14:paraId="32BD76D6" w14:textId="77777777" w:rsidTr="00CD470C">
        <w:tc>
          <w:tcPr>
            <w:tcW w:w="2499" w:type="dxa"/>
            <w:vMerge/>
            <w:shd w:val="clear" w:color="auto" w:fill="auto"/>
          </w:tcPr>
          <w:p w14:paraId="32BD76D2" w14:textId="77777777" w:rsidR="00FD2D00" w:rsidRPr="008F4079" w:rsidRDefault="00FD2D00" w:rsidP="0072219F">
            <w:pPr>
              <w:tabs>
                <w:tab w:val="center" w:pos="4153"/>
                <w:tab w:val="right" w:pos="8306"/>
              </w:tabs>
              <w:jc w:val="both"/>
            </w:pPr>
          </w:p>
        </w:tc>
        <w:tc>
          <w:tcPr>
            <w:tcW w:w="2250" w:type="dxa"/>
            <w:shd w:val="clear" w:color="auto" w:fill="auto"/>
          </w:tcPr>
          <w:p w14:paraId="32BD76D3" w14:textId="77777777" w:rsidR="00FD2D00" w:rsidRPr="008F4079" w:rsidRDefault="0054098D" w:rsidP="0072219F">
            <w:pPr>
              <w:tabs>
                <w:tab w:val="center" w:pos="4153"/>
                <w:tab w:val="right" w:pos="8306"/>
              </w:tabs>
              <w:jc w:val="center"/>
            </w:pPr>
            <w:r w:rsidRPr="008F4079">
              <w:rPr>
                <w:lang w:val="kk"/>
              </w:rPr>
              <w:t>22-күннен бастап және одан әрі</w:t>
            </w:r>
          </w:p>
        </w:tc>
        <w:tc>
          <w:tcPr>
            <w:tcW w:w="2381" w:type="dxa"/>
            <w:shd w:val="clear" w:color="auto" w:fill="auto"/>
          </w:tcPr>
          <w:p w14:paraId="32BD76D4" w14:textId="77777777" w:rsidR="00FD2D00" w:rsidRPr="008F4079" w:rsidRDefault="0054098D" w:rsidP="0072219F">
            <w:pPr>
              <w:tabs>
                <w:tab w:val="center" w:pos="4153"/>
                <w:tab w:val="right" w:pos="8306"/>
              </w:tabs>
              <w:jc w:val="center"/>
            </w:pPr>
            <w:r w:rsidRPr="008F4079">
              <w:rPr>
                <w:lang w:val="kk"/>
              </w:rPr>
              <w:t>20 мг тәулігіне бір рет</w:t>
            </w:r>
          </w:p>
        </w:tc>
        <w:tc>
          <w:tcPr>
            <w:tcW w:w="2503" w:type="dxa"/>
            <w:shd w:val="clear" w:color="auto" w:fill="auto"/>
          </w:tcPr>
          <w:p w14:paraId="32BD76D5" w14:textId="77777777" w:rsidR="00FD2D00" w:rsidRPr="008F4079" w:rsidRDefault="0054098D" w:rsidP="0072219F">
            <w:pPr>
              <w:tabs>
                <w:tab w:val="center" w:pos="4153"/>
                <w:tab w:val="right" w:pos="8306"/>
              </w:tabs>
              <w:jc w:val="center"/>
            </w:pPr>
            <w:r w:rsidRPr="008F4079">
              <w:rPr>
                <w:lang w:val="kk"/>
              </w:rPr>
              <w:t>20 мг</w:t>
            </w:r>
          </w:p>
        </w:tc>
      </w:tr>
      <w:tr w:rsidR="00234FE7" w14:paraId="32BD76E0" w14:textId="77777777" w:rsidTr="00CD470C">
        <w:tc>
          <w:tcPr>
            <w:tcW w:w="2499" w:type="dxa"/>
            <w:shd w:val="clear" w:color="auto" w:fill="auto"/>
          </w:tcPr>
          <w:p w14:paraId="32BD76D7" w14:textId="77777777" w:rsidR="00FD2D00" w:rsidRPr="008F4079" w:rsidRDefault="0054098D" w:rsidP="0072219F">
            <w:pPr>
              <w:tabs>
                <w:tab w:val="center" w:pos="4153"/>
                <w:tab w:val="right" w:pos="8306"/>
              </w:tabs>
              <w:jc w:val="both"/>
            </w:pPr>
            <w:r w:rsidRPr="008F4079">
              <w:rPr>
                <w:lang w:val="kk"/>
              </w:rPr>
              <w:t>ТВТ мен ӨАТЭ қайталануының профилактикасы</w:t>
            </w:r>
          </w:p>
        </w:tc>
        <w:tc>
          <w:tcPr>
            <w:tcW w:w="2250" w:type="dxa"/>
            <w:shd w:val="clear" w:color="auto" w:fill="auto"/>
          </w:tcPr>
          <w:p w14:paraId="32BD76D8" w14:textId="77777777" w:rsidR="00FD2D00" w:rsidRPr="008F4079" w:rsidRDefault="0054098D" w:rsidP="0072219F">
            <w:pPr>
              <w:tabs>
                <w:tab w:val="center" w:pos="4153"/>
                <w:tab w:val="right" w:pos="8306"/>
              </w:tabs>
              <w:jc w:val="center"/>
            </w:pPr>
            <w:r w:rsidRPr="008F4079">
              <w:rPr>
                <w:lang w:val="kk"/>
              </w:rPr>
              <w:t>Ұзақтығы кем дегенде 6 созылатын, ТВТ немесе ӨАТЭ емі аяқталғаннан кейін</w:t>
            </w:r>
          </w:p>
        </w:tc>
        <w:tc>
          <w:tcPr>
            <w:tcW w:w="2381" w:type="dxa"/>
            <w:shd w:val="clear" w:color="auto" w:fill="auto"/>
          </w:tcPr>
          <w:p w14:paraId="32BD76D9" w14:textId="77777777" w:rsidR="00FD2D00" w:rsidRPr="008F4079" w:rsidRDefault="0054098D" w:rsidP="0072219F">
            <w:pPr>
              <w:tabs>
                <w:tab w:val="center" w:pos="4153"/>
                <w:tab w:val="right" w:pos="8306"/>
              </w:tabs>
              <w:jc w:val="center"/>
            </w:pPr>
            <w:r w:rsidRPr="008F4079">
              <w:rPr>
                <w:lang w:val="kk"/>
              </w:rPr>
              <w:t xml:space="preserve">10 мг </w:t>
            </w:r>
          </w:p>
          <w:p w14:paraId="32BD76DA" w14:textId="77777777" w:rsidR="00FD2D00" w:rsidRPr="008F4079" w:rsidRDefault="0054098D" w:rsidP="0072219F">
            <w:pPr>
              <w:tabs>
                <w:tab w:val="center" w:pos="4153"/>
                <w:tab w:val="right" w:pos="8306"/>
              </w:tabs>
              <w:jc w:val="center"/>
            </w:pPr>
            <w:r w:rsidRPr="008F4079">
              <w:rPr>
                <w:lang w:val="kk"/>
              </w:rPr>
              <w:t>тәулігіне бір рет</w:t>
            </w:r>
          </w:p>
          <w:p w14:paraId="32BD76DB" w14:textId="77777777" w:rsidR="00FD2D00" w:rsidRPr="008F4079" w:rsidRDefault="0054098D" w:rsidP="0072219F">
            <w:pPr>
              <w:tabs>
                <w:tab w:val="center" w:pos="4153"/>
                <w:tab w:val="right" w:pos="8306"/>
              </w:tabs>
              <w:jc w:val="center"/>
            </w:pPr>
            <w:r w:rsidRPr="008F4079">
              <w:rPr>
                <w:lang w:val="kk"/>
              </w:rPr>
              <w:t xml:space="preserve">немесе </w:t>
            </w:r>
          </w:p>
          <w:p w14:paraId="32BD76DC" w14:textId="77777777" w:rsidR="00FD2D00" w:rsidRPr="008F4079" w:rsidRDefault="0054098D" w:rsidP="0072219F">
            <w:pPr>
              <w:tabs>
                <w:tab w:val="center" w:pos="4153"/>
                <w:tab w:val="right" w:pos="8306"/>
              </w:tabs>
              <w:jc w:val="center"/>
            </w:pPr>
            <w:r w:rsidRPr="008F4079">
              <w:rPr>
                <w:lang w:val="kk"/>
              </w:rPr>
              <w:t xml:space="preserve">20 мг </w:t>
            </w:r>
          </w:p>
          <w:p w14:paraId="32BD76DD" w14:textId="77777777" w:rsidR="00FD2D00" w:rsidRPr="008F4079" w:rsidRDefault="0054098D" w:rsidP="0072219F">
            <w:pPr>
              <w:tabs>
                <w:tab w:val="center" w:pos="4153"/>
                <w:tab w:val="right" w:pos="8306"/>
              </w:tabs>
              <w:jc w:val="center"/>
            </w:pPr>
            <w:r w:rsidRPr="008F4079">
              <w:rPr>
                <w:lang w:val="kk"/>
              </w:rPr>
              <w:t>тәулігіне бір рет</w:t>
            </w:r>
          </w:p>
        </w:tc>
        <w:tc>
          <w:tcPr>
            <w:tcW w:w="2503" w:type="dxa"/>
            <w:shd w:val="clear" w:color="auto" w:fill="auto"/>
          </w:tcPr>
          <w:p w14:paraId="32BD76DE" w14:textId="77777777" w:rsidR="00FD2D00" w:rsidRPr="008F4079" w:rsidRDefault="0054098D" w:rsidP="0072219F">
            <w:pPr>
              <w:tabs>
                <w:tab w:val="center" w:pos="4153"/>
                <w:tab w:val="right" w:pos="8306"/>
              </w:tabs>
              <w:jc w:val="center"/>
            </w:pPr>
            <w:r w:rsidRPr="008F4079">
              <w:rPr>
                <w:lang w:val="kk"/>
              </w:rPr>
              <w:t xml:space="preserve">10 мг </w:t>
            </w:r>
          </w:p>
          <w:p w14:paraId="32BD76DF" w14:textId="77777777" w:rsidR="00FD2D00" w:rsidRPr="008F4079" w:rsidRDefault="0054098D" w:rsidP="0072219F">
            <w:pPr>
              <w:tabs>
                <w:tab w:val="center" w:pos="4153"/>
                <w:tab w:val="right" w:pos="8306"/>
              </w:tabs>
              <w:jc w:val="center"/>
            </w:pPr>
            <w:r w:rsidRPr="008F4079">
              <w:rPr>
                <w:lang w:val="kk"/>
              </w:rPr>
              <w:t>немесе 20 мг</w:t>
            </w:r>
          </w:p>
        </w:tc>
      </w:tr>
    </w:tbl>
    <w:p w14:paraId="467AA470" w14:textId="167EC62A" w:rsidR="00CE7195" w:rsidRDefault="00CE7195" w:rsidP="00FD2D00">
      <w:pPr>
        <w:tabs>
          <w:tab w:val="center" w:pos="4153"/>
          <w:tab w:val="right" w:pos="8306"/>
        </w:tabs>
        <w:jc w:val="both"/>
        <w:rPr>
          <w:lang w:val="kk"/>
        </w:rPr>
      </w:pPr>
      <w:bookmarkStart w:id="0" w:name="_Hlk96932993"/>
      <w:r w:rsidRPr="0067103A">
        <w:rPr>
          <w:lang w:val="kk"/>
        </w:rPr>
        <w:t>21 күннен кейін 15 мг-ден 20 мг-ға ауысу үшін ТВТ/ӨАТЭ емдеу үшін ривароксабанмен алғашқы 4 апталық емдеу курсы қолжетімді.</w:t>
      </w:r>
    </w:p>
    <w:bookmarkEnd w:id="0"/>
    <w:p w14:paraId="32BD76E3" w14:textId="2C4DF9F3" w:rsidR="00FD2D00" w:rsidRPr="0054098D" w:rsidRDefault="0054098D" w:rsidP="00FD2D00">
      <w:pPr>
        <w:tabs>
          <w:tab w:val="center" w:pos="4153"/>
          <w:tab w:val="right" w:pos="8306"/>
        </w:tabs>
        <w:jc w:val="both"/>
        <w:rPr>
          <w:lang w:val="kk"/>
        </w:rPr>
      </w:pPr>
      <w:r w:rsidRPr="008F4079">
        <w:rPr>
          <w:lang w:val="kk"/>
        </w:rPr>
        <w:t xml:space="preserve">Егер кезекті дозаны қабылдау тәулігіне екі рет (емдеудің 1-21 күні) 15 мг дозаны қабылдағанда өткізілсе, пациент 30 мг тәуліктік дозаның түсуін қамтамасыз ету үшін Ривамус препаратын дереу қабылдауы тиіс. Ол үшін бір мезгілде 15 мг дозада ривароксабанның 2 таблеткасын қабылдауға болады. Келесі күні препаратты ұсынылған режимге сәйкес тәулігіне 2 рет 15 мг дозада тұрақты қабылдауды жалғастыру керек. </w:t>
      </w:r>
    </w:p>
    <w:p w14:paraId="32BD76E4" w14:textId="61C36580" w:rsidR="00FD2D00" w:rsidRPr="0054098D" w:rsidRDefault="0054098D" w:rsidP="00FD2D00">
      <w:pPr>
        <w:tabs>
          <w:tab w:val="center" w:pos="4153"/>
          <w:tab w:val="right" w:pos="8306"/>
        </w:tabs>
        <w:jc w:val="both"/>
        <w:rPr>
          <w:lang w:val="kk"/>
        </w:rPr>
      </w:pPr>
      <w:r w:rsidRPr="008F4079">
        <w:rPr>
          <w:lang w:val="kk"/>
        </w:rPr>
        <w:t>Препаратты тәулігіне 1 рет қабылдаған кезде дозаны өткізіп алған жағдайда пациент дереу ривароксабанды қабылдауы және келесі күні ұсынылған режимге сәйкес тәулігіне 1 рет қабылдау арқылы емдеуді жалғастыруы тиіс.</w:t>
      </w:r>
    </w:p>
    <w:p w14:paraId="32BD76E6" w14:textId="1ECB805E" w:rsidR="00FD2D00" w:rsidRPr="0054098D" w:rsidRDefault="0054098D" w:rsidP="00FD2D00">
      <w:pPr>
        <w:tabs>
          <w:tab w:val="center" w:pos="4153"/>
          <w:tab w:val="right" w:pos="8306"/>
        </w:tabs>
        <w:jc w:val="both"/>
        <w:rPr>
          <w:lang w:val="kk"/>
        </w:rPr>
      </w:pPr>
      <w:r w:rsidRPr="008F4079">
        <w:rPr>
          <w:lang w:val="kk"/>
        </w:rPr>
        <w:t>Бұрын өткізіп алған дозаның орнын толтыру үшін қабылданатын дозаны екі есеге арттырмау керек.</w:t>
      </w:r>
    </w:p>
    <w:p w14:paraId="32BD76E7" w14:textId="19EF925A" w:rsidR="00FD2D00" w:rsidRPr="0054098D" w:rsidRDefault="0054098D" w:rsidP="00FD2D00">
      <w:pPr>
        <w:jc w:val="both"/>
        <w:rPr>
          <w:i/>
          <w:lang w:val="kk"/>
        </w:rPr>
      </w:pPr>
      <w:r w:rsidRPr="008F4079">
        <w:rPr>
          <w:i/>
          <w:lang w:val="kk"/>
        </w:rPr>
        <w:t xml:space="preserve">K дәрумені антагонисттерінен (КДА) Ривамус препаратына ауысу </w:t>
      </w:r>
    </w:p>
    <w:p w14:paraId="32BD76E8" w14:textId="369F95BE" w:rsidR="00FD2D00" w:rsidRPr="0054098D" w:rsidRDefault="0054098D" w:rsidP="00FD2D00">
      <w:pPr>
        <w:tabs>
          <w:tab w:val="center" w:pos="4153"/>
          <w:tab w:val="right" w:pos="8306"/>
        </w:tabs>
        <w:jc w:val="both"/>
        <w:rPr>
          <w:lang w:val="kk"/>
        </w:rPr>
      </w:pPr>
      <w:r w:rsidRPr="00810340">
        <w:rPr>
          <w:lang w:val="kk"/>
        </w:rPr>
        <w:t>ТВТ және ӨАТЭ емдеудегі және ТВТ және ӨАТЭ қайталануының профилактикасындағы пациенттерде КДА қабылдауды тоқтату керек және ХҚҚ ≤2,5-ке жеткеннен кейін ривароксабанмен емдеуді бастау керек.</w:t>
      </w:r>
    </w:p>
    <w:p w14:paraId="32BD76EA" w14:textId="57FFA490" w:rsidR="002C7A0D" w:rsidRPr="0054098D" w:rsidRDefault="0054098D" w:rsidP="00FD2D00">
      <w:pPr>
        <w:jc w:val="both"/>
        <w:rPr>
          <w:lang w:val="kk"/>
        </w:rPr>
      </w:pPr>
      <w:r w:rsidRPr="00810340">
        <w:rPr>
          <w:lang w:val="kk"/>
        </w:rPr>
        <w:lastRenderedPageBreak/>
        <w:t xml:space="preserve">Пациенттер КДА-дан ривароксабанға ауысқан кезде, ривароксабанды қабылдағаннан кейін ХҚҚ мәндері жалған жоғарылайды. ХҚҚ ривароксабанның антикоагулянттық белсенділігін анықтау үшін жарамайды, сондықтан оны осы мақсатта қолдануға болмайды (4.5 бөлімін қараңыз).  </w:t>
      </w:r>
    </w:p>
    <w:p w14:paraId="32BD76EB" w14:textId="1D030C51" w:rsidR="00FD2D00" w:rsidRPr="00810340" w:rsidRDefault="0054098D" w:rsidP="00FD2D00">
      <w:pPr>
        <w:tabs>
          <w:tab w:val="center" w:pos="4153"/>
          <w:tab w:val="right" w:pos="8306"/>
        </w:tabs>
        <w:jc w:val="both"/>
        <w:rPr>
          <w:i/>
        </w:rPr>
      </w:pPr>
      <w:r w:rsidRPr="00810340">
        <w:rPr>
          <w:i/>
          <w:lang w:val="kk"/>
        </w:rPr>
        <w:t xml:space="preserve">Ривамус препаратынан К дәруменінің антагонистеріне (КДА) ауысу </w:t>
      </w:r>
    </w:p>
    <w:p w14:paraId="32BD76EC" w14:textId="1EE1EF81" w:rsidR="00FD2D00" w:rsidRPr="0054098D" w:rsidRDefault="0054098D" w:rsidP="00FD2D00">
      <w:pPr>
        <w:tabs>
          <w:tab w:val="center" w:pos="4153"/>
          <w:tab w:val="right" w:pos="8306"/>
        </w:tabs>
        <w:jc w:val="both"/>
        <w:rPr>
          <w:lang w:val="kk"/>
        </w:rPr>
      </w:pPr>
      <w:r w:rsidRPr="00810340">
        <w:rPr>
          <w:lang w:val="kk"/>
        </w:rPr>
        <w:t xml:space="preserve">Ривароксабаннан КДА-ға ауысқан кезде антикоагулянттық әсердің жеткіліксіз болу ықтималдығы бар. Осыған байланысты басқа антикоагулянтқа кез келген ауысу кезінде үздіксіз жеткілікті антикоагулянттық әсерді қамтамасыз ету қажет. Ривароксабан ХҚҚ-ны арттыруға ықпал етуі мүмкін екенін айта кету керек. </w:t>
      </w:r>
    </w:p>
    <w:p w14:paraId="32BD76ED" w14:textId="466B3EF6" w:rsidR="00FD2D00" w:rsidRPr="0054098D" w:rsidRDefault="0054098D" w:rsidP="00FD2D00">
      <w:pPr>
        <w:tabs>
          <w:tab w:val="center" w:pos="4153"/>
          <w:tab w:val="right" w:pos="8306"/>
        </w:tabs>
        <w:jc w:val="both"/>
        <w:rPr>
          <w:lang w:val="kk"/>
        </w:rPr>
      </w:pPr>
      <w:r w:rsidRPr="00810340">
        <w:rPr>
          <w:lang w:val="kk"/>
        </w:rPr>
        <w:t xml:space="preserve">Ривароксабаннан КДА-ға ауысқан кезде, ривароксабанды ХҚҚ ≥2,0 көрсеткішке жеткенге дейін КДА-мен бір мезгілде қабылдау керек. </w:t>
      </w:r>
    </w:p>
    <w:p w14:paraId="32BD76EF" w14:textId="10624BAD" w:rsidR="00FD2D00" w:rsidRPr="0054098D" w:rsidRDefault="0054098D" w:rsidP="00FD2D00">
      <w:pPr>
        <w:tabs>
          <w:tab w:val="center" w:pos="4153"/>
          <w:tab w:val="right" w:pos="8306"/>
        </w:tabs>
        <w:jc w:val="both"/>
        <w:rPr>
          <w:lang w:val="kk"/>
        </w:rPr>
      </w:pPr>
      <w:r w:rsidRPr="00810340">
        <w:rPr>
          <w:lang w:val="kk"/>
        </w:rPr>
        <w:t xml:space="preserve">Өтпелі кезеңнің алғашқы екі күні ішінде ХҚҚ анықтамалары негізінде КДА дозасын тағайындай отырып, КДА стандартты бастапқы дозасын қолдану керек. Ривароксабанды және КДА бір мезгілде қабылдағанда ХҚҚ алдыңғы дозаны қабылдағаннан кейін 24 сағаттан ерте емес және ривароксабанның келесі дозасын қабылдау алдында анықтаған жөн. Ривароксабанды қолдануды тоқтатқаннан кейін ХҚҚ-ны сенімді анықтауды препараттың соңғы дозасын қабылдағаннан кейін кемінде 24 сағаттан соң жүргізуге болады (4.5 және 5.2 бөлімдерін қараңыз). </w:t>
      </w:r>
    </w:p>
    <w:p w14:paraId="32BD76F0" w14:textId="2B76A5DD" w:rsidR="00FD2D00" w:rsidRPr="0054098D" w:rsidRDefault="0054098D" w:rsidP="00FD2D00">
      <w:pPr>
        <w:tabs>
          <w:tab w:val="center" w:pos="4153"/>
          <w:tab w:val="right" w:pos="8306"/>
        </w:tabs>
        <w:jc w:val="both"/>
        <w:rPr>
          <w:i/>
          <w:lang w:val="kk"/>
        </w:rPr>
      </w:pPr>
      <w:r w:rsidRPr="00810340">
        <w:rPr>
          <w:i/>
          <w:lang w:val="kk"/>
        </w:rPr>
        <w:t xml:space="preserve">Парентеральді антикоагулянттардан Ривамус препаратына ауысу </w:t>
      </w:r>
    </w:p>
    <w:p w14:paraId="32BD76F2" w14:textId="5D00AFC2" w:rsidR="00FD2D00" w:rsidRPr="0054098D" w:rsidRDefault="0054098D" w:rsidP="00FD2D00">
      <w:pPr>
        <w:tabs>
          <w:tab w:val="center" w:pos="4153"/>
          <w:tab w:val="right" w:pos="8306"/>
        </w:tabs>
        <w:jc w:val="both"/>
        <w:rPr>
          <w:lang w:val="kk"/>
        </w:rPr>
      </w:pPr>
      <w:r w:rsidRPr="00810340">
        <w:rPr>
          <w:lang w:val="kk"/>
        </w:rPr>
        <w:t xml:space="preserve">Парентеральді антикоагулянттар қабылдайтын пациенттер үшін парентеральді антикоагулянтты тоқтату керек, ривароксабанды парентеральді препаратты келесі жоспарлы енгізу сәтіне дейін 0-2 сағат бұрын (мысалы, төменмолекулалы гепарин) немесе парентеральді препаратты үздіксіз енгізу тоқтатылған сәтте (мысалы, фракцияланбаған гепаринді вена ішіне енгізу) қабылдау керек. </w:t>
      </w:r>
    </w:p>
    <w:p w14:paraId="32BD76F3" w14:textId="4A0E15EE" w:rsidR="00FD2D00" w:rsidRPr="0054098D" w:rsidRDefault="0054098D" w:rsidP="00FD2D00">
      <w:pPr>
        <w:tabs>
          <w:tab w:val="center" w:pos="4153"/>
          <w:tab w:val="right" w:pos="8306"/>
        </w:tabs>
        <w:jc w:val="both"/>
        <w:rPr>
          <w:i/>
          <w:lang w:val="kk"/>
        </w:rPr>
      </w:pPr>
      <w:r w:rsidRPr="00810340">
        <w:rPr>
          <w:i/>
          <w:lang w:val="kk"/>
        </w:rPr>
        <w:t xml:space="preserve">Ривамус препаратынан парентеральді антикоагулянттарға ауысу </w:t>
      </w:r>
    </w:p>
    <w:p w14:paraId="32BD76F5" w14:textId="67CC1298" w:rsidR="00FD2D00" w:rsidRPr="0054098D" w:rsidRDefault="0054098D" w:rsidP="00C96598">
      <w:pPr>
        <w:tabs>
          <w:tab w:val="center" w:pos="4153"/>
          <w:tab w:val="right" w:pos="8306"/>
        </w:tabs>
        <w:jc w:val="both"/>
        <w:rPr>
          <w:lang w:val="kk"/>
        </w:rPr>
      </w:pPr>
      <w:r w:rsidRPr="00810340">
        <w:rPr>
          <w:lang w:val="kk"/>
        </w:rPr>
        <w:t xml:space="preserve">Ривароксабанның келесі дозасы қабылданған сәтте парентеральді антикоагулянттың бірінші дозасын енгізу керек. </w:t>
      </w:r>
    </w:p>
    <w:p w14:paraId="32BD76F6" w14:textId="79395F1B" w:rsidR="00FD2D00" w:rsidRPr="0054098D" w:rsidRDefault="0054098D" w:rsidP="00FD2D00">
      <w:pPr>
        <w:jc w:val="both"/>
        <w:rPr>
          <w:b/>
          <w:bCs/>
          <w:i/>
          <w:iCs/>
          <w:lang w:val="kk"/>
        </w:rPr>
      </w:pPr>
      <w:r w:rsidRPr="00353953">
        <w:rPr>
          <w:b/>
          <w:bCs/>
          <w:i/>
          <w:iCs/>
          <w:lang w:val="kk"/>
        </w:rPr>
        <w:t>Пациенттердің ерекше топтары</w:t>
      </w:r>
    </w:p>
    <w:p w14:paraId="32BD76F7" w14:textId="2B1D4C7E" w:rsidR="00FD2D00" w:rsidRPr="0054098D" w:rsidRDefault="0054098D" w:rsidP="00FD2D00">
      <w:pPr>
        <w:jc w:val="both"/>
        <w:rPr>
          <w:lang w:val="kk"/>
        </w:rPr>
      </w:pPr>
      <w:r>
        <w:rPr>
          <w:i/>
          <w:lang w:val="kk"/>
        </w:rPr>
        <w:t>Бүйрек функциясының жеткіліксіздігі бар пациенттер</w:t>
      </w:r>
    </w:p>
    <w:p w14:paraId="32BD76F9" w14:textId="2F888B5F" w:rsidR="00FD2D00" w:rsidRPr="0054098D" w:rsidRDefault="0054098D" w:rsidP="00FD2D00">
      <w:pPr>
        <w:jc w:val="both"/>
        <w:rPr>
          <w:lang w:val="kk"/>
        </w:rPr>
      </w:pPr>
      <w:r w:rsidRPr="00810340">
        <w:rPr>
          <w:lang w:val="kk"/>
        </w:rPr>
        <w:t xml:space="preserve">Бүйрек функциясының ауыр жеткіліксіздігі бар пациенттерде ривароксабанды қолдану туралы деректер (креатинин клиренсі 15-29 мл/мин) плазмадағы ривароксабан деңгейінің елеулі жоғарылағанын көрсетеді. Осыған байланысты Ривамус препаратын пациенттердің осы тобында сақтықпен қолдану қажет. Ривамус препаратын креатинин клиренсі &lt;15 мл/мин құрайтын пациенттерде қолдану ұсынылмайды (4.4 және 5.2 бөлімдерін қараңыз).  </w:t>
      </w:r>
    </w:p>
    <w:p w14:paraId="32BD76FB" w14:textId="2A665F83" w:rsidR="00FD2D00" w:rsidRPr="0054098D" w:rsidRDefault="0054098D" w:rsidP="00FD2D00">
      <w:pPr>
        <w:jc w:val="both"/>
        <w:rPr>
          <w:lang w:val="kk"/>
        </w:rPr>
      </w:pPr>
      <w:r w:rsidRPr="00810340">
        <w:rPr>
          <w:lang w:val="kk"/>
        </w:rPr>
        <w:t>- Ұршықбуыны немесе тізебуыны жоспарлы протезделетін ересек пациенттерде веналық тромбоэмболияның (ВТЭ) профилактикасы үшін креатинин клиренсі 50-80 мл/мин құрайтын, бүйрек функциясының жеңіл жеткіліксіздігі немесе креатинин клиренсі 30-49 мл/мин құрайтын, бүйрек функциясының орташа жеткіліксіздігі бар пациенттерде Ривамус препаратының дозасын түзету талап етілмейді (5.2 бөлімін қараңыз).</w:t>
      </w:r>
    </w:p>
    <w:p w14:paraId="32BD76FC" w14:textId="7E72BB2A" w:rsidR="00FD2D00" w:rsidRPr="0054098D" w:rsidRDefault="0054098D" w:rsidP="00FD2D00">
      <w:pPr>
        <w:jc w:val="both"/>
        <w:rPr>
          <w:lang w:val="kk"/>
        </w:rPr>
      </w:pPr>
      <w:r w:rsidRPr="00810340">
        <w:rPr>
          <w:lang w:val="kk"/>
        </w:rPr>
        <w:t xml:space="preserve">- </w:t>
      </w:r>
      <w:r w:rsidRPr="00810340">
        <w:rPr>
          <w:bCs/>
          <w:color w:val="000000"/>
          <w:lang w:val="kk" w:eastAsia="en-US"/>
        </w:rPr>
        <w:t>Терең веналар тромбозын (ТВТ) және өкпе артериясының тромбоэмболиясын (ӨАТЭ) емдеу, сондай-ақ ТВТ және ӨАТЭ қайталануының профилактикасы үшін</w:t>
      </w:r>
      <w:r w:rsidRPr="00810340">
        <w:rPr>
          <w:lang w:val="kk"/>
        </w:rPr>
        <w:t xml:space="preserve"> креатинин клиренсі 50-80 мл/мин құрайтын, бүйрек функциясының жеңіл жеткіліксіздігі бар пациенттерде Ривамус препаратының дозасын түзету талап етілмейді (5.2 бөлімін қараңыз).</w:t>
      </w:r>
    </w:p>
    <w:p w14:paraId="32BD76FD" w14:textId="601BFCE8" w:rsidR="00FD2D00" w:rsidRPr="0054098D" w:rsidRDefault="0054098D" w:rsidP="00FD2D00">
      <w:pPr>
        <w:keepNext/>
        <w:jc w:val="both"/>
        <w:rPr>
          <w:lang w:val="kk"/>
        </w:rPr>
      </w:pPr>
      <w:r w:rsidRPr="00810340">
        <w:rPr>
          <w:lang w:val="kk"/>
        </w:rPr>
        <w:lastRenderedPageBreak/>
        <w:t>Бүйрек функциясының орташа жеткіліксіздігі кезінде (креатинин клиренсі 30-49 мл/мин) немесе бүйрек функциясының ауыр жеткіліксіздігі кезінде (креатинин клиренсі 15-29 мл/мин) пациенттер алғашқы 3 апта ішінде тәулігіне екі рет 15 мг қабылдауы тиіс. Содан кейін ұсынылған доза тәулігіне бір рет 20 мг құрайды. Дозаны тәулігіне бір рет 20 мг-ден тәулігіне бір рет 15 мг-ге дейін төмендетуді пациентте қан кетудің бағаланатын қаупі ТВТ және ӨАТЭ қайталануының қаупінен басым болған кезде қарау керек. Тәул</w:t>
      </w:r>
      <w:r w:rsidR="00B625B5">
        <w:rPr>
          <w:lang w:val="kk"/>
        </w:rPr>
        <w:t>ігіне бір рет 15 мг пайдалану н</w:t>
      </w:r>
      <w:r w:rsidRPr="00810340">
        <w:rPr>
          <w:lang w:val="kk"/>
        </w:rPr>
        <w:t>ұ</w:t>
      </w:r>
      <w:r w:rsidR="00B625B5">
        <w:rPr>
          <w:lang w:val="kk-KZ"/>
        </w:rPr>
        <w:t>с</w:t>
      </w:r>
      <w:r w:rsidRPr="00810340">
        <w:rPr>
          <w:lang w:val="kk"/>
        </w:rPr>
        <w:t>қауы фармакокинетикалық модельдеуге негізделген және осы жағдайда клиникалық жағдайларда зерттелмеген (4.4, 5.1 және 5.2 бөлімдерін қараңыз).</w:t>
      </w:r>
    </w:p>
    <w:p w14:paraId="32BD76FF" w14:textId="564D4A25" w:rsidR="00F96CC9" w:rsidRPr="0054098D" w:rsidRDefault="0054098D" w:rsidP="00FD2D00">
      <w:pPr>
        <w:jc w:val="both"/>
        <w:rPr>
          <w:rFonts w:eastAsia="Calibri"/>
          <w:i/>
          <w:lang w:val="kk" w:eastAsia="de-DE"/>
        </w:rPr>
      </w:pPr>
      <w:r w:rsidRPr="00810340">
        <w:rPr>
          <w:bCs/>
          <w:color w:val="000000"/>
          <w:lang w:val="kk" w:eastAsia="en-US"/>
        </w:rPr>
        <w:t xml:space="preserve">Препараттың тәулігіне 1 рет ұсынылатын күнделікті дозасы кезінде </w:t>
      </w:r>
      <w:r w:rsidRPr="00810340">
        <w:rPr>
          <w:lang w:val="kk"/>
        </w:rPr>
        <w:t>Ривамус препаратының дозасын түзету талап етілмейді</w:t>
      </w:r>
      <w:r w:rsidRPr="00810340">
        <w:rPr>
          <w:bCs/>
          <w:color w:val="000000"/>
          <w:lang w:val="kk" w:eastAsia="en-US"/>
        </w:rPr>
        <w:t xml:space="preserve">. </w:t>
      </w:r>
    </w:p>
    <w:p w14:paraId="32BD7700" w14:textId="667F9976" w:rsidR="00FD2D00" w:rsidRPr="0054098D" w:rsidRDefault="0054098D" w:rsidP="00FD2D00">
      <w:pPr>
        <w:jc w:val="both"/>
        <w:rPr>
          <w:rFonts w:eastAsia="Calibri"/>
          <w:i/>
          <w:lang w:val="kk" w:eastAsia="de-DE"/>
        </w:rPr>
      </w:pPr>
      <w:r>
        <w:rPr>
          <w:rFonts w:eastAsia="Calibri"/>
          <w:i/>
          <w:lang w:val="kk" w:eastAsia="de-DE"/>
        </w:rPr>
        <w:t>Бауыр функциясының жеткіліксіздігі бар пациенттер</w:t>
      </w:r>
    </w:p>
    <w:p w14:paraId="32BD7702" w14:textId="2F56123C" w:rsidR="008202D6" w:rsidRPr="0054098D" w:rsidRDefault="0054098D" w:rsidP="00FD2D00">
      <w:pPr>
        <w:jc w:val="both"/>
        <w:rPr>
          <w:rFonts w:eastAsia="Calibri"/>
          <w:lang w:val="kk" w:eastAsia="en-US"/>
        </w:rPr>
      </w:pPr>
      <w:r w:rsidRPr="00810340">
        <w:rPr>
          <w:lang w:val="kk"/>
        </w:rPr>
        <w:t xml:space="preserve">Ривамус препаратын қолдану Чайлд-Пью жіктемесі бойынша В және С класындағы бауыр циррозын қоса алғанда, коагулопатиямен және клиникалық маңызды қан кетудің даму қаупімен бірге жүретін бауыр аурулары бар пациенттерде қарсы көрсетілімді (4.3 және 5.2 бөлімдерін қараңыз). </w:t>
      </w:r>
    </w:p>
    <w:p w14:paraId="32BD7703" w14:textId="7B306D31" w:rsidR="00FD2D00" w:rsidRPr="0054098D" w:rsidRDefault="0054098D" w:rsidP="00FD2D00">
      <w:pPr>
        <w:jc w:val="both"/>
        <w:rPr>
          <w:i/>
          <w:lang w:val="kk"/>
        </w:rPr>
      </w:pPr>
      <w:r>
        <w:rPr>
          <w:i/>
          <w:lang w:val="kk"/>
        </w:rPr>
        <w:t>Егде жастағы пациенттер</w:t>
      </w:r>
    </w:p>
    <w:p w14:paraId="32BD7705" w14:textId="78461DC0" w:rsidR="008202D6" w:rsidRPr="0054098D" w:rsidRDefault="0054098D" w:rsidP="00FD2D00">
      <w:pPr>
        <w:rPr>
          <w:lang w:val="kk"/>
        </w:rPr>
      </w:pPr>
      <w:r w:rsidRPr="00810340">
        <w:rPr>
          <w:lang w:val="kk"/>
        </w:rPr>
        <w:t>Дозаны түзету қажет емес (5.2 бөлімін қараңыз).</w:t>
      </w:r>
    </w:p>
    <w:p w14:paraId="32BD7706" w14:textId="77777777" w:rsidR="00FD2D00" w:rsidRPr="0054098D" w:rsidRDefault="0054098D" w:rsidP="00FD2D00">
      <w:pPr>
        <w:jc w:val="both"/>
        <w:rPr>
          <w:i/>
          <w:lang w:val="kk"/>
        </w:rPr>
      </w:pPr>
      <w:r w:rsidRPr="00810340">
        <w:rPr>
          <w:i/>
          <w:lang w:val="kk"/>
        </w:rPr>
        <w:t>Дене салмағы</w:t>
      </w:r>
    </w:p>
    <w:p w14:paraId="32BD7708" w14:textId="34F03554" w:rsidR="008202D6" w:rsidRPr="0054098D" w:rsidRDefault="0054098D" w:rsidP="00FD2D00">
      <w:pPr>
        <w:rPr>
          <w:lang w:val="kk"/>
        </w:rPr>
      </w:pPr>
      <w:r w:rsidRPr="00810340">
        <w:rPr>
          <w:lang w:val="kk"/>
        </w:rPr>
        <w:t xml:space="preserve">Дозаны түзету қажет емес (5.2 бөлімін қараңыз). </w:t>
      </w:r>
    </w:p>
    <w:p w14:paraId="32BD7709" w14:textId="77777777" w:rsidR="00FD2D00" w:rsidRPr="0054098D" w:rsidRDefault="0054098D" w:rsidP="00FD2D00">
      <w:pPr>
        <w:jc w:val="both"/>
        <w:rPr>
          <w:i/>
          <w:lang w:val="kk"/>
        </w:rPr>
      </w:pPr>
      <w:r w:rsidRPr="00810340">
        <w:rPr>
          <w:i/>
          <w:lang w:val="kk"/>
        </w:rPr>
        <w:t>Жынысы</w:t>
      </w:r>
    </w:p>
    <w:p w14:paraId="32BD770B" w14:textId="7E3AA49D" w:rsidR="008202D6" w:rsidRPr="0054098D" w:rsidRDefault="0054098D" w:rsidP="00FD2D00">
      <w:pPr>
        <w:rPr>
          <w:lang w:val="kk"/>
        </w:rPr>
      </w:pPr>
      <w:r w:rsidRPr="00810340">
        <w:rPr>
          <w:lang w:val="kk"/>
        </w:rPr>
        <w:t xml:space="preserve">Дозаны түзету қажет емес (5.2 бөлімін қараңыз). </w:t>
      </w:r>
    </w:p>
    <w:p w14:paraId="32BD770C" w14:textId="77777777" w:rsidR="00FD2D00" w:rsidRPr="0054098D" w:rsidRDefault="0054098D" w:rsidP="00FD2D00">
      <w:pPr>
        <w:jc w:val="both"/>
        <w:rPr>
          <w:i/>
          <w:lang w:val="kk"/>
        </w:rPr>
      </w:pPr>
      <w:r w:rsidRPr="00810340">
        <w:rPr>
          <w:i/>
          <w:lang w:val="kk"/>
        </w:rPr>
        <w:t xml:space="preserve">Балалар мен жасөспірімдер </w:t>
      </w:r>
    </w:p>
    <w:p w14:paraId="32BD770D" w14:textId="496BBF18" w:rsidR="00FD2D00" w:rsidRPr="0054098D" w:rsidRDefault="0054098D" w:rsidP="00FD2D00">
      <w:pPr>
        <w:jc w:val="both"/>
        <w:rPr>
          <w:lang w:val="kk"/>
        </w:rPr>
      </w:pPr>
      <w:r w:rsidRPr="00810340">
        <w:rPr>
          <w:lang w:val="kk"/>
        </w:rPr>
        <w:t>Ривароксабанның балалар мен 18 жасқа дейінгі жасөспірімдердегі қауіпсіздігі мен тиімділігі анықталмаған. Қол жетімді деректер жоқ. Сондықтан Ривамус препаратын балалар мен 18 жасқа дейінгі жасөспірімдерде қолдану ұсынылмайды.</w:t>
      </w:r>
    </w:p>
    <w:p w14:paraId="786651E8" w14:textId="77777777" w:rsidR="007309D9" w:rsidRPr="0054098D" w:rsidRDefault="0054098D" w:rsidP="007309D9">
      <w:pPr>
        <w:keepNext/>
        <w:jc w:val="both"/>
        <w:rPr>
          <w:b/>
          <w:lang w:val="kk"/>
        </w:rPr>
      </w:pPr>
      <w:r w:rsidRPr="00B44468">
        <w:rPr>
          <w:b/>
          <w:lang w:val="kk"/>
        </w:rPr>
        <w:t xml:space="preserve">Қолдану тәсілі </w:t>
      </w:r>
    </w:p>
    <w:p w14:paraId="08611C6F" w14:textId="77777777" w:rsidR="007309D9" w:rsidRPr="0054098D" w:rsidRDefault="0054098D" w:rsidP="007309D9">
      <w:pPr>
        <w:jc w:val="both"/>
        <w:rPr>
          <w:lang w:val="kk"/>
        </w:rPr>
      </w:pPr>
      <w:r w:rsidRPr="00810340">
        <w:rPr>
          <w:lang w:val="kk"/>
        </w:rPr>
        <w:t xml:space="preserve">Ішке қабылдауға арналған </w:t>
      </w:r>
    </w:p>
    <w:p w14:paraId="5E3C00F8" w14:textId="031020D9" w:rsidR="005623CB" w:rsidRPr="0054098D" w:rsidRDefault="0054098D" w:rsidP="007309D9">
      <w:pPr>
        <w:jc w:val="both"/>
        <w:rPr>
          <w:lang w:val="kk"/>
        </w:rPr>
      </w:pPr>
      <w:r>
        <w:rPr>
          <w:lang w:val="kk"/>
        </w:rPr>
        <w:t>Ривамус препаратын тамақтануға қарамастан қабылдауға болады (4.5 және 5.2-бөлімдерін қараңыз).</w:t>
      </w:r>
    </w:p>
    <w:p w14:paraId="77EC77B2" w14:textId="4B90A978" w:rsidR="007309D9" w:rsidRPr="0054098D" w:rsidRDefault="0054098D" w:rsidP="007309D9">
      <w:pPr>
        <w:jc w:val="both"/>
        <w:rPr>
          <w:i/>
          <w:iCs/>
          <w:lang w:val="kk"/>
        </w:rPr>
      </w:pPr>
      <w:r w:rsidRPr="005623CB">
        <w:rPr>
          <w:i/>
          <w:iCs/>
          <w:lang w:val="kk"/>
        </w:rPr>
        <w:t xml:space="preserve">Сынған таблеткалар </w:t>
      </w:r>
    </w:p>
    <w:p w14:paraId="45B8DDD3" w14:textId="5678C017" w:rsidR="007309D9" w:rsidRPr="0054098D" w:rsidRDefault="0054098D" w:rsidP="007309D9">
      <w:pPr>
        <w:jc w:val="both"/>
        <w:rPr>
          <w:lang w:val="kk"/>
        </w:rPr>
      </w:pPr>
      <w:r w:rsidRPr="00810340">
        <w:rPr>
          <w:lang w:val="kk"/>
        </w:rPr>
        <w:t xml:space="preserve">Таблеткаларды тұтасымен жұта алмайтын пациенттер үшін Ривамус препаратының таблеткасын тікелей қабылдау алдында ұсақтап, сумен немесе алма езбесі сияқты жеңіл тағаммен араластыруға және ішуге болады. </w:t>
      </w:r>
    </w:p>
    <w:p w14:paraId="6022D2B9" w14:textId="7856FA63" w:rsidR="007309D9" w:rsidRPr="0054098D" w:rsidRDefault="0054098D" w:rsidP="007309D9">
      <w:pPr>
        <w:jc w:val="both"/>
        <w:rPr>
          <w:lang w:val="kk"/>
        </w:rPr>
      </w:pPr>
      <w:r w:rsidRPr="00810340">
        <w:rPr>
          <w:lang w:val="kk"/>
        </w:rPr>
        <w:t>Ривамус препаратының ұсатылған таблеткасын асқазан сүңгісі арқылы енгізуге болады (5.2 және 6.6 бөлімін қараңыз).</w:t>
      </w:r>
    </w:p>
    <w:p w14:paraId="25183358" w14:textId="77777777" w:rsidR="007309D9" w:rsidRPr="0054098D" w:rsidRDefault="007309D9" w:rsidP="00CF2D83">
      <w:pPr>
        <w:shd w:val="clear" w:color="auto" w:fill="FFFFFF"/>
        <w:rPr>
          <w:b/>
          <w:bCs/>
          <w:spacing w:val="-5"/>
          <w:lang w:val="kk"/>
        </w:rPr>
      </w:pPr>
    </w:p>
    <w:p w14:paraId="32BD7711" w14:textId="77777777" w:rsidR="00CF2D83" w:rsidRPr="00810340" w:rsidRDefault="0054098D" w:rsidP="00CF2D83">
      <w:pPr>
        <w:shd w:val="clear" w:color="auto" w:fill="FFFFFF"/>
        <w:rPr>
          <w:b/>
        </w:rPr>
      </w:pPr>
      <w:r w:rsidRPr="00810340">
        <w:rPr>
          <w:b/>
          <w:bCs/>
          <w:spacing w:val="-5"/>
          <w:lang w:val="kk"/>
        </w:rPr>
        <w:t>4.3 Қолдануға болмайтын жағдайлар</w:t>
      </w:r>
    </w:p>
    <w:p w14:paraId="32BD7713" w14:textId="363F9015" w:rsidR="00A1465C" w:rsidRPr="00B44468" w:rsidRDefault="0054098D" w:rsidP="009B48B2">
      <w:pPr>
        <w:pStyle w:val="afa"/>
        <w:numPr>
          <w:ilvl w:val="0"/>
          <w:numId w:val="38"/>
        </w:numPr>
        <w:ind w:left="0"/>
        <w:rPr>
          <w:sz w:val="24"/>
          <w:szCs w:val="24"/>
        </w:rPr>
      </w:pPr>
      <w:r w:rsidRPr="00B44468">
        <w:rPr>
          <w:sz w:val="24"/>
          <w:szCs w:val="24"/>
          <w:lang w:val="kk"/>
        </w:rPr>
        <w:t>ривароксабанға немесе 6.1 бөлімінде атап келтірілген препараттың қосымша заттарына жоғары сезімталдық</w:t>
      </w:r>
    </w:p>
    <w:p w14:paraId="32BD7715" w14:textId="3F8744FA" w:rsidR="00A1465C" w:rsidRPr="00B44468" w:rsidRDefault="0054098D" w:rsidP="009B48B2">
      <w:pPr>
        <w:pStyle w:val="afa"/>
        <w:numPr>
          <w:ilvl w:val="0"/>
          <w:numId w:val="38"/>
        </w:numPr>
        <w:ind w:left="0"/>
        <w:rPr>
          <w:sz w:val="24"/>
          <w:szCs w:val="24"/>
        </w:rPr>
      </w:pPr>
      <w:r w:rsidRPr="00B44468">
        <w:rPr>
          <w:sz w:val="24"/>
          <w:szCs w:val="24"/>
          <w:lang w:val="kk"/>
        </w:rPr>
        <w:t>белсенді клиникалық маңызды қан кету</w:t>
      </w:r>
    </w:p>
    <w:p w14:paraId="32BD7717" w14:textId="4BA24BE6" w:rsidR="00A1465C" w:rsidRPr="00B44468" w:rsidRDefault="0054098D" w:rsidP="009B48B2">
      <w:pPr>
        <w:pStyle w:val="afa"/>
        <w:numPr>
          <w:ilvl w:val="0"/>
          <w:numId w:val="38"/>
        </w:numPr>
        <w:ind w:left="0"/>
        <w:rPr>
          <w:sz w:val="24"/>
          <w:szCs w:val="24"/>
        </w:rPr>
      </w:pPr>
      <w:r w:rsidRPr="00B44468">
        <w:rPr>
          <w:sz w:val="24"/>
          <w:szCs w:val="24"/>
          <w:lang w:val="kk"/>
        </w:rPr>
        <w:t>асқазан-ішек жолының бұрыннан бар немесе жақында пайда болған ойықжарасы сияқты үлкен қан кетудің маңызды факторы болып саналатын бұзылу немесе жағдай, қан кету қаупі жоғары қатерлі жаңа түзілімдердің болуы, мидың немесе жұлынның жақында болған жарақаты, миға, жұлынға немесе көзге жақында жасалған хирургиялық операция, бассүйекке жақында болған қан құйылу, өңеш веналарының диагностикаланған варикозды кеңеюі немесе оған күмәндану, артерия-веналық даму аномалиялары, қантамыр аневризмалары немесе жұлын немесе мидың ірі қантамырларының патологиясы</w:t>
      </w:r>
    </w:p>
    <w:p w14:paraId="32BD7719" w14:textId="2A520514" w:rsidR="00A1465C" w:rsidRPr="00B44468" w:rsidRDefault="0054098D" w:rsidP="009B48B2">
      <w:pPr>
        <w:pStyle w:val="afa"/>
        <w:numPr>
          <w:ilvl w:val="0"/>
          <w:numId w:val="38"/>
        </w:numPr>
        <w:ind w:left="0"/>
        <w:rPr>
          <w:sz w:val="24"/>
          <w:szCs w:val="24"/>
        </w:rPr>
      </w:pPr>
      <w:r w:rsidRPr="00B44468">
        <w:rPr>
          <w:sz w:val="24"/>
          <w:szCs w:val="24"/>
          <w:lang w:val="kk"/>
        </w:rPr>
        <w:t xml:space="preserve">басқа антикоагулянттық емге ауысудың ерекше жағдайларын қоспағанда немесе ФБГ орталық веналық немесе артериялық катетердің өткізгіштігін қамтамасыз ету үшін қажетті дозаларда енгізілгенде (4.5 бөлімін қараңыз) фракцияланбаған гепарин (ФБГ), төменмолекулалы гепариндер (эноксапарин, далтепарин және т.б.), гепарин туындылары (фондапаринукс және т. б.), пероральді антикоагулянттар (варфарин, дабигатран этексилаты, </w:t>
      </w:r>
      <w:r w:rsidRPr="00B44468">
        <w:rPr>
          <w:sz w:val="24"/>
          <w:szCs w:val="24"/>
          <w:lang w:val="kk"/>
        </w:rPr>
        <w:lastRenderedPageBreak/>
        <w:t xml:space="preserve">апиксабан және т. б.) сияқты кез келген басқа антикоагулянттармен қатар жүргізілетін ем (4.2 бөлімін қараңыз) </w:t>
      </w:r>
    </w:p>
    <w:p w14:paraId="32BD771B" w14:textId="27999F9E" w:rsidR="00A1465C" w:rsidRPr="00B44468" w:rsidRDefault="0054098D" w:rsidP="009B48B2">
      <w:pPr>
        <w:pStyle w:val="afa"/>
        <w:numPr>
          <w:ilvl w:val="0"/>
          <w:numId w:val="38"/>
        </w:numPr>
        <w:ind w:left="0"/>
        <w:rPr>
          <w:sz w:val="24"/>
          <w:szCs w:val="24"/>
        </w:rPr>
      </w:pPr>
      <w:r w:rsidRPr="00B44468">
        <w:rPr>
          <w:sz w:val="24"/>
          <w:szCs w:val="24"/>
          <w:lang w:val="kk"/>
        </w:rPr>
        <w:t>Чайлд-Пью бойынша В және С класындағы бауыр циррозы бар пациенттерді қоса алғанда, клиникалық маңызды қан кетудің даму қаупімен байланысты коагулопатиямен қатар байқалатын бауыр ауруы (5.2 бөлімін қараңыз)</w:t>
      </w:r>
    </w:p>
    <w:p w14:paraId="32BD771D" w14:textId="590EDD70" w:rsidR="00A1465C" w:rsidRPr="00B44468" w:rsidRDefault="0054098D" w:rsidP="009B48B2">
      <w:pPr>
        <w:pStyle w:val="afa"/>
        <w:numPr>
          <w:ilvl w:val="0"/>
          <w:numId w:val="38"/>
        </w:numPr>
        <w:ind w:left="0"/>
        <w:rPr>
          <w:sz w:val="24"/>
          <w:szCs w:val="24"/>
        </w:rPr>
      </w:pPr>
      <w:r w:rsidRPr="00B44468">
        <w:rPr>
          <w:sz w:val="24"/>
          <w:szCs w:val="24"/>
          <w:lang w:val="kk"/>
        </w:rPr>
        <w:t>жүктілік және бала емізу кезеңі (4.6 бөлімін қараңыз)</w:t>
      </w:r>
    </w:p>
    <w:p w14:paraId="32BD771F" w14:textId="77777777" w:rsidR="00CF2D83" w:rsidRPr="00B44468" w:rsidRDefault="00CF2D83" w:rsidP="00CF2D83">
      <w:pPr>
        <w:widowControl w:val="0"/>
        <w:tabs>
          <w:tab w:val="left" w:pos="426"/>
        </w:tabs>
        <w:autoSpaceDE w:val="0"/>
        <w:autoSpaceDN w:val="0"/>
        <w:adjustRightInd w:val="0"/>
        <w:jc w:val="both"/>
      </w:pPr>
    </w:p>
    <w:p w14:paraId="32BD7720" w14:textId="77777777" w:rsidR="00CF2D83" w:rsidRPr="00810340" w:rsidRDefault="0054098D" w:rsidP="00CF2D83">
      <w:pPr>
        <w:pStyle w:val="8"/>
        <w:keepNext w:val="0"/>
        <w:outlineLvl w:val="0"/>
        <w:rPr>
          <w:sz w:val="24"/>
          <w:szCs w:val="24"/>
        </w:rPr>
      </w:pPr>
      <w:r w:rsidRPr="00810340">
        <w:rPr>
          <w:sz w:val="24"/>
          <w:szCs w:val="24"/>
          <w:lang w:val="kk"/>
        </w:rPr>
        <w:t>4.4 Айрықша нұсқаулар және қолдану кезіндегі сақтандыру шаралары</w:t>
      </w:r>
    </w:p>
    <w:p w14:paraId="32BD7722" w14:textId="53683102" w:rsidR="00A1465C" w:rsidRPr="00C96598" w:rsidRDefault="0054098D" w:rsidP="00C96598">
      <w:pPr>
        <w:jc w:val="both"/>
      </w:pPr>
      <w:r w:rsidRPr="00810340">
        <w:rPr>
          <w:lang w:val="kk"/>
        </w:rPr>
        <w:t xml:space="preserve">Емдеудің барлық кезеңінде антикоагулянттық емнің белгіленген практикасы шеңберінде клиникалық бақылау жүргізу </w:t>
      </w:r>
      <w:r w:rsidRPr="00810340">
        <w:rPr>
          <w:bCs/>
          <w:color w:val="000000"/>
          <w:lang w:val="kk"/>
        </w:rPr>
        <w:t>ұ</w:t>
      </w:r>
      <w:r w:rsidRPr="00810340">
        <w:rPr>
          <w:lang w:val="kk"/>
        </w:rPr>
        <w:t xml:space="preserve">сынылады. </w:t>
      </w:r>
    </w:p>
    <w:p w14:paraId="32BD7723" w14:textId="77777777" w:rsidR="00A1465C" w:rsidRPr="00C96598" w:rsidRDefault="0054098D" w:rsidP="00A1465C">
      <w:pPr>
        <w:numPr>
          <w:ilvl w:val="12"/>
          <w:numId w:val="0"/>
        </w:numPr>
        <w:jc w:val="both"/>
        <w:rPr>
          <w:i/>
        </w:rPr>
      </w:pPr>
      <w:r w:rsidRPr="00C96598">
        <w:rPr>
          <w:i/>
          <w:lang w:val="kk"/>
        </w:rPr>
        <w:t>Қан кету қаупі</w:t>
      </w:r>
    </w:p>
    <w:p w14:paraId="0DC2E884" w14:textId="2E379599" w:rsidR="00CA19E6" w:rsidRPr="0054098D" w:rsidRDefault="0054098D" w:rsidP="00A1465C">
      <w:pPr>
        <w:jc w:val="both"/>
        <w:rPr>
          <w:rFonts w:eastAsia="SimSun"/>
          <w:lang w:val="kk" w:eastAsia="zh-CN"/>
        </w:rPr>
      </w:pPr>
      <w:r w:rsidRPr="00810340">
        <w:rPr>
          <w:rFonts w:eastAsia="SimSun"/>
          <w:lang w:val="kk" w:eastAsia="zh-CN"/>
        </w:rPr>
        <w:t xml:space="preserve">Ривамус препаратын қабылдау аясында басқа антикоагулянттарды қолданғандағыдай, қан кету белгілерін анықтау үшін пациенттерді мұқият бақылау қажет. Ривамус препаратын қан кету қаупі жоғары пациенттерді емдеу кезінде сақтықпен пайдалану ұсынылады. Ауыр қан кету дамыған кезде Ривамус препаратын қабылдауды тоқтату керек (4.9 бөлімін қараңыз). </w:t>
      </w:r>
    </w:p>
    <w:p w14:paraId="32BD7727" w14:textId="175B8734" w:rsidR="00A1465C" w:rsidRPr="0054098D" w:rsidRDefault="0054098D" w:rsidP="00A1465C">
      <w:pPr>
        <w:jc w:val="both"/>
        <w:rPr>
          <w:rFonts w:eastAsia="SimSun"/>
          <w:lang w:val="kk" w:eastAsia="zh-CN"/>
        </w:rPr>
      </w:pPr>
      <w:r w:rsidRPr="00810340">
        <w:rPr>
          <w:lang w:val="kk"/>
        </w:rPr>
        <w:t xml:space="preserve">Клиникалық зерттеулерде шырышты қабықтардан қан кету (мысалы, мұрыннан, қызылиектен, асқазан-ішектен және несеп-жыныс жолынан, оның ішінде патологиялық қынаптық және </w:t>
      </w:r>
      <w:r w:rsidR="004B3F1E">
        <w:rPr>
          <w:lang w:val="kk-KZ"/>
        </w:rPr>
        <w:t>қарқынды</w:t>
      </w:r>
      <w:r w:rsidRPr="00810340">
        <w:rPr>
          <w:lang w:val="kk"/>
        </w:rPr>
        <w:t xml:space="preserve"> етеккірлік қан кету) және анемия КДА емдеумен салыстырғанда </w:t>
      </w:r>
      <w:r w:rsidR="00587D2C">
        <w:rPr>
          <w:lang w:val="kk"/>
        </w:rPr>
        <w:t>ривароксабанмен</w:t>
      </w:r>
      <w:r w:rsidRPr="00810340">
        <w:rPr>
          <w:lang w:val="kk"/>
        </w:rPr>
        <w:t xml:space="preserve"> ұзақ емдегенде жиірек байқалды. Сондықтан, стандартты клиникалық бақылауға қосымша, және егер орынды болса, жасырын қан кетуді анықтау үшін гемоглобин/гематокрит деңгейін зертханалық анықтау және айқын қан кетудің клиникалық маңыздылығын сандық бағалау қажет болуы мүмкін. </w:t>
      </w:r>
    </w:p>
    <w:p w14:paraId="32BD7729" w14:textId="0245A565" w:rsidR="00F96CC9" w:rsidRPr="0054098D" w:rsidRDefault="0054098D" w:rsidP="00F96CC9">
      <w:pPr>
        <w:jc w:val="both"/>
        <w:rPr>
          <w:lang w:val="kk"/>
        </w:rPr>
      </w:pPr>
      <w:r w:rsidRPr="00810340">
        <w:rPr>
          <w:lang w:val="kk"/>
        </w:rPr>
        <w:t>Төменде сипатталған пациенттердің бірнеше шағын тобында қан кету қаупі жоғары. Бұл пациенттер емдеу басталған сәттен бастап қан кету мен анемияның белгілері мен симптомдарын анықтау үшін дәрігердің мұқият бақылауында болуы тиіс (4.8 бөлімін қараңыз). Ұршықбуынның немесе тізебуынның протезделуі жоспарланған ересек пациенттерде веналық тромбоэмболияның (ВТЭ) профилактикасы үшін 10 мг Ривамус препаратын қабылдайтын пациенттер үшін бұл жүйелі медициналық тексерумен, операциялық жарадан бөлінетінді мұқият бақылаумен және гемоглобин деңгейін мерзімді анықтаумен қамтамасыз етілуі мүмкін. Гемоглобин деңгейі немесе артериялық қысым түсініксіз төмендегенде қан кету көзін табу керек.</w:t>
      </w:r>
    </w:p>
    <w:p w14:paraId="32BD772B" w14:textId="0A48202A" w:rsidR="00A1465C" w:rsidRPr="0054098D" w:rsidRDefault="0054098D" w:rsidP="00A1465C">
      <w:pPr>
        <w:jc w:val="both"/>
        <w:rPr>
          <w:rFonts w:eastAsia="SimSun"/>
          <w:lang w:val="kk" w:eastAsia="zh-CN"/>
        </w:rPr>
      </w:pPr>
      <w:r w:rsidRPr="00810340">
        <w:rPr>
          <w:lang w:val="kk"/>
        </w:rPr>
        <w:t xml:space="preserve">Ривамус препаратымен емдеу экспозициясы дағдылы мониторингілеуді қажет етпейтініне қарамастан, ривароксабан экспозициясын білу клиникалық шешім қабылдауға көмектесетін ерекше жағдайларда, мысалы, артық дозаланғанда және шұғыл операция кезінде, ривароксабанды Ха факторына қарсы калибрленген сандық белсенділік тестімен өлшеу пайдалы болуы мүмкін (5.1, 5.2 бөлімдерін қараңыз). </w:t>
      </w:r>
    </w:p>
    <w:p w14:paraId="32BD772C" w14:textId="77777777" w:rsidR="00A1465C" w:rsidRPr="00C96598" w:rsidRDefault="0054098D" w:rsidP="00A1465C">
      <w:pPr>
        <w:jc w:val="both"/>
        <w:rPr>
          <w:i/>
          <w:lang w:val="kk-KZ"/>
        </w:rPr>
      </w:pPr>
      <w:r w:rsidRPr="00C96598">
        <w:rPr>
          <w:i/>
          <w:lang w:val="kk"/>
        </w:rPr>
        <w:t>Бүйрек функциясының жеткіліксіздігі</w:t>
      </w:r>
    </w:p>
    <w:p w14:paraId="32BD772D" w14:textId="06A29CF1" w:rsidR="00A1465C" w:rsidRPr="0054098D" w:rsidRDefault="0054098D" w:rsidP="00A1465C">
      <w:pPr>
        <w:jc w:val="both"/>
        <w:rPr>
          <w:lang w:val="kk"/>
        </w:rPr>
      </w:pPr>
      <w:r w:rsidRPr="00810340">
        <w:rPr>
          <w:lang w:val="kk"/>
        </w:rPr>
        <w:t xml:space="preserve">Бүйрек функциясының ауыр жеткіліксіздігі бар пациенттерде (креатинин клиренсі &lt;30 мл/мин) қан плазмасындағы ривароксабан концентрациясы едәуір жоғарылауы мүмкін (орташа есеппен 1,6 есе), бұл қан кету қаупінің жоғарылауына әкелуі мүмкін. </w:t>
      </w:r>
    </w:p>
    <w:p w14:paraId="32BD772E" w14:textId="21DC2448" w:rsidR="00A1465C" w:rsidRPr="0054098D" w:rsidRDefault="0054098D" w:rsidP="00A1465C">
      <w:pPr>
        <w:jc w:val="both"/>
        <w:rPr>
          <w:lang w:val="kk"/>
        </w:rPr>
      </w:pPr>
      <w:r w:rsidRPr="00810340">
        <w:rPr>
          <w:lang w:val="kk"/>
        </w:rPr>
        <w:t xml:space="preserve">Ривамус препаратын креатинин клиренсі 15-29 мл/мин құрайтын, бүйрек функциясының ауыр жеткіліксіздігі бар пациенттерді емдеу кезінде сақтықпен қолдану қажет. Креатинин клиренсі &lt;15 мл/мин құрайтын пациенттерде ривароксабанды қолдану ұсынылмайды (4.2 және 5.2 бөлімдерін қараңыз). </w:t>
      </w:r>
    </w:p>
    <w:p w14:paraId="32BD7730" w14:textId="383FDD88" w:rsidR="00A1465C" w:rsidRPr="0054098D" w:rsidRDefault="0054098D" w:rsidP="00A1465C">
      <w:pPr>
        <w:jc w:val="both"/>
        <w:rPr>
          <w:lang w:val="kk"/>
        </w:rPr>
      </w:pPr>
      <w:r w:rsidRPr="00810340">
        <w:rPr>
          <w:lang w:val="kk"/>
        </w:rPr>
        <w:t>Қан плазмасындағы ривароксабан концентрациясын арттыратын басқа препараттармен қатар ем қабылдап жүрген, бүйрек функциясының орташа жеткіліксіздігі (креатинин клиренсі 30-49 мл/мин) бар пациенттерді емдегенде Ривамус препаратын сақтықпен қолдану қажет (4.5 бөлімін қараңыз).</w:t>
      </w:r>
    </w:p>
    <w:p w14:paraId="32BD7731" w14:textId="77777777" w:rsidR="00A1465C" w:rsidRPr="0054098D" w:rsidRDefault="0054098D" w:rsidP="00A1465C">
      <w:pPr>
        <w:jc w:val="both"/>
        <w:rPr>
          <w:i/>
          <w:lang w:val="kk"/>
        </w:rPr>
      </w:pPr>
      <w:r w:rsidRPr="00C96598">
        <w:rPr>
          <w:i/>
          <w:lang w:val="kk"/>
        </w:rPr>
        <w:t>Басқа дәрілік препараттармен өзара әрекеттесуі</w:t>
      </w:r>
    </w:p>
    <w:p w14:paraId="32BD7732" w14:textId="445448BC" w:rsidR="00A1465C" w:rsidRPr="0054098D" w:rsidRDefault="0054098D" w:rsidP="00A1465C">
      <w:pPr>
        <w:jc w:val="both"/>
        <w:rPr>
          <w:lang w:val="kk"/>
        </w:rPr>
      </w:pPr>
      <w:r>
        <w:rPr>
          <w:lang w:val="kk"/>
        </w:rPr>
        <w:t xml:space="preserve">Ривамус препараты азол тобының зеңге қарсы препараттарымен (мысалы, кетоконазолмен, итраконазолмен, вориконазолмен және позаконазолмен) немесе АИТВ протеаза тежегіштерімен (мысалы, ритонавирмен) жүйелі ем алып жүрген пациенттерде қолдануға </w:t>
      </w:r>
      <w:r>
        <w:rPr>
          <w:lang w:val="kk"/>
        </w:rPr>
        <w:lastRenderedPageBreak/>
        <w:t xml:space="preserve">ұсынылмайды. Бұл дәрілік препараттар CYP3A4 және Р гликопротеинінің күшті тежегіштері болып табылады, нәтижесінде бұл дәрілік препараттар плазмадағы ривароксабан концентрациясын клиникалық маңызды деңгейге дейін (орта есеппен 2,6 есе) арттыруы мүмкін, бұл қан кетудің даму қаупін арттырады (4.5 бөлімін қараңыз). </w:t>
      </w:r>
    </w:p>
    <w:p w14:paraId="32BD7733" w14:textId="09AA2E1C" w:rsidR="00A1465C" w:rsidRPr="0054098D" w:rsidRDefault="0054098D" w:rsidP="00A1465C">
      <w:pPr>
        <w:jc w:val="both"/>
        <w:rPr>
          <w:lang w:val="kk"/>
        </w:rPr>
      </w:pPr>
      <w:r w:rsidRPr="00810340">
        <w:rPr>
          <w:lang w:val="kk"/>
        </w:rPr>
        <w:t>Ривамус препаратын гемостазға әсер ететін дәрілік препараттарды, мысалы, қабынуға қарсы стероидты емес дәрілерді (ҚҚСД), ацетилсалицил қышқылын (АСҚ) және тромбоциттер агрегациясының тежегіштерін немесе серотонинді кері қармаудың селективті тежегіштерін (СКҚСТ) және серотонин мен норепинефринді кері қармау тежегіштерін (СНКҚТ) қабылдайтын пациенттерге тағайындағанда сақ болу қажет. Асқазан-ішек жолының ойықжаралы ауруының даму қаупі бар пациенттерге тиісті профилактикалық ем жүргізу туралы мәселені қарау керек (4.5 бөлімін қараңыз).</w:t>
      </w:r>
    </w:p>
    <w:p w14:paraId="32BD7736" w14:textId="77777777" w:rsidR="00A1465C" w:rsidRPr="0054098D" w:rsidRDefault="0054098D" w:rsidP="00A1465C">
      <w:pPr>
        <w:jc w:val="both"/>
        <w:rPr>
          <w:i/>
          <w:lang w:val="kk"/>
        </w:rPr>
      </w:pPr>
      <w:r w:rsidRPr="00C96598">
        <w:rPr>
          <w:i/>
          <w:lang w:val="kk"/>
        </w:rPr>
        <w:t xml:space="preserve">Қан кетудің басқа қауіп факторлары </w:t>
      </w:r>
    </w:p>
    <w:p w14:paraId="32BD7737" w14:textId="555E22FC" w:rsidR="00A1465C" w:rsidRPr="0054098D" w:rsidRDefault="0054098D" w:rsidP="00A1465C">
      <w:pPr>
        <w:jc w:val="both"/>
        <w:rPr>
          <w:lang w:val="kk"/>
        </w:rPr>
      </w:pPr>
      <w:bookmarkStart w:id="1" w:name="_Hlk75860200"/>
      <w:r>
        <w:rPr>
          <w:lang w:val="kk"/>
        </w:rPr>
        <w:t xml:space="preserve">Ривамус </w:t>
      </w:r>
      <w:bookmarkEnd w:id="1"/>
      <w:r>
        <w:rPr>
          <w:lang w:val="kk"/>
        </w:rPr>
        <w:t xml:space="preserve">препаратын, сондай-ақ тромбозға қарсы басқа да препараттар сияқты, қан кету қаупі жоғары, атап айтқанда мынадай жай-күйлері бар пациенттерді емдеу кезінде пайдалану ұсынылмайды: </w:t>
      </w:r>
    </w:p>
    <w:p w14:paraId="32BD7738" w14:textId="77777777" w:rsidR="00A1465C" w:rsidRPr="0054098D" w:rsidRDefault="0054098D" w:rsidP="00CA19E6">
      <w:pPr>
        <w:numPr>
          <w:ilvl w:val="0"/>
          <w:numId w:val="29"/>
        </w:numPr>
        <w:ind w:left="0"/>
        <w:jc w:val="both"/>
        <w:rPr>
          <w:lang w:val="kk"/>
        </w:rPr>
      </w:pPr>
      <w:r w:rsidRPr="00810340">
        <w:rPr>
          <w:lang w:val="kk"/>
        </w:rPr>
        <w:t>қан кетумен байланысты туа біткен немесе жүре пайда болған бұзылулар</w:t>
      </w:r>
    </w:p>
    <w:p w14:paraId="32BD7739" w14:textId="7CA0DC49" w:rsidR="00A1465C" w:rsidRPr="00810340" w:rsidRDefault="0054098D" w:rsidP="00CA19E6">
      <w:pPr>
        <w:numPr>
          <w:ilvl w:val="0"/>
          <w:numId w:val="29"/>
        </w:numPr>
        <w:ind w:left="0"/>
        <w:rPr>
          <w:lang w:val="en-US"/>
        </w:rPr>
      </w:pPr>
      <w:r w:rsidRPr="00810340">
        <w:rPr>
          <w:lang w:val="kk"/>
        </w:rPr>
        <w:t xml:space="preserve">бақыланбайтын ауыр артериялық </w:t>
      </w:r>
      <w:r w:rsidRPr="0067103A">
        <w:rPr>
          <w:lang w:val="kk"/>
        </w:rPr>
        <w:t>гиперт</w:t>
      </w:r>
      <w:r w:rsidR="00594155" w:rsidRPr="0067103A">
        <w:rPr>
          <w:lang w:val="kk"/>
        </w:rPr>
        <w:t>ензия</w:t>
      </w:r>
    </w:p>
    <w:p w14:paraId="32BD773A" w14:textId="77777777" w:rsidR="00A1465C" w:rsidRPr="0054098D" w:rsidRDefault="0054098D" w:rsidP="00CA19E6">
      <w:pPr>
        <w:numPr>
          <w:ilvl w:val="0"/>
          <w:numId w:val="29"/>
        </w:numPr>
        <w:ind w:left="0"/>
        <w:jc w:val="both"/>
        <w:rPr>
          <w:lang w:val="en-US"/>
        </w:rPr>
      </w:pPr>
      <w:r w:rsidRPr="00810340">
        <w:rPr>
          <w:lang w:val="kk"/>
        </w:rPr>
        <w:t>қан кетумен асқынуы мүмкін белсенді ойықжараланусыз асқазан-ішек жолының басқа аурулары (мысалы, ішектің қабыну аурулары, эзофагит, гастрит, гастроэзофагеальдік рефлюкс)</w:t>
      </w:r>
    </w:p>
    <w:p w14:paraId="32BD773B" w14:textId="77777777" w:rsidR="00A1465C" w:rsidRPr="00810340" w:rsidRDefault="0054098D" w:rsidP="00CA19E6">
      <w:pPr>
        <w:numPr>
          <w:ilvl w:val="0"/>
          <w:numId w:val="29"/>
        </w:numPr>
        <w:ind w:left="0"/>
        <w:rPr>
          <w:lang w:val="en-US"/>
        </w:rPr>
      </w:pPr>
      <w:r w:rsidRPr="00810340">
        <w:rPr>
          <w:lang w:val="kk"/>
        </w:rPr>
        <w:t>тамырлық ретинопатия</w:t>
      </w:r>
    </w:p>
    <w:p w14:paraId="32BD773D" w14:textId="0BED4547" w:rsidR="00A1465C" w:rsidRPr="0054098D" w:rsidRDefault="0054098D" w:rsidP="00B51AC2">
      <w:pPr>
        <w:numPr>
          <w:ilvl w:val="0"/>
          <w:numId w:val="29"/>
        </w:numPr>
        <w:ind w:left="0"/>
        <w:rPr>
          <w:lang w:val="en-US"/>
        </w:rPr>
      </w:pPr>
      <w:r w:rsidRPr="00810340">
        <w:rPr>
          <w:lang w:val="kk"/>
        </w:rPr>
        <w:t>бронхоэктаздар немесе анамнезіндегі өкпеден қан кету</w:t>
      </w:r>
    </w:p>
    <w:p w14:paraId="0C958B20" w14:textId="77777777" w:rsidR="00874367" w:rsidRPr="0054098D" w:rsidRDefault="0054098D" w:rsidP="00874367">
      <w:pPr>
        <w:pStyle w:val="afa"/>
        <w:ind w:left="0"/>
        <w:rPr>
          <w:i/>
          <w:iCs/>
          <w:sz w:val="24"/>
          <w:szCs w:val="24"/>
          <w:lang w:val="en-US"/>
        </w:rPr>
      </w:pPr>
      <w:r w:rsidRPr="00874367">
        <w:rPr>
          <w:i/>
          <w:iCs/>
          <w:sz w:val="24"/>
          <w:szCs w:val="24"/>
          <w:lang w:val="kk"/>
        </w:rPr>
        <w:t>Қатерлі жаңа түзілімдері бар пациенттер</w:t>
      </w:r>
    </w:p>
    <w:p w14:paraId="60070AB0" w14:textId="77777777" w:rsidR="00874367" w:rsidRPr="0054098D" w:rsidRDefault="0054098D" w:rsidP="00874367">
      <w:pPr>
        <w:pStyle w:val="afa"/>
        <w:ind w:left="0"/>
        <w:rPr>
          <w:sz w:val="24"/>
          <w:szCs w:val="24"/>
          <w:lang w:val="kk"/>
        </w:rPr>
      </w:pPr>
      <w:r w:rsidRPr="00874367">
        <w:rPr>
          <w:sz w:val="24"/>
          <w:szCs w:val="24"/>
          <w:lang w:val="kk"/>
        </w:rPr>
        <w:t>Қатерлі жаңа түзілімдері бар пациенттер жоғары қан кету және тромбоз қаупіне бейім болуы мүмкін. Антиагреганттық емнің жеке пайдасын жаңа түзілімінің орналасқан жеріне, ісікке қарсы емге және ауру сатысына байланысты белсенді сатыдағы обыры  бар пациенттерде қан кету қаупімен салыстыру керек. Асқазан-ішек жолында немесе несеп-жыныс жүйесінде орналасқан жаңа түзілімдер ривароксабанмен емдеу кезінде қан кету қаупінің жоғарылауына ықпал етуі мүмкін.</w:t>
      </w:r>
    </w:p>
    <w:p w14:paraId="0931E765" w14:textId="77777777" w:rsidR="00874367" w:rsidRPr="0054098D" w:rsidRDefault="0054098D" w:rsidP="00874367">
      <w:pPr>
        <w:pStyle w:val="afa"/>
        <w:ind w:left="0"/>
        <w:rPr>
          <w:sz w:val="24"/>
          <w:szCs w:val="24"/>
          <w:lang w:val="kk"/>
        </w:rPr>
      </w:pPr>
      <w:r w:rsidRPr="00874367">
        <w:rPr>
          <w:sz w:val="24"/>
          <w:szCs w:val="24"/>
          <w:lang w:val="kk"/>
        </w:rPr>
        <w:t>Қан кету қаупі жоғары қатерлі жаңа түзілімдері бар пациенттерде ривароксабанды қолдануға болмайды (4.3 бөлімін қараңыз).</w:t>
      </w:r>
    </w:p>
    <w:p w14:paraId="32BD773E" w14:textId="77777777" w:rsidR="00A1465C" w:rsidRPr="0054098D" w:rsidRDefault="0054098D" w:rsidP="00A1465C">
      <w:pPr>
        <w:autoSpaceDE w:val="0"/>
        <w:autoSpaceDN w:val="0"/>
        <w:adjustRightInd w:val="0"/>
        <w:jc w:val="both"/>
        <w:rPr>
          <w:i/>
          <w:lang w:val="kk"/>
        </w:rPr>
      </w:pPr>
      <w:r w:rsidRPr="00C96598">
        <w:rPr>
          <w:i/>
          <w:lang w:val="kk"/>
        </w:rPr>
        <w:t>Жүректің жасанды қақпақшасы бар пациенттер</w:t>
      </w:r>
    </w:p>
    <w:p w14:paraId="32BD7741" w14:textId="4CA179BC" w:rsidR="00A1465C" w:rsidRPr="0054098D" w:rsidRDefault="0054098D" w:rsidP="00C96598">
      <w:pPr>
        <w:autoSpaceDE w:val="0"/>
        <w:autoSpaceDN w:val="0"/>
        <w:adjustRightInd w:val="0"/>
        <w:jc w:val="both"/>
        <w:rPr>
          <w:lang w:val="kk"/>
        </w:rPr>
      </w:pPr>
      <w:r>
        <w:rPr>
          <w:lang w:val="kk"/>
        </w:rPr>
        <w:t xml:space="preserve">Ривамус препаратын таяуда аорта қақпақшасын транскатетерлі ауыстыруды (TAVR) бастан өткерген пациенттерде тромбопрофилактика үшін пайдалануға болмайды. Жүректің жасанды қақпақшасы бар пациенттерде ривароксабанды қолданудың қауіпсіздігі мен тиімділігі зерттелмеген, сондықтан ондай пациенттер популяциясында ривароксабанның талапқа сай антикоагулянттық әсері туралы деректер жоқ. Ондай пациенттерде Ривамус препаратымен емдеу ұсынылмайды. </w:t>
      </w:r>
    </w:p>
    <w:p w14:paraId="32BD7742" w14:textId="2FED1ED5" w:rsidR="00A1465C" w:rsidRPr="0054098D" w:rsidRDefault="0054098D" w:rsidP="00A1465C">
      <w:pPr>
        <w:numPr>
          <w:ilvl w:val="12"/>
          <w:numId w:val="0"/>
        </w:numPr>
        <w:jc w:val="both"/>
        <w:rPr>
          <w:i/>
          <w:lang w:val="kk"/>
        </w:rPr>
      </w:pPr>
      <w:r w:rsidRPr="00C96598">
        <w:rPr>
          <w:i/>
          <w:lang w:val="kk"/>
        </w:rPr>
        <w:t xml:space="preserve">Антифосфолипидтік синдромы бар пациенттер  </w:t>
      </w:r>
    </w:p>
    <w:p w14:paraId="32BD7744" w14:textId="417BEEBE" w:rsidR="00DF3627" w:rsidRPr="0054098D" w:rsidRDefault="0054098D" w:rsidP="00C96598">
      <w:pPr>
        <w:numPr>
          <w:ilvl w:val="12"/>
          <w:numId w:val="0"/>
        </w:numPr>
        <w:jc w:val="both"/>
        <w:rPr>
          <w:lang w:val="kk"/>
        </w:rPr>
      </w:pPr>
      <w:r w:rsidRPr="00810340">
        <w:rPr>
          <w:lang w:val="kk"/>
        </w:rPr>
        <w:t xml:space="preserve">Анамнезінде тромбозы бар, антифосфолипидтік синдром диагностикаланған пациенттерге ривароксабанды қоса, тікелей әсер ететін пероральді антикоагулянттарды тағайындау ұсынылмайды. Тікелей әсер ететін пероральді антикоагулянттармен емдеу К дәруменінің антагонистерімен жүргізілетін еммен салыстырғанда, әсіресе </w:t>
      </w:r>
      <w:bookmarkStart w:id="2" w:name="_Hlk19875725"/>
      <w:r w:rsidRPr="00810340">
        <w:rPr>
          <w:lang w:val="kk"/>
        </w:rPr>
        <w:t xml:space="preserve">антифосфолипидтік антиденелердің барлық үш типінің </w:t>
      </w:r>
      <w:bookmarkEnd w:id="2"/>
      <w:r w:rsidRPr="00810340">
        <w:rPr>
          <w:lang w:val="kk"/>
        </w:rPr>
        <w:t>(жегілік антикоагулянт, кардиолипинге антиденелер және бета-2-гликопротеин-1 антиденелер) позитивтілігі бар пациенттерде қайталанатын тромбоздық оқиғалар жиілігінің артуымен байланысты болуы мүмкін.</w:t>
      </w:r>
    </w:p>
    <w:p w14:paraId="32BD7745" w14:textId="77777777" w:rsidR="00DF3627" w:rsidRPr="00C96598" w:rsidRDefault="0054098D" w:rsidP="00DF3627">
      <w:pPr>
        <w:pStyle w:val="22"/>
        <w:spacing w:after="0" w:line="240" w:lineRule="auto"/>
        <w:rPr>
          <w:i/>
        </w:rPr>
      </w:pPr>
      <w:r w:rsidRPr="00C96598">
        <w:rPr>
          <w:i/>
          <w:lang w:val="kk"/>
        </w:rPr>
        <w:t>Ортанжілік сынғандағы хирургиялық операциялар</w:t>
      </w:r>
    </w:p>
    <w:p w14:paraId="32BD7747" w14:textId="1D53A68F" w:rsidR="00DF3627" w:rsidRPr="0054098D" w:rsidRDefault="0054098D" w:rsidP="00C96598">
      <w:pPr>
        <w:pStyle w:val="a4"/>
        <w:rPr>
          <w:sz w:val="24"/>
          <w:lang w:val="kk"/>
        </w:rPr>
      </w:pPr>
      <w:r w:rsidRPr="00810340">
        <w:rPr>
          <w:sz w:val="24"/>
          <w:lang w:val="kk" w:bidi="ru-RU"/>
        </w:rPr>
        <w:t>Ривароксабанның тиімділігі мен қауіпсіздігін бағалау ортанжілік сынған кезде хирургиялық операциялар жасалатын пациенттердің қатысуымен жүргізілген интервенциялық клиникалық зерттеулер кезінде зерттелмеген.</w:t>
      </w:r>
    </w:p>
    <w:p w14:paraId="32BD7748" w14:textId="77777777" w:rsidR="00DF3627" w:rsidRPr="0054098D" w:rsidRDefault="0054098D" w:rsidP="00DF3627">
      <w:pPr>
        <w:autoSpaceDE w:val="0"/>
        <w:autoSpaceDN w:val="0"/>
        <w:adjustRightInd w:val="0"/>
        <w:jc w:val="both"/>
        <w:rPr>
          <w:i/>
          <w:lang w:val="kk"/>
        </w:rPr>
      </w:pPr>
      <w:r w:rsidRPr="00C96598">
        <w:rPr>
          <w:i/>
          <w:lang w:val="kk"/>
        </w:rPr>
        <w:t>Тромболизиске немесе өкпе эмболэктомиясына мұқтаж ӨАТЭ бар гемодинамикалық тұрақсыз пациенттер</w:t>
      </w:r>
    </w:p>
    <w:p w14:paraId="32BD774A" w14:textId="3A99581D" w:rsidR="00A1465C" w:rsidRPr="0054098D" w:rsidRDefault="0054098D" w:rsidP="00B44468">
      <w:pPr>
        <w:jc w:val="both"/>
        <w:rPr>
          <w:color w:val="000000"/>
          <w:lang w:val="kk"/>
        </w:rPr>
      </w:pPr>
      <w:r>
        <w:rPr>
          <w:color w:val="000000"/>
          <w:lang w:val="kk"/>
        </w:rPr>
        <w:lastRenderedPageBreak/>
        <w:t>Ривамус препаратын ӨАТЭ және гемодинамика тұрақсыздығы бар немесе тромболизис немесе өкпе эмболэктомиясы жүргізілуі мүмкін пациенттерде фракцияланбаған гепаринге балама ретінде қолдану ұсынылмайды, өйткені ривароксабанның қауіпсіздігі мен тиімділігі осы клиникалық жағдайларда анықталмаған.</w:t>
      </w:r>
    </w:p>
    <w:p w14:paraId="32BD774B" w14:textId="77777777" w:rsidR="00A1465C" w:rsidRPr="0054098D" w:rsidRDefault="0054098D" w:rsidP="00A1465C">
      <w:pPr>
        <w:rPr>
          <w:i/>
          <w:lang w:val="kk"/>
        </w:rPr>
      </w:pPr>
      <w:r w:rsidRPr="00C96598">
        <w:rPr>
          <w:i/>
          <w:lang w:val="kk"/>
        </w:rPr>
        <w:t>Нейроаксиалдық (эпидуральдық/жұлын) анестезия</w:t>
      </w:r>
    </w:p>
    <w:p w14:paraId="32BD774E" w14:textId="1549C481" w:rsidR="008D03BC" w:rsidRPr="0054098D" w:rsidRDefault="0054098D" w:rsidP="00A1465C">
      <w:pPr>
        <w:jc w:val="both"/>
        <w:rPr>
          <w:lang w:val="kk"/>
        </w:rPr>
      </w:pPr>
      <w:r w:rsidRPr="00810340">
        <w:rPr>
          <w:lang w:val="kk"/>
        </w:rPr>
        <w:t xml:space="preserve">Нейроаксиалдық (жұлын/эпидуральдық) анестезия немесе жұлын/эпидуральдық пункция жүргізу кезінде тромбоэмболиялық асқынулардың профилактикасы үшін тромбозға қарсы дәрілерді қабылдайтын пациенттер эпидуральдық немесе жұлын гематомасының даму қаупіне ұшырайды, ол ұзаққа созылатын немесе тұрақты салдануға әкелуі мүмкін. Ондай құбылыстардың даму қаупі тұрақты эпидуральдық катетерлерді пайдаланғанда немесе гемостазға әсер ететін препараттарды бірге қабылдағанда одан бетер артады. Жарақат алғаннан кейін немесе қайталанатын эпидуральдық немесе жұлын пункциясынан кейін қауіп жоғарылауы мүмкін. Неврологиялық бұзылулардың белгілерін немесе симптомдарын (мысалы, аяқтардың ұюы немесе әлсіреуі, тоқішектің немесе қуықтың дисфункциясы) анықтау үшін пациенттерді жиі бақылау керек. Неврологиялық ауытқулар анықталған кезде пациентті жедел диагностикалау және емдеу қажет. Антикоагулянттар қабылдайтын пациенттерде немесе тромбопрофилактика үшін алда антикоагулянттық ем болатын пациенттерде нейроаксиялдық әрекет жасамас бұрын дәрігер қаупіне қатысты әлеуетті пайдасын ескеруі тиіс. </w:t>
      </w:r>
    </w:p>
    <w:p w14:paraId="32BD774F" w14:textId="77777777" w:rsidR="00A1465C" w:rsidRPr="0054098D" w:rsidRDefault="0054098D" w:rsidP="00C20C33">
      <w:pPr>
        <w:jc w:val="both"/>
        <w:rPr>
          <w:rFonts w:eastAsia="SimSun"/>
          <w:lang w:val="kk" w:eastAsia="zh-CN"/>
        </w:rPr>
      </w:pPr>
      <w:r w:rsidRPr="00810340">
        <w:rPr>
          <w:rFonts w:eastAsia="SimSun"/>
          <w:lang w:val="kk" w:eastAsia="zh-CN"/>
        </w:rPr>
        <w:t xml:space="preserve">Ривароксабанды бір мезгілде қолдану аясында эпидуральдық/жұлын анестезиясын және немесе жұлын пункциясын жасаумен астасқан қан кетудің ықтимал қаупін төмендету мақсатында ривароксабанның фармакокинетикалық бейінін ескеру керек. Ривароксабанның антикоагулянттық әсері әлсіз деп бағаланған кезде эпидуральдық катетерді орнатқан немесе алып тастаған немесе белді пункциялаған жөн (5.2 бөлімін қараңыз). </w:t>
      </w:r>
    </w:p>
    <w:p w14:paraId="32BD7750" w14:textId="5741C54D" w:rsidR="002F26A3" w:rsidRPr="0054098D" w:rsidRDefault="0054098D" w:rsidP="002F26A3">
      <w:pPr>
        <w:jc w:val="both"/>
        <w:rPr>
          <w:rFonts w:eastAsia="SimSun"/>
          <w:lang w:val="kk" w:eastAsia="zh-CN"/>
        </w:rPr>
      </w:pPr>
      <w:r w:rsidRPr="00810340">
        <w:rPr>
          <w:rFonts w:eastAsia="SimSun"/>
          <w:lang w:val="kk" w:eastAsia="zh-CN"/>
        </w:rPr>
        <w:t>Эпидуральдық катетерді ривароксабанның соңғы дозасын тағайындағаннан кейін 18 сағаттан ерте емес алады. Ривамус препаратын эпидуральдық катетер алынғаннан кейін 6 сағаттан ерте тағайындауға болмайды.</w:t>
      </w:r>
    </w:p>
    <w:p w14:paraId="32BD7752" w14:textId="6931EC9B" w:rsidR="002F26A3" w:rsidRPr="0054098D" w:rsidRDefault="0054098D" w:rsidP="002F26A3">
      <w:pPr>
        <w:jc w:val="both"/>
        <w:rPr>
          <w:rFonts w:eastAsia="SimSun"/>
          <w:lang w:val="kk" w:eastAsia="zh-CN"/>
        </w:rPr>
      </w:pPr>
      <w:r w:rsidRPr="00810340">
        <w:rPr>
          <w:rFonts w:eastAsia="SimSun"/>
          <w:lang w:val="kk" w:eastAsia="zh-CN"/>
        </w:rPr>
        <w:t>Травмалық пункция жағдайында Ривамус препаратын тағайындауды 24 сағатқа кейінге қалдыру керек.</w:t>
      </w:r>
    </w:p>
    <w:p w14:paraId="32BD7753" w14:textId="77777777" w:rsidR="00A1465C" w:rsidRPr="0054098D" w:rsidRDefault="0054098D" w:rsidP="00A1465C">
      <w:pPr>
        <w:jc w:val="both"/>
        <w:rPr>
          <w:i/>
          <w:lang w:val="kk"/>
        </w:rPr>
      </w:pPr>
      <w:r w:rsidRPr="00C96598">
        <w:rPr>
          <w:i/>
          <w:lang w:val="kk"/>
        </w:rPr>
        <w:t xml:space="preserve">Ұршықбуынды немесе тізебуынды жоспарлы эндопротездеуден басқа, инвазиялық емшаралар мен хирургиялық операциялар кезіндегі дозалау жөніндегі нұсқаулар  </w:t>
      </w:r>
    </w:p>
    <w:p w14:paraId="32BD7754" w14:textId="63007F1C" w:rsidR="002F26A3" w:rsidRPr="0054098D" w:rsidRDefault="0054098D" w:rsidP="002F26A3">
      <w:pPr>
        <w:jc w:val="both"/>
        <w:rPr>
          <w:lang w:val="kk"/>
        </w:rPr>
      </w:pPr>
      <w:r w:rsidRPr="00810340">
        <w:rPr>
          <w:lang w:val="kk"/>
        </w:rPr>
        <w:t>Егер инвазиялық емшараны немесе хирургиялық операцияны жүргізу талап етілсе, 10 мг Ривамус препаратын қабылдауды мүмкіндігінше операцияға дейін кемінде 24 сағат бұрын және дәрігердің клиникалық қорытындысы негізінде тоқтату керек.</w:t>
      </w:r>
    </w:p>
    <w:p w14:paraId="32BD7755" w14:textId="77777777" w:rsidR="00827AAF" w:rsidRPr="0054098D" w:rsidRDefault="0054098D" w:rsidP="00827AAF">
      <w:pPr>
        <w:jc w:val="both"/>
        <w:rPr>
          <w:lang w:val="kk"/>
        </w:rPr>
      </w:pPr>
      <w:r w:rsidRPr="00810340">
        <w:rPr>
          <w:lang w:val="kk"/>
        </w:rPr>
        <w:t xml:space="preserve">Егер емшараны кейінге қалдыру мүмкін болмаса, қан кету қаупінің жоғарылауын операцияның жеделдігімен салыстырып бағалау керек. </w:t>
      </w:r>
    </w:p>
    <w:p w14:paraId="32BD7757" w14:textId="5FD701BE" w:rsidR="00A1465C" w:rsidRPr="0054098D" w:rsidRDefault="0054098D" w:rsidP="00A1465C">
      <w:pPr>
        <w:jc w:val="both"/>
        <w:rPr>
          <w:lang w:val="kk"/>
        </w:rPr>
      </w:pPr>
      <w:r w:rsidRPr="00810340">
        <w:rPr>
          <w:lang w:val="kk"/>
        </w:rPr>
        <w:t xml:space="preserve">Ривамус препаратын қабылдауды, егер емдеуші дәрігердің бағалауы бойынша клиникалық жағдай мүмкіндік берсе және талапқа сай гемостазға қол жеткізілсе, инвазиялық емшарадан немесе хирургиялық операциядан кейін мүмкіндігінше тезірек қайта бастау керек (5.2 бөлімін қараңыз). </w:t>
      </w:r>
    </w:p>
    <w:p w14:paraId="32BD7758" w14:textId="7BEEC4A8" w:rsidR="00A1465C" w:rsidRPr="0054098D" w:rsidRDefault="0054098D" w:rsidP="00A1465C">
      <w:pPr>
        <w:jc w:val="both"/>
        <w:rPr>
          <w:rFonts w:eastAsia="SimSun"/>
          <w:i/>
          <w:lang w:val="kk" w:eastAsia="zh-CN"/>
        </w:rPr>
      </w:pPr>
      <w:r>
        <w:rPr>
          <w:rFonts w:eastAsia="SimSun"/>
          <w:i/>
          <w:lang w:val="kk" w:eastAsia="zh-CN"/>
        </w:rPr>
        <w:t>Егде жастағы пациенттер</w:t>
      </w:r>
    </w:p>
    <w:p w14:paraId="32BD775A" w14:textId="4B0F5886" w:rsidR="00A1465C" w:rsidRPr="0054098D" w:rsidRDefault="0054098D" w:rsidP="00A1465C">
      <w:pPr>
        <w:jc w:val="both"/>
        <w:rPr>
          <w:rFonts w:eastAsia="SimSun"/>
          <w:lang w:val="kk" w:eastAsia="zh-CN"/>
        </w:rPr>
      </w:pPr>
      <w:r w:rsidRPr="00810340">
        <w:rPr>
          <w:rFonts w:eastAsia="SimSun"/>
          <w:lang w:val="kk" w:eastAsia="zh-CN"/>
        </w:rPr>
        <w:t>Пацинттің жасы ұлғайған сайын қан кету қаупі артады (5.2 бөлімін қараңыз).</w:t>
      </w:r>
    </w:p>
    <w:p w14:paraId="32BD775B" w14:textId="77777777" w:rsidR="00A1465C" w:rsidRPr="0054098D" w:rsidRDefault="0054098D" w:rsidP="00A1465C">
      <w:pPr>
        <w:jc w:val="both"/>
        <w:rPr>
          <w:rFonts w:eastAsia="SimSun"/>
          <w:i/>
          <w:lang w:val="kk" w:eastAsia="zh-CN"/>
        </w:rPr>
      </w:pPr>
      <w:r w:rsidRPr="00C96598">
        <w:rPr>
          <w:rFonts w:eastAsia="SimSun"/>
          <w:i/>
          <w:lang w:val="kk" w:eastAsia="zh-CN"/>
        </w:rPr>
        <w:t>Тері реакциялары</w:t>
      </w:r>
    </w:p>
    <w:p w14:paraId="32BD775D" w14:textId="26C3F1FC" w:rsidR="009546D3" w:rsidRPr="0054098D" w:rsidRDefault="0054098D" w:rsidP="00A1465C">
      <w:pPr>
        <w:jc w:val="both"/>
        <w:rPr>
          <w:rFonts w:eastAsia="SimSun"/>
          <w:lang w:val="kk" w:eastAsia="zh-CN"/>
        </w:rPr>
      </w:pPr>
      <w:r w:rsidRPr="00810340">
        <w:rPr>
          <w:rFonts w:eastAsia="SimSun"/>
          <w:lang w:val="kk" w:eastAsia="zh-CN"/>
        </w:rPr>
        <w:t xml:space="preserve">Стивенс-Джонсон синдромын/уытты эпидермалық некролизді және DRESS-синдромды қоса алғанда, терінің күрделі реакциялары ривароксабанды қолданумен уақытша өзара байланысты екені маркетингтен кейінгі бақылау барысында хабарланды (4.8 бөлімін қараңыз). </w:t>
      </w:r>
      <w:bookmarkStart w:id="3" w:name="_Hlk19877360"/>
      <w:r w:rsidRPr="00810340">
        <w:rPr>
          <w:rFonts w:eastAsia="SimSun"/>
          <w:lang w:val="kk" w:eastAsia="zh-CN"/>
        </w:rPr>
        <w:t>Шамасы, пациенттерде ондай реакциялардың пайда болу қаупі емдеудің басында болады: көп жағдайда ондай реакциялар емдеудің алғашқы апталарында көрінеді</w:t>
      </w:r>
      <w:bookmarkEnd w:id="3"/>
      <w:r w:rsidRPr="00810340">
        <w:rPr>
          <w:rFonts w:eastAsia="SimSun"/>
          <w:lang w:val="kk" w:eastAsia="zh-CN"/>
        </w:rPr>
        <w:t>. Теріның ауыр бөртпесінің алғашқы белгілері (яғни бөртпенің таралуы, күшеюі және/немесе күлдіреуіктің пайда болуы) немесе шырышты қабықтар тарапынан аса жоғары сезімталдықтың кез келген белгілері пайда болған кезде ривароксабанды қабылдауды тоқтату керек.</w:t>
      </w:r>
    </w:p>
    <w:p w14:paraId="32BD775E" w14:textId="77777777" w:rsidR="00A1465C" w:rsidRPr="00C96598" w:rsidRDefault="0054098D" w:rsidP="00A1465C">
      <w:pPr>
        <w:jc w:val="both"/>
        <w:rPr>
          <w:rFonts w:eastAsia="SimSun"/>
          <w:i/>
          <w:lang w:eastAsia="zh-CN"/>
        </w:rPr>
      </w:pPr>
      <w:r w:rsidRPr="00C96598">
        <w:rPr>
          <w:rFonts w:eastAsia="SimSun"/>
          <w:i/>
          <w:lang w:val="kk" w:eastAsia="zh-CN"/>
        </w:rPr>
        <w:lastRenderedPageBreak/>
        <w:t>Қосымша заттар туралы ақпарат</w:t>
      </w:r>
    </w:p>
    <w:p w14:paraId="32BD775F" w14:textId="640EB7DC" w:rsidR="00A1465C" w:rsidRPr="0054098D" w:rsidRDefault="0054098D" w:rsidP="00A1465C">
      <w:pPr>
        <w:jc w:val="both"/>
        <w:rPr>
          <w:rFonts w:eastAsia="SimSun"/>
          <w:lang w:val="kk" w:eastAsia="zh-CN"/>
        </w:rPr>
      </w:pPr>
      <w:r w:rsidRPr="00810340">
        <w:rPr>
          <w:lang w:val="kk"/>
        </w:rPr>
        <w:t>Ривамус препаратының құрамында лактоза бар. Галактоза жақпаушылығының сирек кездесетін тұқым қуалайтын проблемалары, Lapp лактаза тапшылығы немесе глюкоза-галактоза мальабсорбциясы бар пациенттер бұл препаратты қабылдамауы керек.</w:t>
      </w:r>
    </w:p>
    <w:p w14:paraId="32BD7761" w14:textId="7B331490" w:rsidR="00CF2D83" w:rsidRPr="0054098D" w:rsidRDefault="0054098D" w:rsidP="00AE6005">
      <w:pPr>
        <w:jc w:val="both"/>
        <w:rPr>
          <w:lang w:val="kk"/>
        </w:rPr>
      </w:pPr>
      <w:r w:rsidRPr="00AE6005">
        <w:rPr>
          <w:rFonts w:eastAsia="SimSun"/>
          <w:lang w:val="kk" w:eastAsia="zh-CN"/>
        </w:rPr>
        <w:t>Ривамус препаратының құрамында бір таблеткасында 1 ммольден аз натрий бар, осы ең аз мөлшерге сүйене отырып, препаратты «натрийсіз» деп санауға болады.</w:t>
      </w:r>
    </w:p>
    <w:p w14:paraId="037BE748" w14:textId="77777777" w:rsidR="00C67910" w:rsidRPr="0054098D" w:rsidRDefault="00C67910" w:rsidP="00CF2D83">
      <w:pPr>
        <w:pStyle w:val="caaieiaie1"/>
        <w:keepNext w:val="0"/>
        <w:spacing w:line="240" w:lineRule="auto"/>
        <w:rPr>
          <w:color w:val="auto"/>
          <w:szCs w:val="24"/>
          <w:lang w:val="kk"/>
        </w:rPr>
      </w:pPr>
    </w:p>
    <w:p w14:paraId="32BD7762" w14:textId="324E5E14" w:rsidR="00CF2D83" w:rsidRPr="0054098D" w:rsidRDefault="0054098D" w:rsidP="00CF2D83">
      <w:pPr>
        <w:pStyle w:val="caaieiaie1"/>
        <w:keepNext w:val="0"/>
        <w:spacing w:line="240" w:lineRule="auto"/>
        <w:rPr>
          <w:color w:val="auto"/>
          <w:szCs w:val="24"/>
          <w:lang w:val="kk"/>
        </w:rPr>
      </w:pPr>
      <w:r w:rsidRPr="00810340">
        <w:rPr>
          <w:color w:val="auto"/>
          <w:szCs w:val="24"/>
          <w:lang w:val="kk"/>
        </w:rPr>
        <w:t>4.5 Басқа дәрілік препараттармен өзара әрекеттесуі және өзара әрекеттесудің басқа түрлері</w:t>
      </w:r>
    </w:p>
    <w:p w14:paraId="32BD7763" w14:textId="77777777" w:rsidR="00A1465C" w:rsidRPr="0054098D" w:rsidRDefault="0054098D" w:rsidP="00A1465C">
      <w:pPr>
        <w:jc w:val="both"/>
        <w:rPr>
          <w:i/>
          <w:lang w:val="kk"/>
        </w:rPr>
      </w:pPr>
      <w:r w:rsidRPr="00C96598">
        <w:rPr>
          <w:i/>
          <w:lang w:val="kk"/>
        </w:rPr>
        <w:t>CYP3A4 және гликопротеин р тежегіштерімен өзара әрекеттесуі</w:t>
      </w:r>
    </w:p>
    <w:p w14:paraId="32BD7765" w14:textId="57D548E0" w:rsidR="00A1465C" w:rsidRPr="0054098D" w:rsidRDefault="0054098D" w:rsidP="00A1465C">
      <w:pPr>
        <w:jc w:val="both"/>
        <w:rPr>
          <w:lang w:val="kk"/>
        </w:rPr>
      </w:pPr>
      <w:bookmarkStart w:id="4" w:name="_Hlk75860506"/>
      <w:r w:rsidRPr="00810340">
        <w:rPr>
          <w:lang w:val="kk"/>
        </w:rPr>
        <w:t xml:space="preserve">Ривароксабан </w:t>
      </w:r>
      <w:bookmarkEnd w:id="4"/>
      <w:r w:rsidRPr="00810340">
        <w:rPr>
          <w:lang w:val="kk"/>
        </w:rPr>
        <w:t>мен кетоконазолды (тәулігіне 1 рет 400 мг) немесе ритонавирді (тәулігіне екі рет 600 мг) бірге қолдану препараттың фармакодинамикалық әсерінің елеулі күшеюімен қатар жүретін, қан кетулердің даму қаупінің жоғарылауын туындатуға қабілетті, ривароксабанның орташа тепе-теңдік AUC 2,6/2,5 есе артуына және ривароксабанның орташа С</w:t>
      </w:r>
      <w:r w:rsidRPr="00810340">
        <w:rPr>
          <w:vertAlign w:val="subscript"/>
          <w:lang w:val="kk"/>
        </w:rPr>
        <w:t>макс</w:t>
      </w:r>
      <w:r w:rsidRPr="00810340">
        <w:rPr>
          <w:lang w:val="kk"/>
        </w:rPr>
        <w:t xml:space="preserve"> 1,7/1,6 есе жоғарылауына әкелді. Демек, ривароксабанды кетоконазол, итраконазол, вориконазол және позаконазол сияқты зеңге қарсы азолдық препараттармен немесе АИТВ протеаза тежегіштерімен жүйелі ем алатын пациенттерге қолдану ұсынылмайды. Бұл заттар CYP3A4 және Р гликопротеинінің күшті тежегіштері болып табылады (4.4 бөлімін қараңыз).</w:t>
      </w:r>
    </w:p>
    <w:p w14:paraId="32BD7766" w14:textId="77777777" w:rsidR="00A1465C" w:rsidRPr="0054098D" w:rsidRDefault="0054098D" w:rsidP="00A1465C">
      <w:pPr>
        <w:jc w:val="both"/>
        <w:rPr>
          <w:rFonts w:eastAsia="SimSun"/>
          <w:lang w:val="kk" w:eastAsia="zh-CN"/>
        </w:rPr>
      </w:pPr>
      <w:r w:rsidRPr="00810340">
        <w:rPr>
          <w:rFonts w:eastAsia="SimSun"/>
          <w:lang w:val="kk" w:eastAsia="zh-CN"/>
        </w:rPr>
        <w:t xml:space="preserve">Ривароксабанның шығарылу жолдарының тек біреуін – CYP3A4 немесе Р гликопротеиннің қатысуымен жүретін жолын қатты бәсеңдететін дәрілік заттар – ривароксабанның плазмадағы концентрациясын азғантай дәрежеде арттырады деп күтіледі.   </w:t>
      </w:r>
    </w:p>
    <w:p w14:paraId="32BD7768" w14:textId="65250592" w:rsidR="00A1465C" w:rsidRPr="0054098D" w:rsidRDefault="0054098D" w:rsidP="00A1465C">
      <w:pPr>
        <w:jc w:val="both"/>
        <w:rPr>
          <w:lang w:val="kk"/>
        </w:rPr>
      </w:pPr>
      <w:r w:rsidRPr="00810340">
        <w:rPr>
          <w:lang w:val="kk"/>
        </w:rPr>
        <w:t>Мысалы, CYP3A4 күшті тежегіші және Р гликопротеиннің орташа тежегіші болып саналатын кларитромицин (тәулігіне 2 рет 500 мг), ривароксабанның орташа AUC 1,5 есе және С</w:t>
      </w:r>
      <w:r w:rsidRPr="00810340">
        <w:rPr>
          <w:vertAlign w:val="subscript"/>
          <w:lang w:val="kk"/>
        </w:rPr>
        <w:t>макс.</w:t>
      </w:r>
      <w:r w:rsidRPr="00810340">
        <w:rPr>
          <w:lang w:val="kk"/>
        </w:rPr>
        <w:t xml:space="preserve"> 1,4 есе жоғарылауын туындатқан.  Кларитромицинмен өзара әрекеттесуі пациенттердің көпшілігінде клиникалық тұрғыдан елеулі болмауы ықтимал, бірақ жоғары қауіп тобындағы пациенттерде (бүйрек функциясының жеткіліксіздігі бар пациенттер үшін 4.4 бөлімін қараңыз) елеулі болуы ықтимал.   </w:t>
      </w:r>
    </w:p>
    <w:p w14:paraId="32BD7769" w14:textId="2CE0205E" w:rsidR="00A1465C" w:rsidRPr="0054098D" w:rsidRDefault="0054098D" w:rsidP="00A1465C">
      <w:pPr>
        <w:jc w:val="both"/>
        <w:rPr>
          <w:lang w:val="kk"/>
        </w:rPr>
      </w:pPr>
      <w:r w:rsidRPr="00810340">
        <w:rPr>
          <w:lang w:val="kk"/>
        </w:rPr>
        <w:t>CYP3A4 пен гликопротеин Р орташа бәсеңдететін эритромицин (тәулігіне 3 рет 500 мг), ривароксабанның орташа AUC пен С</w:t>
      </w:r>
      <w:r w:rsidR="00E41403">
        <w:rPr>
          <w:vertAlign w:val="subscript"/>
          <w:lang w:val="kk"/>
        </w:rPr>
        <w:t>max</w:t>
      </w:r>
      <w:r w:rsidRPr="00810340">
        <w:rPr>
          <w:lang w:val="kk"/>
        </w:rPr>
        <w:t xml:space="preserve">1,3 есе жоғарылауын туындатқан.  Эритромицинмен өзара әрекеттесуі пациенттердің көпшілігінде клиникалық тұрғыдан елеулі болмауы ықтимал, бірақ жоғары қауіп тобындағы пациенттерде елеулі болуы мүмкін.  </w:t>
      </w:r>
    </w:p>
    <w:p w14:paraId="32BD776D" w14:textId="2D467098" w:rsidR="00A1465C" w:rsidRPr="0054098D" w:rsidRDefault="0054098D" w:rsidP="00A1465C">
      <w:pPr>
        <w:jc w:val="both"/>
        <w:rPr>
          <w:lang w:val="kk"/>
        </w:rPr>
      </w:pPr>
      <w:r w:rsidRPr="00810340">
        <w:rPr>
          <w:lang w:val="kk"/>
        </w:rPr>
        <w:t>Бүйрек функциясының жеңіл жеткіліксіздігі бар пациенттерде эритромицинді (тәулігіне 3 рет 500 мг) қабылдау, бүйрек функциясы қалыпты адамдармен салыстырғанда, ривароксабанның орташа AUC 1,8 есе және С</w:t>
      </w:r>
      <w:r w:rsidRPr="00810340">
        <w:rPr>
          <w:vertAlign w:val="subscript"/>
          <w:lang w:val="kk"/>
        </w:rPr>
        <w:t>макс. </w:t>
      </w:r>
      <w:r w:rsidRPr="00810340">
        <w:rPr>
          <w:lang w:val="kk"/>
        </w:rPr>
        <w:t>1,6 есе жоғарылауын туындатқан. Бүйрек функциясының орташа жеткіліксіздігі бар пациенттерде эритромицинді қолдану, бүйрек функциясы қалыпты пациенттермен салыстырғанда, орташа AUC 2,0 есе және С</w:t>
      </w:r>
      <w:r w:rsidRPr="00810340">
        <w:rPr>
          <w:vertAlign w:val="subscript"/>
          <w:lang w:val="kk"/>
        </w:rPr>
        <w:t>макс</w:t>
      </w:r>
      <w:r w:rsidRPr="00810340">
        <w:rPr>
          <w:lang w:val="kk"/>
        </w:rPr>
        <w:t xml:space="preserve"> 1,6 есе жоғарылауын туындатқан.  Эритромициннің әсері бүйрек функциясы жеткіліксіздігінің ықпалын толықтырады (4.4 бөлімін қараңыз). </w:t>
      </w:r>
    </w:p>
    <w:p w14:paraId="32BD776E" w14:textId="77777777" w:rsidR="00A1465C" w:rsidRPr="0054098D" w:rsidRDefault="0054098D" w:rsidP="00A1465C">
      <w:pPr>
        <w:jc w:val="both"/>
        <w:rPr>
          <w:lang w:val="kk"/>
        </w:rPr>
      </w:pPr>
      <w:r w:rsidRPr="00810340">
        <w:rPr>
          <w:lang w:val="kk"/>
        </w:rPr>
        <w:t>CYP3A4 орташа тежегіші болып саналатын флуконазол (тәулігіне бір рет 400 мг), ривароксабанның орташа AUC 1,4 есе және орташа C</w:t>
      </w:r>
      <w:r w:rsidRPr="00810340">
        <w:rPr>
          <w:vertAlign w:val="subscript"/>
          <w:lang w:val="kk"/>
        </w:rPr>
        <w:t>max</w:t>
      </w:r>
      <w:r w:rsidRPr="00810340">
        <w:rPr>
          <w:lang w:val="kk"/>
        </w:rPr>
        <w:t xml:space="preserve"> 1,3 есе жоғарылауына алып келеді.  Флуконазолмен өзара әрекеттесуі пациенттердің көпшілігінде клиникалық тұрғыдан елеулі болмауы ықтимал, бірақ жоғары қауіп тобындағы пациенттерде (бүйрек функциясының жеткіліксіздігі бар пациенттер үшін 4.4 бөлімін қараңыз) елеулі болуы ықтимал.  </w:t>
      </w:r>
    </w:p>
    <w:p w14:paraId="32BD7770" w14:textId="6481C60E" w:rsidR="00C62B06" w:rsidRPr="0054098D" w:rsidRDefault="0054098D" w:rsidP="00A1465C">
      <w:pPr>
        <w:jc w:val="both"/>
        <w:rPr>
          <w:lang w:val="kk"/>
        </w:rPr>
      </w:pPr>
      <w:r w:rsidRPr="00810340">
        <w:rPr>
          <w:lang w:val="kk"/>
        </w:rPr>
        <w:t xml:space="preserve">Дронедаронды қолдану жөніндегі қолда бар клиникалық деректер шектеулі, сондықтан оны ривароксабанмен бірге қолданудан аулақ болу керек. </w:t>
      </w:r>
    </w:p>
    <w:p w14:paraId="32BD7771" w14:textId="77777777" w:rsidR="00A1465C" w:rsidRPr="0054098D" w:rsidRDefault="0054098D" w:rsidP="00A1465C">
      <w:pPr>
        <w:jc w:val="both"/>
        <w:rPr>
          <w:i/>
          <w:lang w:val="kk"/>
        </w:rPr>
      </w:pPr>
      <w:r w:rsidRPr="00C96598">
        <w:rPr>
          <w:i/>
          <w:lang w:val="kk"/>
        </w:rPr>
        <w:t xml:space="preserve">Антикоагулянттар  </w:t>
      </w:r>
    </w:p>
    <w:p w14:paraId="32BD7772" w14:textId="04D3E3E6" w:rsidR="00A1465C" w:rsidRPr="0054098D" w:rsidRDefault="0054098D" w:rsidP="00A1465C">
      <w:pPr>
        <w:jc w:val="both"/>
        <w:rPr>
          <w:lang w:val="kk"/>
        </w:rPr>
      </w:pPr>
      <w:r w:rsidRPr="00810340">
        <w:rPr>
          <w:lang w:val="kk"/>
        </w:rPr>
        <w:t xml:space="preserve">Эноксапарин (бір реттік 40 мг дозасы) мен ривароксабанмен (бір реттік 10 мг дозасы) біріктіріп қолданғаннан кейін, Ха факторға қарсы әсерінің күшейгені байқалған, ол қан ұю тестілерінің (протромбин уақыты, ІБТУ) қосымша өзгерістерімен қатар жүрмеген.  Эноксапарин ривароксабанның фармакокинетикасына әсер етпеген. </w:t>
      </w:r>
    </w:p>
    <w:p w14:paraId="32BD7774" w14:textId="3FA3AA61" w:rsidR="00A1465C" w:rsidRPr="0054098D" w:rsidRDefault="0054098D" w:rsidP="00A1465C">
      <w:pPr>
        <w:jc w:val="both"/>
        <w:rPr>
          <w:lang w:val="kk"/>
        </w:rPr>
      </w:pPr>
      <w:r w:rsidRPr="00810340">
        <w:rPr>
          <w:lang w:val="kk"/>
        </w:rPr>
        <w:lastRenderedPageBreak/>
        <w:t>Қан кетулер қаупінің жоғарылығына байланысты, пациенттер ривароксабанды басқа антикоагулянттармен бірге қолданғанда сақтық танытуы керек (4.3 және 4.4 бөлімдерін қараңыз).</w:t>
      </w:r>
    </w:p>
    <w:p w14:paraId="32BD7775" w14:textId="5C0D1354" w:rsidR="00A1465C" w:rsidRPr="0054098D" w:rsidRDefault="0054098D" w:rsidP="00A1465C">
      <w:pPr>
        <w:jc w:val="both"/>
        <w:rPr>
          <w:i/>
          <w:lang w:val="kk"/>
        </w:rPr>
      </w:pPr>
      <w:r w:rsidRPr="00C96598">
        <w:rPr>
          <w:i/>
          <w:lang w:val="kk"/>
        </w:rPr>
        <w:t xml:space="preserve">Қабынуға қарсы стероидты емес дәрілер (ҚҚСД)/тромбоциттер агрегациясының тежегіштері </w:t>
      </w:r>
    </w:p>
    <w:p w14:paraId="32BD7776" w14:textId="264025F7" w:rsidR="00A1465C" w:rsidRPr="0054098D" w:rsidRDefault="0054098D" w:rsidP="00A1465C">
      <w:pPr>
        <w:jc w:val="both"/>
        <w:rPr>
          <w:lang w:val="kk"/>
        </w:rPr>
      </w:pPr>
      <w:r w:rsidRPr="00810340">
        <w:rPr>
          <w:lang w:val="kk"/>
        </w:rPr>
        <w:t>Ривароксабан (15 мг)  мен 500 мг дозадағы напроксенді бірге тағайындаудан кейін, қан кету уақытының клиникалық тұрғыдан елеулі ұзаруы байқалмаған. Дегенмен, жекелеген адамдарда фармакодинамикалық әсері айқынырақ болуы мүмкін.</w:t>
      </w:r>
    </w:p>
    <w:p w14:paraId="32BD7777" w14:textId="211F4926" w:rsidR="00A1465C" w:rsidRPr="0054098D" w:rsidRDefault="0054098D" w:rsidP="00A1465C">
      <w:pPr>
        <w:jc w:val="both"/>
        <w:rPr>
          <w:lang w:val="kk"/>
        </w:rPr>
      </w:pPr>
      <w:r w:rsidRPr="00810340">
        <w:rPr>
          <w:lang w:val="kk"/>
        </w:rPr>
        <w:t xml:space="preserve">Ривароксабан  мен 500 мг дозадағы ацетилсалицил қышқылын бірге қолданғанда, клиникалық тұрғыдан елеулі фармакокинетикалық және фармакодинамикалық өзара әрекеттесулер байқалған жоқ. </w:t>
      </w:r>
    </w:p>
    <w:p w14:paraId="32BD7778" w14:textId="1AA26C7F" w:rsidR="00A1465C" w:rsidRPr="0054098D" w:rsidRDefault="0054098D" w:rsidP="00A1465C">
      <w:pPr>
        <w:jc w:val="both"/>
        <w:rPr>
          <w:lang w:val="kk"/>
        </w:rPr>
      </w:pPr>
      <w:r w:rsidRPr="00810340">
        <w:rPr>
          <w:lang w:val="kk"/>
        </w:rPr>
        <w:t>15 мг ривароксабан мен клопидогрел (300 мг қарқынды дозасы, содан соң 75 мг демеуші дозасы) арасында фармакокинетикалық өзара әрекеттесу анықталған жоқ, алайда, кейбір пациенттерде қан кету уақытының тромбоциттер агрегациясымен және Р-селектин деңгейімен немесе GPIIb/IIIa рецепторлары деңгейімен өзара байланыссыз едәуір ұзарғаны анықталды.</w:t>
      </w:r>
    </w:p>
    <w:p w14:paraId="32BD777A" w14:textId="68037A8C" w:rsidR="00A1465C" w:rsidRPr="0054098D" w:rsidRDefault="0054098D" w:rsidP="00A1465C">
      <w:pPr>
        <w:jc w:val="both"/>
        <w:rPr>
          <w:lang w:val="kk"/>
        </w:rPr>
      </w:pPr>
      <w:r w:rsidRPr="00810340">
        <w:rPr>
          <w:lang w:val="kk"/>
        </w:rPr>
        <w:t xml:space="preserve">ҚҚСД (ацетилсалицил қышқылын қоса) мен тромбоциттер агрегациясының тежегіштерін бір мезгілде тағайындағанда сақтық таныту керек, өйткені, аталған препараттар, әдетте, қан кету қаупін арттырады (4.4 бөлімін қараңыз). </w:t>
      </w:r>
    </w:p>
    <w:p w14:paraId="32BD777B" w14:textId="77777777" w:rsidR="00A1465C" w:rsidRPr="0054098D" w:rsidRDefault="0054098D" w:rsidP="00A1465C">
      <w:pPr>
        <w:jc w:val="both"/>
        <w:rPr>
          <w:i/>
          <w:lang w:val="kk"/>
        </w:rPr>
      </w:pPr>
      <w:r w:rsidRPr="00C96598">
        <w:rPr>
          <w:i/>
          <w:lang w:val="kk"/>
        </w:rPr>
        <w:t xml:space="preserve">Серотонинді/серотонин-норэпинефринді кері қармаудың селективті тежегіші (СКҚСТ/ СНКҚСТ) </w:t>
      </w:r>
    </w:p>
    <w:p w14:paraId="32BD777D" w14:textId="68814D36" w:rsidR="00A1465C" w:rsidRPr="0054098D" w:rsidRDefault="0054098D" w:rsidP="00A1465C">
      <w:pPr>
        <w:jc w:val="both"/>
        <w:rPr>
          <w:lang w:val="kk"/>
        </w:rPr>
      </w:pPr>
      <w:r w:rsidRPr="00810340">
        <w:rPr>
          <w:lang w:val="kk"/>
        </w:rPr>
        <w:t>Басқа антикоагулянттармен жағдайдағы сияқты, СКҚСТ немесе СНКҚСТ-мен бірге қолданған жағдайда, олардың тромбоциттерге әсеріне байланысты, пациенттер қан кетудің жоғары қаупіне ұшырауы ықтимал.  Ривароксабанның клиникалық бағдарламасында бір мезгілде пайдаланғанда, барлық емдеу топтарында ауқымды және шағын, клиникалық тұрғыдан елеулі қан кетулер жиілігінің жоғарырақ болғаны байқалды.</w:t>
      </w:r>
    </w:p>
    <w:p w14:paraId="32BD777E" w14:textId="77777777" w:rsidR="00A1465C" w:rsidRPr="0054098D" w:rsidRDefault="0054098D" w:rsidP="00A1465C">
      <w:pPr>
        <w:jc w:val="both"/>
        <w:rPr>
          <w:i/>
          <w:lang w:val="kk"/>
        </w:rPr>
      </w:pPr>
      <w:r w:rsidRPr="00C96598">
        <w:rPr>
          <w:i/>
          <w:lang w:val="kk"/>
        </w:rPr>
        <w:t>Варфарин</w:t>
      </w:r>
    </w:p>
    <w:p w14:paraId="32BD777F" w14:textId="7D3568C2" w:rsidR="00A1465C" w:rsidRPr="0054098D" w:rsidRDefault="0054098D" w:rsidP="00A1465C">
      <w:pPr>
        <w:jc w:val="both"/>
        <w:rPr>
          <w:lang w:val="kk"/>
        </w:rPr>
      </w:pPr>
      <w:r w:rsidRPr="00810340">
        <w:rPr>
          <w:lang w:val="kk"/>
        </w:rPr>
        <w:t xml:space="preserve">Пациенттердің К дәруменінің антагонисі варфариннен (ХҚҚ 2,0-ден 3,0-ге дейін) ривароксабанға (20 мг) немесе ривароксабаннан (20 мг) варфаринге ауысуы, протромбин уақытын/ХҚҚ (Неопластин реагенті) әсерлерін қарапайым жиынтықтау кезінде күтуге болатынынан көбірек дәрежеде ұзартқан (ХҚҚ жекелеген мәндері 12-ге жетуі мүмкін), ал ІБТУ-ге, Ха фактор белсенділігінің және тромбиннің эндогенділік ықтималдылығының бәсеңдеуіне әсері аддитивті болды. </w:t>
      </w:r>
    </w:p>
    <w:p w14:paraId="32BD7780" w14:textId="77777777" w:rsidR="00A1465C" w:rsidRPr="0054098D" w:rsidRDefault="0054098D" w:rsidP="00A1465C">
      <w:pPr>
        <w:jc w:val="both"/>
        <w:rPr>
          <w:lang w:val="kk"/>
        </w:rPr>
      </w:pPr>
      <w:r w:rsidRPr="00810340">
        <w:rPr>
          <w:lang w:val="kk"/>
        </w:rPr>
        <w:t xml:space="preserve">Мұндай өтпелі кезеңде ривароксабанның фармакодинамикалық әсерлерін зерттеу қажет болған жағдайда, варфариннің әсері болмайтын қажетті тестілер ретінде, Ха факторға қарсы белсенділікті анықтауды, PiCT және HepTest пайдалануға болады. </w:t>
      </w:r>
    </w:p>
    <w:p w14:paraId="32BD7781" w14:textId="3598AECB" w:rsidR="00A1465C" w:rsidRPr="0054098D" w:rsidRDefault="0054098D" w:rsidP="00A1465C">
      <w:pPr>
        <w:jc w:val="both"/>
        <w:rPr>
          <w:lang w:val="kk"/>
        </w:rPr>
      </w:pPr>
      <w:r w:rsidRPr="00810340">
        <w:rPr>
          <w:lang w:val="kk"/>
        </w:rPr>
        <w:t>Варфаринді тоқтатқаннан кейін 4-күннен бастап, барлық талдаулардың нәтижелері (соның ішінде ПУ, ІБТУ, Ха фактор белсенділігі мен ТЭП (тромбиннің эндогенділік потенциалы) тежелуі) тек ривароксабанның әсерін көрсетеді.</w:t>
      </w:r>
    </w:p>
    <w:p w14:paraId="29C22E07" w14:textId="77777777" w:rsidR="00330A1D" w:rsidRPr="0054098D" w:rsidRDefault="0054098D" w:rsidP="00A1465C">
      <w:pPr>
        <w:jc w:val="both"/>
        <w:rPr>
          <w:lang w:val="kk"/>
        </w:rPr>
      </w:pPr>
      <w:r w:rsidRPr="00810340">
        <w:rPr>
          <w:lang w:val="kk"/>
        </w:rPr>
        <w:t>Өтпелі кезеңде варфариннің фармакодинамикалық әсерлерін зерттеу қажет болған жағдайда, ривароксабанның C</w:t>
      </w:r>
      <w:r w:rsidRPr="00810340">
        <w:rPr>
          <w:vertAlign w:val="subscript"/>
          <w:lang w:val="kk"/>
        </w:rPr>
        <w:t>0</w:t>
      </w:r>
      <w:r w:rsidRPr="00810340">
        <w:rPr>
          <w:lang w:val="kk"/>
        </w:rPr>
        <w:t xml:space="preserve"> (ривароксабанның алдыңғы дозасын қабылдағаннан кейін 24 сағаттан соң) аясында ХҚҚ анықтауды пайдалануға болады, өйткені, аталған мерзімде ривароксабанның бұл көрсеткішке әсері аз болады. </w:t>
      </w:r>
    </w:p>
    <w:p w14:paraId="32BD7783" w14:textId="3969C548" w:rsidR="00A1465C" w:rsidRPr="0054098D" w:rsidRDefault="0054098D" w:rsidP="00A1465C">
      <w:pPr>
        <w:jc w:val="both"/>
        <w:rPr>
          <w:lang w:val="kk"/>
        </w:rPr>
      </w:pPr>
      <w:r w:rsidRPr="00810340">
        <w:rPr>
          <w:lang w:val="kk"/>
        </w:rPr>
        <w:t xml:space="preserve">Варфарин мен ривароксабан арасында фармакокинетикалық өзара әрекеттесулер байқалған жоқ. </w:t>
      </w:r>
    </w:p>
    <w:p w14:paraId="32BD7784" w14:textId="77777777" w:rsidR="00A1465C" w:rsidRPr="0054098D" w:rsidRDefault="0054098D" w:rsidP="00A1465C">
      <w:pPr>
        <w:jc w:val="both"/>
        <w:rPr>
          <w:i/>
          <w:lang w:val="kk"/>
        </w:rPr>
      </w:pPr>
      <w:r w:rsidRPr="00C96598">
        <w:rPr>
          <w:i/>
          <w:lang w:val="kk"/>
        </w:rPr>
        <w:t>CYP3A4 индукторлары</w:t>
      </w:r>
    </w:p>
    <w:p w14:paraId="32BD7787" w14:textId="702F4948" w:rsidR="00A1465C" w:rsidRPr="0054098D" w:rsidRDefault="0054098D" w:rsidP="00A1465C">
      <w:pPr>
        <w:jc w:val="both"/>
        <w:rPr>
          <w:lang w:val="kk"/>
        </w:rPr>
      </w:pPr>
      <w:r w:rsidRPr="00810340">
        <w:rPr>
          <w:lang w:val="kk"/>
        </w:rPr>
        <w:t xml:space="preserve">Ривароксабан мен CYP3A4 күшті индукторы рифампицинді бірге тағайындау ривароксабанның орташа AUC шамамен 50%-ға төмендеуіне және оның фармакодинамикалық әсерлерінің параллель азаюына алып келген.  Ривароксабанды CYP3A4 басқа күшті индукторларымен (мысалы, фенитоинмен, карбамазепинмен, фенобарбиталмен немесе шілтер жапырақты шайқураймен) бірге қолдану да ривароксабанның плазмадағы концентрацияларының төмендеуіне алып келуі мүмкін. </w:t>
      </w:r>
      <w:r w:rsidRPr="00810340">
        <w:rPr>
          <w:lang w:val="kk"/>
        </w:rPr>
        <w:lastRenderedPageBreak/>
        <w:t xml:space="preserve">Сондықтан, пациентті тромбоз белгілері мен симптомдарына қатысты мұқият қадағаламай тұрып ривароксабанды CYP3A4 күшті индукторларымен бірге тағайындаудан аулақ болу керек. </w:t>
      </w:r>
    </w:p>
    <w:p w14:paraId="32BD7789" w14:textId="77777777" w:rsidR="00A1465C" w:rsidRPr="0054098D" w:rsidRDefault="0054098D" w:rsidP="00A1465C">
      <w:pPr>
        <w:jc w:val="both"/>
        <w:rPr>
          <w:i/>
          <w:lang w:val="kk"/>
        </w:rPr>
      </w:pPr>
      <w:bookmarkStart w:id="5" w:name="_Hlk19878044"/>
      <w:r w:rsidRPr="00C96598">
        <w:rPr>
          <w:i/>
          <w:lang w:val="kk"/>
        </w:rPr>
        <w:t xml:space="preserve">Басқа қатарлас ем </w:t>
      </w:r>
    </w:p>
    <w:bookmarkEnd w:id="5"/>
    <w:p w14:paraId="32BD778A" w14:textId="68BA99A5" w:rsidR="00AC13A9" w:rsidRPr="0054098D" w:rsidRDefault="0054098D" w:rsidP="00A1465C">
      <w:pPr>
        <w:jc w:val="both"/>
        <w:rPr>
          <w:lang w:val="kk"/>
        </w:rPr>
      </w:pPr>
      <w:r w:rsidRPr="00810340">
        <w:rPr>
          <w:lang w:val="kk"/>
        </w:rPr>
        <w:t xml:space="preserve">Ривароксабан мен мидазолам (CYP3A4 субстраты), дигоксин (Р гликопротеинінің субстраты) немесе аторвастатин (CYP3A4 пен Р гликопротеинінің субстраты) немесе омепразол (протонды помпа тежегіші) арасында клиникалық тұрғыдан елеулі фармакокинетикалық немесе фармакодинамикалық өзара әрекеттесулер байқалған жоқ.  Ривароксабан CYP цитохромының, CYP3A4 сияқты негізгі изоферменттерін тежемейді және индукцияламайды. </w:t>
      </w:r>
    </w:p>
    <w:p w14:paraId="32BD778C" w14:textId="697910F9" w:rsidR="00A1465C" w:rsidRPr="0054098D" w:rsidRDefault="0054098D" w:rsidP="00A1465C">
      <w:pPr>
        <w:jc w:val="both"/>
        <w:rPr>
          <w:lang w:val="kk"/>
        </w:rPr>
      </w:pPr>
      <w:r w:rsidRPr="00810340">
        <w:rPr>
          <w:lang w:val="kk"/>
        </w:rPr>
        <w:t xml:space="preserve">Ривароксабанның тамақпен клиникалық тұрғыдан елеулі өзара әрекеттесуі байқалмаған (4.2 бөлімін қараңыз). </w:t>
      </w:r>
    </w:p>
    <w:p w14:paraId="32BD778D" w14:textId="77777777" w:rsidR="00A1465C" w:rsidRPr="0054098D" w:rsidRDefault="0054098D" w:rsidP="00A1465C">
      <w:pPr>
        <w:jc w:val="both"/>
        <w:rPr>
          <w:i/>
          <w:lang w:val="kk"/>
        </w:rPr>
      </w:pPr>
      <w:r w:rsidRPr="00C96598">
        <w:rPr>
          <w:i/>
          <w:lang w:val="kk"/>
        </w:rPr>
        <w:t>Зертханалық параметрлер</w:t>
      </w:r>
    </w:p>
    <w:p w14:paraId="32BD778E" w14:textId="08A53B72" w:rsidR="00A1465C" w:rsidRPr="0054098D" w:rsidRDefault="0054098D" w:rsidP="00A1465C">
      <w:pPr>
        <w:jc w:val="both"/>
        <w:rPr>
          <w:lang w:val="kk"/>
        </w:rPr>
      </w:pPr>
      <w:r w:rsidRPr="00810340">
        <w:rPr>
          <w:lang w:val="kk"/>
        </w:rPr>
        <w:t xml:space="preserve">Ривароксабан өзінің әсер ету механизмінің арқасында, қан ұю параметрлеріне (ПУ, ІБТУ, HepTest) әсер етеді деп күтіледі (5.1 бөлімін қараңыз). </w:t>
      </w:r>
    </w:p>
    <w:p w14:paraId="32BD778F" w14:textId="77777777" w:rsidR="00650908" w:rsidRPr="0054098D" w:rsidRDefault="00650908" w:rsidP="00CF2D83">
      <w:pPr>
        <w:autoSpaceDE w:val="0"/>
        <w:autoSpaceDN w:val="0"/>
        <w:adjustRightInd w:val="0"/>
        <w:jc w:val="both"/>
        <w:rPr>
          <w:lang w:val="kk"/>
        </w:rPr>
      </w:pPr>
    </w:p>
    <w:p w14:paraId="32BD7790" w14:textId="77777777" w:rsidR="00CF2D83" w:rsidRPr="0054098D" w:rsidRDefault="0054098D" w:rsidP="00B07C97">
      <w:pPr>
        <w:pStyle w:val="7"/>
        <w:spacing w:before="0"/>
        <w:rPr>
          <w:szCs w:val="24"/>
          <w:lang w:val="kk"/>
        </w:rPr>
      </w:pPr>
      <w:r w:rsidRPr="00810340">
        <w:rPr>
          <w:szCs w:val="24"/>
          <w:lang w:val="kk"/>
        </w:rPr>
        <w:t>4.6 Фертильділік, жүктілік және лактация</w:t>
      </w:r>
    </w:p>
    <w:p w14:paraId="32BD7791" w14:textId="77777777" w:rsidR="00A1465C" w:rsidRPr="0054098D" w:rsidRDefault="0054098D" w:rsidP="00A1465C">
      <w:pPr>
        <w:jc w:val="both"/>
        <w:rPr>
          <w:i/>
          <w:lang w:val="kk"/>
        </w:rPr>
      </w:pPr>
      <w:r w:rsidRPr="00C96598">
        <w:rPr>
          <w:i/>
          <w:lang w:val="kk"/>
        </w:rPr>
        <w:t xml:space="preserve">Жүктілік  </w:t>
      </w:r>
    </w:p>
    <w:p w14:paraId="32BD7792" w14:textId="215A5150" w:rsidR="00463E1A" w:rsidRPr="0054098D" w:rsidRDefault="0054098D" w:rsidP="00A1465C">
      <w:pPr>
        <w:jc w:val="both"/>
        <w:rPr>
          <w:lang w:val="kk"/>
        </w:rPr>
      </w:pPr>
      <w:r w:rsidRPr="00810340">
        <w:rPr>
          <w:lang w:val="kk"/>
        </w:rPr>
        <w:t xml:space="preserve">Ривароксабанның жүкті әйелдерді емдеу кезіндегі қауіпсіздігі мен тиімділігі анықталған жоқ.  Жануарларға жүргізілген зерттеулерде репродукциялық уыттылық көрсетілді (5.3 бөлімін қараңыз). Репродуктивтік уыттылығының ықтималдылығын, қан кету қаупін және, ривароксабанның гематоплаценталық бөгет арқылы өтетіндігінің дәлелдерін ескере келе, жүкті әйелдерге ривароксабанды қолдануға болмайды (4.3 бөлімін қараңыз). </w:t>
      </w:r>
    </w:p>
    <w:p w14:paraId="32BD7794" w14:textId="059B876D" w:rsidR="00A1465C" w:rsidRPr="0054098D" w:rsidRDefault="0054098D" w:rsidP="00A1465C">
      <w:pPr>
        <w:jc w:val="both"/>
        <w:rPr>
          <w:lang w:val="kk"/>
        </w:rPr>
      </w:pPr>
      <w:r w:rsidRPr="00810340">
        <w:rPr>
          <w:lang w:val="kk"/>
        </w:rPr>
        <w:t xml:space="preserve">Ұрпақ өрбіту жасындағы әйелдер ривароксабанмен емделу кезінде жүкті болып қалудан сақтануы керек. </w:t>
      </w:r>
    </w:p>
    <w:p w14:paraId="32BD7795" w14:textId="77777777" w:rsidR="00A1465C" w:rsidRPr="0054098D" w:rsidRDefault="0054098D" w:rsidP="00A1465C">
      <w:pPr>
        <w:jc w:val="both"/>
        <w:rPr>
          <w:i/>
          <w:lang w:val="kk"/>
        </w:rPr>
      </w:pPr>
      <w:r w:rsidRPr="00C96598">
        <w:rPr>
          <w:i/>
          <w:lang w:val="kk"/>
        </w:rPr>
        <w:t>Лактация кезеңі</w:t>
      </w:r>
    </w:p>
    <w:p w14:paraId="32BD7797" w14:textId="7534EAA6" w:rsidR="00A1465C" w:rsidRPr="0054098D" w:rsidRDefault="0054098D" w:rsidP="00A1465C">
      <w:pPr>
        <w:jc w:val="both"/>
        <w:rPr>
          <w:lang w:val="kk"/>
        </w:rPr>
      </w:pPr>
      <w:r w:rsidRPr="00810340">
        <w:rPr>
          <w:lang w:val="kk"/>
        </w:rPr>
        <w:t>Ривароксабанның емшек емізіп жүрген әйелдердегі қауіпсіздігі мен тиімділігі анықталмаған. Жануарлардан алынған мәліметтер ривароксабанның емшек сүтімен бірге шығатындығын көрсетеді. Сондықтан ривароксабанды емшек емізу кезінде қолдануға болмайды (4.3 бөлімін қараңыз). Емшек емізуді тоқтату, не болмаса емдеуді тоқтату/емделуден бас тарту туралы шешім қабылдануы тиіс.</w:t>
      </w:r>
    </w:p>
    <w:p w14:paraId="32BD7798" w14:textId="77777777" w:rsidR="00A1465C" w:rsidRPr="0054098D" w:rsidRDefault="0054098D" w:rsidP="00A1465C">
      <w:pPr>
        <w:jc w:val="both"/>
        <w:rPr>
          <w:i/>
          <w:lang w:val="kk"/>
        </w:rPr>
      </w:pPr>
      <w:r w:rsidRPr="00C96598">
        <w:rPr>
          <w:i/>
          <w:lang w:val="kk"/>
        </w:rPr>
        <w:t>Фертильділік</w:t>
      </w:r>
    </w:p>
    <w:p w14:paraId="32BD779A" w14:textId="2E8A0F1E" w:rsidR="00CF2D83" w:rsidRPr="0054098D" w:rsidRDefault="0054098D" w:rsidP="00C96598">
      <w:pPr>
        <w:jc w:val="both"/>
        <w:rPr>
          <w:lang w:val="kk"/>
        </w:rPr>
      </w:pPr>
      <w:r w:rsidRPr="00810340">
        <w:rPr>
          <w:lang w:val="kk"/>
        </w:rPr>
        <w:t xml:space="preserve">Адамда ривароксабанның фертильділікке ықпалын бағалау үшін арнайы зерттеулер жүргізілген жоқ. Еркек және ұрғашы егеуқұйрықтарға жүргізілген зерттеуде фертильділікке әсері байқалмады (5.3 бөлімін қараңыз). </w:t>
      </w:r>
    </w:p>
    <w:p w14:paraId="32BD779B" w14:textId="77777777" w:rsidR="00EC28F8" w:rsidRPr="0054098D" w:rsidRDefault="00EC28F8" w:rsidP="00CF2D83">
      <w:pPr>
        <w:rPr>
          <w:b/>
          <w:lang w:val="kk"/>
        </w:rPr>
      </w:pPr>
    </w:p>
    <w:p w14:paraId="6E6A0E70" w14:textId="77777777" w:rsidR="00C96598" w:rsidRPr="0054098D" w:rsidRDefault="0054098D" w:rsidP="00C96598">
      <w:pPr>
        <w:jc w:val="both"/>
        <w:rPr>
          <w:b/>
          <w:sz w:val="28"/>
          <w:szCs w:val="28"/>
          <w:lang w:val="kk"/>
        </w:rPr>
      </w:pPr>
      <w:r w:rsidRPr="00810340">
        <w:rPr>
          <w:b/>
          <w:lang w:val="kk"/>
        </w:rPr>
        <w:t xml:space="preserve">4.7 Көлік құралдарын және қауіптілігі зор механизмдерді басқару қабілетіне әсері </w:t>
      </w:r>
    </w:p>
    <w:p w14:paraId="32BD779D" w14:textId="496CEADA" w:rsidR="00A1465C" w:rsidRPr="0054098D" w:rsidRDefault="0054098D" w:rsidP="00C96598">
      <w:pPr>
        <w:jc w:val="both"/>
        <w:rPr>
          <w:lang w:val="kk"/>
        </w:rPr>
      </w:pPr>
      <w:r>
        <w:rPr>
          <w:rFonts w:eastAsia="SimSun"/>
          <w:lang w:val="kk" w:eastAsia="zh-CN"/>
        </w:rPr>
        <w:t xml:space="preserve">Ривароксабанның автокөлік және механизмдерді басқару қабілетіне әсері елеусіз.  Бас айналу немесе естен тану жағдайлары туралы хабарланған (4.8 бөлімін қараңыз).  Ондай реакциялар байқалған пациенттер, автокөлік немесе механизмдерді басқарудан бас тартуы керек. </w:t>
      </w:r>
    </w:p>
    <w:p w14:paraId="32BD779E" w14:textId="77777777" w:rsidR="009E6BB8" w:rsidRPr="0054098D" w:rsidRDefault="009E6BB8" w:rsidP="00A1465C">
      <w:pPr>
        <w:jc w:val="both"/>
        <w:rPr>
          <w:lang w:val="kk"/>
        </w:rPr>
      </w:pPr>
    </w:p>
    <w:p w14:paraId="32BD779F" w14:textId="77777777" w:rsidR="009E6BB8" w:rsidRPr="0054098D" w:rsidRDefault="0054098D" w:rsidP="009E6BB8">
      <w:pPr>
        <w:shd w:val="clear" w:color="auto" w:fill="FFFFFF"/>
        <w:rPr>
          <w:b/>
          <w:lang w:val="kk"/>
        </w:rPr>
      </w:pPr>
      <w:r w:rsidRPr="00810340">
        <w:rPr>
          <w:b/>
          <w:lang w:val="kk"/>
        </w:rPr>
        <w:t>4.8</w:t>
      </w:r>
      <w:bookmarkStart w:id="6" w:name="_Hlk24721447"/>
      <w:r w:rsidRPr="00810340">
        <w:rPr>
          <w:b/>
          <w:lang w:val="kk"/>
        </w:rPr>
        <w:t xml:space="preserve"> Жағымсыз реакциялар </w:t>
      </w:r>
      <w:bookmarkEnd w:id="6"/>
    </w:p>
    <w:p w14:paraId="32BD77A0" w14:textId="77777777" w:rsidR="009E6BB8" w:rsidRPr="0054098D" w:rsidRDefault="0054098D" w:rsidP="00C96598">
      <w:pPr>
        <w:rPr>
          <w:rFonts w:eastAsia="SimSun"/>
          <w:i/>
          <w:u w:val="single"/>
          <w:lang w:val="kk" w:eastAsia="zh-CN"/>
        </w:rPr>
      </w:pPr>
      <w:r w:rsidRPr="00810340">
        <w:rPr>
          <w:rFonts w:eastAsia="SimSun"/>
          <w:i/>
          <w:u w:val="single"/>
          <w:lang w:val="kk" w:eastAsia="zh-CN"/>
        </w:rPr>
        <w:t>Қауіпсіздік бейінінің түйіндемесі</w:t>
      </w:r>
    </w:p>
    <w:p w14:paraId="1D09EDD3" w14:textId="4E8A59E6" w:rsidR="002243C2" w:rsidRPr="0054098D" w:rsidRDefault="0054098D" w:rsidP="00C96598">
      <w:pPr>
        <w:jc w:val="both"/>
        <w:rPr>
          <w:rFonts w:eastAsia="SimSun"/>
          <w:lang w:val="kk" w:eastAsia="zh-CN"/>
        </w:rPr>
      </w:pPr>
      <w:r w:rsidRPr="002243C2">
        <w:rPr>
          <w:rFonts w:eastAsia="SimSun"/>
          <w:lang w:val="kk" w:eastAsia="zh-CN"/>
        </w:rPr>
        <w:t>Ривароксабанның қауіпсіздігі III фазадағы 13 негізгі зерттеуде бағаланды  (1-кестені қараңыз).</w:t>
      </w:r>
    </w:p>
    <w:p w14:paraId="32BD77A1" w14:textId="37C9954D" w:rsidR="009E6BB8" w:rsidRPr="0054098D" w:rsidRDefault="0054098D" w:rsidP="00C96598">
      <w:pPr>
        <w:jc w:val="both"/>
        <w:rPr>
          <w:rFonts w:eastAsia="SimSun"/>
          <w:lang w:val="kk" w:eastAsia="zh-CN"/>
        </w:rPr>
      </w:pPr>
      <w:r w:rsidRPr="00810340">
        <w:rPr>
          <w:rFonts w:eastAsia="SimSun"/>
          <w:lang w:val="kk" w:eastAsia="zh-CN"/>
        </w:rPr>
        <w:t xml:space="preserve">Ривароксабанның қауіпсіздігін бағалау III фазадағы 19 зерттеуде ривароксабанның әсеріне ұшыраған 69608 пациентте және II фазадағы екі зерттеуде және III фазадағы бір зерттеуде 412 балада жүргізілді. </w:t>
      </w:r>
    </w:p>
    <w:p w14:paraId="32BD77A3" w14:textId="48E5773C" w:rsidR="009E6BB8" w:rsidRPr="0054098D" w:rsidRDefault="0054098D" w:rsidP="00D53091">
      <w:pPr>
        <w:keepNext/>
        <w:tabs>
          <w:tab w:val="left" w:pos="1134"/>
        </w:tabs>
        <w:jc w:val="both"/>
        <w:outlineLvl w:val="0"/>
        <w:rPr>
          <w:rFonts w:eastAsia="SimSun"/>
          <w:b/>
          <w:kern w:val="28"/>
          <w:lang w:val="kk" w:eastAsia="zh-CN"/>
        </w:rPr>
      </w:pPr>
      <w:bookmarkStart w:id="7" w:name="_Hlk94014476"/>
      <w:r w:rsidRPr="00810340">
        <w:rPr>
          <w:rFonts w:eastAsia="SimSun"/>
          <w:b/>
          <w:kern w:val="28"/>
          <w:lang w:val="kk" w:eastAsia="zh-CN" w:bidi="ru-RU"/>
        </w:rPr>
        <w:t>1-кесте. Зерттелген пациенттердің саны, жалпы тәуліктік дозасы, сондай-ақ ересек пациенттер мен балалардағы III фазадағы зерттеу кезіндегі емдеудің ең жоғары ұзақтығы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85" w:type="dxa"/>
          <w:right w:w="85" w:type="dxa"/>
        </w:tblCellMar>
        <w:tblLook w:val="01E0" w:firstRow="1" w:lastRow="1" w:firstColumn="1" w:lastColumn="1" w:noHBand="0" w:noVBand="0"/>
      </w:tblPr>
      <w:tblGrid>
        <w:gridCol w:w="3712"/>
        <w:gridCol w:w="1481"/>
        <w:gridCol w:w="2226"/>
        <w:gridCol w:w="2389"/>
      </w:tblGrid>
      <w:tr w:rsidR="00234FE7" w14:paraId="32BD77A8" w14:textId="77777777" w:rsidTr="00D53091">
        <w:tc>
          <w:tcPr>
            <w:tcW w:w="1892" w:type="pct"/>
            <w:shd w:val="clear" w:color="auto" w:fill="auto"/>
          </w:tcPr>
          <w:p w14:paraId="32BD77A4" w14:textId="77777777" w:rsidR="009E6BB8" w:rsidRPr="00671EDF" w:rsidRDefault="0054098D" w:rsidP="00ED4A0F">
            <w:pPr>
              <w:widowControl w:val="0"/>
              <w:autoSpaceDE w:val="0"/>
              <w:autoSpaceDN w:val="0"/>
              <w:rPr>
                <w:b/>
                <w:lang w:eastAsia="en-US"/>
              </w:rPr>
            </w:pPr>
            <w:r w:rsidRPr="00671EDF">
              <w:rPr>
                <w:b/>
                <w:lang w:val="kk" w:eastAsia="en-US" w:bidi="ru-RU"/>
              </w:rPr>
              <w:t>Қолданылуы</w:t>
            </w:r>
          </w:p>
        </w:tc>
        <w:tc>
          <w:tcPr>
            <w:tcW w:w="755" w:type="pct"/>
            <w:shd w:val="clear" w:color="auto" w:fill="auto"/>
          </w:tcPr>
          <w:p w14:paraId="32BD77A5" w14:textId="77777777" w:rsidR="009E6BB8" w:rsidRPr="00671EDF" w:rsidRDefault="0054098D" w:rsidP="00ED4A0F">
            <w:pPr>
              <w:widowControl w:val="0"/>
              <w:autoSpaceDE w:val="0"/>
              <w:autoSpaceDN w:val="0"/>
              <w:rPr>
                <w:b/>
                <w:lang w:eastAsia="en-US"/>
              </w:rPr>
            </w:pPr>
            <w:r w:rsidRPr="00671EDF">
              <w:rPr>
                <w:b/>
                <w:lang w:val="kk" w:eastAsia="en-US" w:bidi="ru-RU"/>
              </w:rPr>
              <w:t>Пациенттер саны*</w:t>
            </w:r>
          </w:p>
        </w:tc>
        <w:tc>
          <w:tcPr>
            <w:tcW w:w="1135" w:type="pct"/>
            <w:shd w:val="clear" w:color="auto" w:fill="auto"/>
          </w:tcPr>
          <w:p w14:paraId="32BD77A6" w14:textId="77777777" w:rsidR="009E6BB8" w:rsidRPr="00671EDF" w:rsidRDefault="0054098D" w:rsidP="00ED4A0F">
            <w:pPr>
              <w:widowControl w:val="0"/>
              <w:autoSpaceDE w:val="0"/>
              <w:autoSpaceDN w:val="0"/>
              <w:rPr>
                <w:b/>
                <w:lang w:eastAsia="en-US"/>
              </w:rPr>
            </w:pPr>
            <w:r w:rsidRPr="00671EDF">
              <w:rPr>
                <w:b/>
                <w:lang w:val="kk" w:eastAsia="en-US" w:bidi="ru-RU"/>
              </w:rPr>
              <w:t>Жалпы тәуліктік дозасы</w:t>
            </w:r>
          </w:p>
        </w:tc>
        <w:tc>
          <w:tcPr>
            <w:tcW w:w="1218" w:type="pct"/>
            <w:shd w:val="clear" w:color="auto" w:fill="auto"/>
          </w:tcPr>
          <w:p w14:paraId="32BD77A7" w14:textId="77777777" w:rsidR="009E6BB8" w:rsidRPr="00671EDF" w:rsidRDefault="0054098D" w:rsidP="00ED4A0F">
            <w:pPr>
              <w:widowControl w:val="0"/>
              <w:autoSpaceDE w:val="0"/>
              <w:autoSpaceDN w:val="0"/>
              <w:rPr>
                <w:b/>
                <w:lang w:eastAsia="en-US"/>
              </w:rPr>
            </w:pPr>
            <w:r w:rsidRPr="00671EDF">
              <w:rPr>
                <w:b/>
                <w:lang w:val="kk" w:eastAsia="en-US" w:bidi="ru-RU"/>
              </w:rPr>
              <w:t>Емдеудің ең жоғары ұзақтығы</w:t>
            </w:r>
          </w:p>
        </w:tc>
      </w:tr>
      <w:tr w:rsidR="00234FE7" w14:paraId="32BD77AD" w14:textId="77777777" w:rsidTr="00D53091">
        <w:tc>
          <w:tcPr>
            <w:tcW w:w="1892" w:type="pct"/>
            <w:shd w:val="clear" w:color="auto" w:fill="auto"/>
          </w:tcPr>
          <w:p w14:paraId="32BD77A9" w14:textId="77777777" w:rsidR="009E6BB8" w:rsidRPr="00671EDF" w:rsidRDefault="0054098D" w:rsidP="00ED4A0F">
            <w:pPr>
              <w:widowControl w:val="0"/>
              <w:autoSpaceDE w:val="0"/>
              <w:autoSpaceDN w:val="0"/>
              <w:rPr>
                <w:lang w:eastAsia="en-US"/>
              </w:rPr>
            </w:pPr>
            <w:r w:rsidRPr="00671EDF">
              <w:rPr>
                <w:lang w:val="kk" w:eastAsia="en-US" w:bidi="ru-RU"/>
              </w:rPr>
              <w:lastRenderedPageBreak/>
              <w:t>Тізебуынды немесе ұршықбуынды жоспарлы эндопротездеуден өткен ересек пациенттерде веналық тромбоэмболияның (ВТЭ) профилактикасы</w:t>
            </w:r>
          </w:p>
        </w:tc>
        <w:tc>
          <w:tcPr>
            <w:tcW w:w="755" w:type="pct"/>
            <w:shd w:val="clear" w:color="auto" w:fill="auto"/>
          </w:tcPr>
          <w:p w14:paraId="32BD77AA" w14:textId="77777777" w:rsidR="009E6BB8" w:rsidRPr="00671EDF" w:rsidRDefault="0054098D" w:rsidP="00ED4A0F">
            <w:pPr>
              <w:widowControl w:val="0"/>
              <w:autoSpaceDE w:val="0"/>
              <w:autoSpaceDN w:val="0"/>
              <w:rPr>
                <w:lang w:eastAsia="en-US"/>
              </w:rPr>
            </w:pPr>
            <w:r w:rsidRPr="00671EDF">
              <w:rPr>
                <w:lang w:val="kk" w:eastAsia="en-US" w:bidi="ru-RU"/>
              </w:rPr>
              <w:t>6 097</w:t>
            </w:r>
          </w:p>
        </w:tc>
        <w:tc>
          <w:tcPr>
            <w:tcW w:w="1135" w:type="pct"/>
            <w:shd w:val="clear" w:color="auto" w:fill="auto"/>
          </w:tcPr>
          <w:p w14:paraId="32BD77AB" w14:textId="77777777" w:rsidR="009E6BB8" w:rsidRPr="00671EDF" w:rsidRDefault="0054098D" w:rsidP="00ED4A0F">
            <w:pPr>
              <w:widowControl w:val="0"/>
              <w:autoSpaceDE w:val="0"/>
              <w:autoSpaceDN w:val="0"/>
              <w:rPr>
                <w:lang w:eastAsia="en-US"/>
              </w:rPr>
            </w:pPr>
            <w:r w:rsidRPr="00671EDF">
              <w:rPr>
                <w:lang w:val="kk" w:eastAsia="en-US" w:bidi="ru-RU"/>
              </w:rPr>
              <w:t>10 мг</w:t>
            </w:r>
          </w:p>
        </w:tc>
        <w:tc>
          <w:tcPr>
            <w:tcW w:w="1218" w:type="pct"/>
            <w:shd w:val="clear" w:color="auto" w:fill="auto"/>
          </w:tcPr>
          <w:p w14:paraId="32BD77AC" w14:textId="77777777" w:rsidR="009E6BB8" w:rsidRPr="00671EDF" w:rsidRDefault="0054098D" w:rsidP="00ED4A0F">
            <w:pPr>
              <w:widowControl w:val="0"/>
              <w:autoSpaceDE w:val="0"/>
              <w:autoSpaceDN w:val="0"/>
              <w:rPr>
                <w:lang w:eastAsia="en-US"/>
              </w:rPr>
            </w:pPr>
            <w:r w:rsidRPr="00671EDF">
              <w:rPr>
                <w:lang w:val="kk" w:eastAsia="en-US" w:bidi="ru-RU"/>
              </w:rPr>
              <w:t>39 күн</w:t>
            </w:r>
          </w:p>
        </w:tc>
      </w:tr>
      <w:tr w:rsidR="00234FE7" w14:paraId="32BD77B2" w14:textId="77777777" w:rsidTr="00D53091">
        <w:tc>
          <w:tcPr>
            <w:tcW w:w="1892" w:type="pct"/>
            <w:shd w:val="clear" w:color="auto" w:fill="auto"/>
          </w:tcPr>
          <w:p w14:paraId="32BD77AE" w14:textId="778D9B0E" w:rsidR="009E6BB8" w:rsidRPr="00671EDF" w:rsidRDefault="0054098D" w:rsidP="00ED4A0F">
            <w:pPr>
              <w:widowControl w:val="0"/>
              <w:autoSpaceDE w:val="0"/>
              <w:autoSpaceDN w:val="0"/>
              <w:rPr>
                <w:lang w:eastAsia="en-US"/>
              </w:rPr>
            </w:pPr>
            <w:r w:rsidRPr="00671EDF">
              <w:rPr>
                <w:lang w:val="kk" w:eastAsia="en-US" w:bidi="ru-RU"/>
              </w:rPr>
              <w:t>Соматикалық патологиясы бар пациенттерде веналық тромбоэмболияның профилактикасы</w:t>
            </w:r>
          </w:p>
        </w:tc>
        <w:tc>
          <w:tcPr>
            <w:tcW w:w="755" w:type="pct"/>
            <w:shd w:val="clear" w:color="auto" w:fill="auto"/>
          </w:tcPr>
          <w:p w14:paraId="32BD77AF" w14:textId="77777777" w:rsidR="009E6BB8" w:rsidRPr="00671EDF" w:rsidRDefault="0054098D" w:rsidP="00ED4A0F">
            <w:pPr>
              <w:widowControl w:val="0"/>
              <w:autoSpaceDE w:val="0"/>
              <w:autoSpaceDN w:val="0"/>
              <w:rPr>
                <w:lang w:eastAsia="en-US"/>
              </w:rPr>
            </w:pPr>
            <w:r w:rsidRPr="00671EDF">
              <w:rPr>
                <w:lang w:val="kk" w:eastAsia="en-US" w:bidi="ru-RU"/>
              </w:rPr>
              <w:t>3 997</w:t>
            </w:r>
          </w:p>
        </w:tc>
        <w:tc>
          <w:tcPr>
            <w:tcW w:w="1135" w:type="pct"/>
            <w:shd w:val="clear" w:color="auto" w:fill="auto"/>
          </w:tcPr>
          <w:p w14:paraId="32BD77B0" w14:textId="77777777" w:rsidR="009E6BB8" w:rsidRPr="00671EDF" w:rsidRDefault="0054098D" w:rsidP="00ED4A0F">
            <w:pPr>
              <w:widowControl w:val="0"/>
              <w:autoSpaceDE w:val="0"/>
              <w:autoSpaceDN w:val="0"/>
              <w:rPr>
                <w:lang w:eastAsia="en-US"/>
              </w:rPr>
            </w:pPr>
            <w:r w:rsidRPr="00671EDF">
              <w:rPr>
                <w:lang w:val="kk" w:eastAsia="en-US" w:bidi="ru-RU"/>
              </w:rPr>
              <w:t>10 мг</w:t>
            </w:r>
          </w:p>
        </w:tc>
        <w:tc>
          <w:tcPr>
            <w:tcW w:w="1218" w:type="pct"/>
            <w:shd w:val="clear" w:color="auto" w:fill="auto"/>
          </w:tcPr>
          <w:p w14:paraId="32BD77B1" w14:textId="77777777" w:rsidR="009E6BB8" w:rsidRPr="00671EDF" w:rsidRDefault="0054098D" w:rsidP="00ED4A0F">
            <w:pPr>
              <w:widowControl w:val="0"/>
              <w:autoSpaceDE w:val="0"/>
              <w:autoSpaceDN w:val="0"/>
              <w:rPr>
                <w:lang w:eastAsia="en-US"/>
              </w:rPr>
            </w:pPr>
            <w:r w:rsidRPr="00671EDF">
              <w:rPr>
                <w:lang w:val="kk" w:eastAsia="en-US" w:bidi="ru-RU"/>
              </w:rPr>
              <w:t>39 күн</w:t>
            </w:r>
          </w:p>
        </w:tc>
      </w:tr>
      <w:tr w:rsidR="00234FE7" w14:paraId="32BD77B8" w14:textId="77777777" w:rsidTr="00D53091">
        <w:tc>
          <w:tcPr>
            <w:tcW w:w="1892" w:type="pct"/>
            <w:shd w:val="clear" w:color="auto" w:fill="auto"/>
          </w:tcPr>
          <w:p w14:paraId="32BD77B3" w14:textId="77777777" w:rsidR="009E6BB8" w:rsidRPr="00671EDF" w:rsidRDefault="0054098D" w:rsidP="00ED4A0F">
            <w:pPr>
              <w:widowControl w:val="0"/>
              <w:autoSpaceDE w:val="0"/>
              <w:autoSpaceDN w:val="0"/>
              <w:rPr>
                <w:lang w:eastAsia="en-US"/>
              </w:rPr>
            </w:pPr>
            <w:r w:rsidRPr="00671EDF">
              <w:rPr>
                <w:lang w:val="kk" w:eastAsia="en-US" w:bidi="ru-RU"/>
              </w:rPr>
              <w:t>ТВТ және ӨАТЭ емдеу және қайталануларының профилактикасы</w:t>
            </w:r>
          </w:p>
        </w:tc>
        <w:tc>
          <w:tcPr>
            <w:tcW w:w="755" w:type="pct"/>
            <w:shd w:val="clear" w:color="auto" w:fill="auto"/>
          </w:tcPr>
          <w:p w14:paraId="32BD77B4" w14:textId="77777777" w:rsidR="009E6BB8" w:rsidRPr="00671EDF" w:rsidRDefault="0054098D" w:rsidP="00ED4A0F">
            <w:pPr>
              <w:widowControl w:val="0"/>
              <w:autoSpaceDE w:val="0"/>
              <w:autoSpaceDN w:val="0"/>
              <w:rPr>
                <w:lang w:eastAsia="en-US"/>
              </w:rPr>
            </w:pPr>
            <w:r w:rsidRPr="00671EDF">
              <w:rPr>
                <w:lang w:val="kk" w:eastAsia="en-US" w:bidi="ru-RU"/>
              </w:rPr>
              <w:t>6 790</w:t>
            </w:r>
          </w:p>
        </w:tc>
        <w:tc>
          <w:tcPr>
            <w:tcW w:w="1135" w:type="pct"/>
            <w:shd w:val="clear" w:color="auto" w:fill="auto"/>
          </w:tcPr>
          <w:p w14:paraId="32BD77B5" w14:textId="77777777" w:rsidR="009E6BB8" w:rsidRPr="00671EDF" w:rsidRDefault="0054098D" w:rsidP="00ED4A0F">
            <w:pPr>
              <w:widowControl w:val="0"/>
              <w:autoSpaceDE w:val="0"/>
              <w:autoSpaceDN w:val="0"/>
              <w:rPr>
                <w:lang w:eastAsia="en-US" w:bidi="ru-RU"/>
              </w:rPr>
            </w:pPr>
            <w:r w:rsidRPr="00671EDF">
              <w:rPr>
                <w:lang w:val="kk" w:eastAsia="en-US" w:bidi="ru-RU"/>
              </w:rPr>
              <w:t>1-21-күні: 30 мг</w:t>
            </w:r>
          </w:p>
          <w:p w14:paraId="32BD77B6" w14:textId="77777777" w:rsidR="009E6BB8" w:rsidRPr="0054098D" w:rsidRDefault="0054098D" w:rsidP="00ED4A0F">
            <w:pPr>
              <w:widowControl w:val="0"/>
              <w:autoSpaceDE w:val="0"/>
              <w:autoSpaceDN w:val="0"/>
              <w:rPr>
                <w:lang w:val="kk" w:eastAsia="en-US"/>
              </w:rPr>
            </w:pPr>
            <w:r w:rsidRPr="00671EDF">
              <w:rPr>
                <w:lang w:val="kk" w:eastAsia="en-US" w:bidi="ru-RU"/>
              </w:rPr>
              <w:t>22-күні және одан кейінгі күндер: 20 мг. Кем дегенде алты ай қабылдағаннан кейін: 10 мг немесе 20 мг.</w:t>
            </w:r>
          </w:p>
        </w:tc>
        <w:tc>
          <w:tcPr>
            <w:tcW w:w="1218" w:type="pct"/>
            <w:shd w:val="clear" w:color="auto" w:fill="auto"/>
          </w:tcPr>
          <w:p w14:paraId="32BD77B7" w14:textId="77777777" w:rsidR="009E6BB8" w:rsidRPr="00671EDF" w:rsidRDefault="0054098D" w:rsidP="00ED4A0F">
            <w:pPr>
              <w:widowControl w:val="0"/>
              <w:autoSpaceDE w:val="0"/>
              <w:autoSpaceDN w:val="0"/>
              <w:rPr>
                <w:lang w:eastAsia="en-US"/>
              </w:rPr>
            </w:pPr>
            <w:r w:rsidRPr="00671EDF">
              <w:rPr>
                <w:lang w:val="kk" w:eastAsia="en-US" w:bidi="ru-RU"/>
              </w:rPr>
              <w:t>21 ай</w:t>
            </w:r>
          </w:p>
        </w:tc>
      </w:tr>
      <w:tr w:rsidR="00234FE7" w14:paraId="5A407789" w14:textId="77777777" w:rsidTr="00D53091">
        <w:tc>
          <w:tcPr>
            <w:tcW w:w="1892" w:type="pct"/>
            <w:shd w:val="clear" w:color="auto" w:fill="auto"/>
          </w:tcPr>
          <w:p w14:paraId="02B25C54" w14:textId="289E78C9" w:rsidR="00D53091" w:rsidRPr="00671EDF" w:rsidRDefault="0054098D" w:rsidP="00ED4A0F">
            <w:pPr>
              <w:widowControl w:val="0"/>
              <w:autoSpaceDE w:val="0"/>
              <w:autoSpaceDN w:val="0"/>
              <w:rPr>
                <w:lang w:eastAsia="en-US" w:bidi="ru-RU"/>
              </w:rPr>
            </w:pPr>
            <w:r w:rsidRPr="00D53091">
              <w:rPr>
                <w:lang w:val="kk" w:eastAsia="en-US" w:bidi="ru-RU"/>
              </w:rPr>
              <w:t>Стандартты антикоагулянттық ем басталғаннан кейін мерзімі жетіп туған нәрестелерде және 18 жасқа дейінгі балаларда ВТЭ емдеу және ВТЭ қайталануының профилактикасы</w:t>
            </w:r>
          </w:p>
        </w:tc>
        <w:tc>
          <w:tcPr>
            <w:tcW w:w="755" w:type="pct"/>
            <w:shd w:val="clear" w:color="auto" w:fill="auto"/>
          </w:tcPr>
          <w:p w14:paraId="0F8CB818" w14:textId="28B784D1" w:rsidR="00D53091" w:rsidRPr="00671EDF" w:rsidRDefault="0054098D" w:rsidP="00ED4A0F">
            <w:pPr>
              <w:widowControl w:val="0"/>
              <w:autoSpaceDE w:val="0"/>
              <w:autoSpaceDN w:val="0"/>
              <w:rPr>
                <w:lang w:eastAsia="en-US" w:bidi="ru-RU"/>
              </w:rPr>
            </w:pPr>
            <w:r>
              <w:rPr>
                <w:lang w:val="kk" w:eastAsia="en-US" w:bidi="ru-RU"/>
              </w:rPr>
              <w:t>329</w:t>
            </w:r>
          </w:p>
        </w:tc>
        <w:tc>
          <w:tcPr>
            <w:tcW w:w="1135" w:type="pct"/>
            <w:shd w:val="clear" w:color="auto" w:fill="auto"/>
          </w:tcPr>
          <w:p w14:paraId="247F1F54" w14:textId="1265233F" w:rsidR="00D53091" w:rsidRPr="00671EDF" w:rsidRDefault="0054098D" w:rsidP="00ED4A0F">
            <w:pPr>
              <w:widowControl w:val="0"/>
              <w:autoSpaceDE w:val="0"/>
              <w:autoSpaceDN w:val="0"/>
              <w:rPr>
                <w:lang w:eastAsia="en-US" w:bidi="ru-RU"/>
              </w:rPr>
            </w:pPr>
            <w:r w:rsidRPr="00D53091">
              <w:rPr>
                <w:lang w:val="kk" w:eastAsia="en-US" w:bidi="ru-RU"/>
              </w:rPr>
              <w:t>Тәулігіне бір рет жиілікпен 20 мг дозада ривароксабанмен ТВТ-ға қарсы ем қабылдаған ересектерде байқалатынға ұқсас экспозициясына қол жеткізу үшін дене салмағына түзетілген доза.</w:t>
            </w:r>
          </w:p>
        </w:tc>
        <w:tc>
          <w:tcPr>
            <w:tcW w:w="1218" w:type="pct"/>
            <w:shd w:val="clear" w:color="auto" w:fill="auto"/>
          </w:tcPr>
          <w:p w14:paraId="3BE1A33F" w14:textId="4AD996AF" w:rsidR="00D53091" w:rsidRPr="00671EDF" w:rsidRDefault="0054098D" w:rsidP="00ED4A0F">
            <w:pPr>
              <w:widowControl w:val="0"/>
              <w:autoSpaceDE w:val="0"/>
              <w:autoSpaceDN w:val="0"/>
              <w:rPr>
                <w:lang w:eastAsia="en-US" w:bidi="ru-RU"/>
              </w:rPr>
            </w:pPr>
            <w:r>
              <w:rPr>
                <w:lang w:val="kk" w:eastAsia="en-US" w:bidi="ru-RU"/>
              </w:rPr>
              <w:t>12 ай</w:t>
            </w:r>
          </w:p>
        </w:tc>
      </w:tr>
      <w:tr w:rsidR="00234FE7" w14:paraId="32BD77BD" w14:textId="77777777" w:rsidTr="00D53091">
        <w:tc>
          <w:tcPr>
            <w:tcW w:w="1892" w:type="pct"/>
            <w:shd w:val="clear" w:color="auto" w:fill="auto"/>
          </w:tcPr>
          <w:p w14:paraId="32BD77B9" w14:textId="77777777" w:rsidR="009E6BB8" w:rsidRPr="00671EDF" w:rsidRDefault="0054098D" w:rsidP="00ED4A0F">
            <w:pPr>
              <w:widowControl w:val="0"/>
              <w:autoSpaceDE w:val="0"/>
              <w:autoSpaceDN w:val="0"/>
              <w:rPr>
                <w:lang w:eastAsia="en-US"/>
              </w:rPr>
            </w:pPr>
            <w:r w:rsidRPr="00671EDF">
              <w:rPr>
                <w:lang w:val="kk" w:eastAsia="en-US" w:bidi="ru-RU"/>
              </w:rPr>
              <w:t>Жүрекшенің қақпақшасыз фибрилляциясы бар пациенттерде инсульт пен жүйелі эмболияның профилактикасы</w:t>
            </w:r>
          </w:p>
        </w:tc>
        <w:tc>
          <w:tcPr>
            <w:tcW w:w="755" w:type="pct"/>
            <w:shd w:val="clear" w:color="auto" w:fill="auto"/>
          </w:tcPr>
          <w:p w14:paraId="32BD77BA" w14:textId="77777777" w:rsidR="009E6BB8" w:rsidRPr="00671EDF" w:rsidRDefault="0054098D" w:rsidP="00ED4A0F">
            <w:pPr>
              <w:widowControl w:val="0"/>
              <w:autoSpaceDE w:val="0"/>
              <w:autoSpaceDN w:val="0"/>
              <w:rPr>
                <w:lang w:eastAsia="en-US"/>
              </w:rPr>
            </w:pPr>
            <w:r w:rsidRPr="00671EDF">
              <w:rPr>
                <w:lang w:val="kk" w:eastAsia="en-US" w:bidi="ru-RU"/>
              </w:rPr>
              <w:t>7 750</w:t>
            </w:r>
          </w:p>
        </w:tc>
        <w:tc>
          <w:tcPr>
            <w:tcW w:w="1135" w:type="pct"/>
            <w:shd w:val="clear" w:color="auto" w:fill="auto"/>
          </w:tcPr>
          <w:p w14:paraId="32BD77BB" w14:textId="77777777" w:rsidR="009E6BB8" w:rsidRPr="00671EDF" w:rsidRDefault="0054098D" w:rsidP="00ED4A0F">
            <w:pPr>
              <w:widowControl w:val="0"/>
              <w:autoSpaceDE w:val="0"/>
              <w:autoSpaceDN w:val="0"/>
              <w:rPr>
                <w:lang w:eastAsia="en-US"/>
              </w:rPr>
            </w:pPr>
            <w:r w:rsidRPr="00671EDF">
              <w:rPr>
                <w:lang w:val="kk" w:eastAsia="en-US" w:bidi="ru-RU"/>
              </w:rPr>
              <w:t>20 мг</w:t>
            </w:r>
          </w:p>
        </w:tc>
        <w:tc>
          <w:tcPr>
            <w:tcW w:w="1218" w:type="pct"/>
            <w:shd w:val="clear" w:color="auto" w:fill="auto"/>
          </w:tcPr>
          <w:p w14:paraId="32BD77BC" w14:textId="77777777" w:rsidR="009E6BB8" w:rsidRPr="00671EDF" w:rsidRDefault="0054098D" w:rsidP="00ED4A0F">
            <w:pPr>
              <w:widowControl w:val="0"/>
              <w:autoSpaceDE w:val="0"/>
              <w:autoSpaceDN w:val="0"/>
              <w:rPr>
                <w:lang w:eastAsia="en-US"/>
              </w:rPr>
            </w:pPr>
            <w:r w:rsidRPr="00671EDF">
              <w:rPr>
                <w:lang w:val="kk" w:eastAsia="en-US" w:bidi="ru-RU"/>
              </w:rPr>
              <w:t>41 ай</w:t>
            </w:r>
          </w:p>
        </w:tc>
      </w:tr>
      <w:tr w:rsidR="00234FE7" w14:paraId="32BD77C2" w14:textId="77777777" w:rsidTr="00D53091">
        <w:tc>
          <w:tcPr>
            <w:tcW w:w="1892" w:type="pct"/>
            <w:shd w:val="clear" w:color="auto" w:fill="auto"/>
          </w:tcPr>
          <w:p w14:paraId="32BD77BE" w14:textId="77777777" w:rsidR="009E6BB8" w:rsidRPr="00671EDF" w:rsidRDefault="0054098D" w:rsidP="00ED4A0F">
            <w:pPr>
              <w:widowControl w:val="0"/>
              <w:autoSpaceDE w:val="0"/>
              <w:autoSpaceDN w:val="0"/>
              <w:rPr>
                <w:lang w:eastAsia="en-US"/>
              </w:rPr>
            </w:pPr>
            <w:r w:rsidRPr="00671EDF">
              <w:rPr>
                <w:lang w:val="kk" w:eastAsia="en-US" w:bidi="ru-RU"/>
              </w:rPr>
              <w:t>ЖКС кейін пациенттерде атеротромбоздық оқиғалардың профилактикасы</w:t>
            </w:r>
          </w:p>
        </w:tc>
        <w:tc>
          <w:tcPr>
            <w:tcW w:w="755" w:type="pct"/>
            <w:shd w:val="clear" w:color="auto" w:fill="auto"/>
          </w:tcPr>
          <w:p w14:paraId="32BD77BF" w14:textId="77777777" w:rsidR="009E6BB8" w:rsidRPr="00671EDF" w:rsidRDefault="0054098D" w:rsidP="00ED4A0F">
            <w:pPr>
              <w:widowControl w:val="0"/>
              <w:autoSpaceDE w:val="0"/>
              <w:autoSpaceDN w:val="0"/>
              <w:rPr>
                <w:lang w:eastAsia="en-US"/>
              </w:rPr>
            </w:pPr>
            <w:r w:rsidRPr="00671EDF">
              <w:rPr>
                <w:lang w:val="kk" w:eastAsia="en-US" w:bidi="ru-RU"/>
              </w:rPr>
              <w:t>10 225</w:t>
            </w:r>
          </w:p>
        </w:tc>
        <w:tc>
          <w:tcPr>
            <w:tcW w:w="1135" w:type="pct"/>
            <w:shd w:val="clear" w:color="auto" w:fill="auto"/>
          </w:tcPr>
          <w:p w14:paraId="32BD77C0" w14:textId="77777777" w:rsidR="009E6BB8" w:rsidRPr="00671EDF" w:rsidRDefault="0054098D" w:rsidP="00ED4A0F">
            <w:pPr>
              <w:widowControl w:val="0"/>
              <w:autoSpaceDE w:val="0"/>
              <w:autoSpaceDN w:val="0"/>
              <w:rPr>
                <w:lang w:eastAsia="en-US"/>
              </w:rPr>
            </w:pPr>
            <w:r w:rsidRPr="00671EDF">
              <w:rPr>
                <w:lang w:val="kk" w:eastAsia="en-US" w:bidi="ru-RU"/>
              </w:rPr>
              <w:t>5 мг немесе 10 мг тиісінше, АСҚ-мен немесе АСҚ плюс клопидогрель немесе тиклопидин қатар қабылдау</w:t>
            </w:r>
          </w:p>
        </w:tc>
        <w:tc>
          <w:tcPr>
            <w:tcW w:w="1218" w:type="pct"/>
            <w:shd w:val="clear" w:color="auto" w:fill="auto"/>
          </w:tcPr>
          <w:p w14:paraId="32BD77C1" w14:textId="77777777" w:rsidR="009E6BB8" w:rsidRPr="00671EDF" w:rsidRDefault="0054098D" w:rsidP="00ED4A0F">
            <w:pPr>
              <w:widowControl w:val="0"/>
              <w:autoSpaceDE w:val="0"/>
              <w:autoSpaceDN w:val="0"/>
              <w:rPr>
                <w:lang w:eastAsia="en-US"/>
              </w:rPr>
            </w:pPr>
            <w:r w:rsidRPr="00671EDF">
              <w:rPr>
                <w:lang w:val="kk" w:eastAsia="en-US" w:bidi="ru-RU"/>
              </w:rPr>
              <w:t>31 ай</w:t>
            </w:r>
          </w:p>
        </w:tc>
      </w:tr>
      <w:tr w:rsidR="00234FE7" w14:paraId="32BD77C8" w14:textId="77777777" w:rsidTr="00D53091">
        <w:tc>
          <w:tcPr>
            <w:tcW w:w="1892" w:type="pct"/>
            <w:vMerge w:val="restart"/>
            <w:shd w:val="clear" w:color="auto" w:fill="auto"/>
          </w:tcPr>
          <w:p w14:paraId="32BD77C3" w14:textId="77777777" w:rsidR="00D53091" w:rsidRPr="00671EDF" w:rsidRDefault="00D53091" w:rsidP="00ED4A0F">
            <w:pPr>
              <w:widowControl w:val="0"/>
              <w:autoSpaceDE w:val="0"/>
              <w:autoSpaceDN w:val="0"/>
              <w:rPr>
                <w:lang w:eastAsia="en-US" w:bidi="ru-RU"/>
              </w:rPr>
            </w:pPr>
          </w:p>
          <w:p w14:paraId="32BD77C4" w14:textId="77777777" w:rsidR="00D53091" w:rsidRPr="00671EDF" w:rsidRDefault="0054098D" w:rsidP="00ED4A0F">
            <w:pPr>
              <w:widowControl w:val="0"/>
              <w:autoSpaceDE w:val="0"/>
              <w:autoSpaceDN w:val="0"/>
              <w:rPr>
                <w:lang w:eastAsia="en-US" w:bidi="ru-RU"/>
              </w:rPr>
            </w:pPr>
            <w:r w:rsidRPr="00671EDF">
              <w:rPr>
                <w:lang w:val="kk" w:eastAsia="en-US" w:bidi="ru-RU"/>
              </w:rPr>
              <w:t xml:space="preserve">ЖИА немесе ШАА бар пациенттерде атеротромбоздық оқиғалардың профилактикасы </w:t>
            </w:r>
          </w:p>
        </w:tc>
        <w:tc>
          <w:tcPr>
            <w:tcW w:w="755" w:type="pct"/>
            <w:shd w:val="clear" w:color="auto" w:fill="auto"/>
          </w:tcPr>
          <w:p w14:paraId="32BD77C5" w14:textId="77777777" w:rsidR="00D53091" w:rsidRPr="00671EDF" w:rsidRDefault="0054098D" w:rsidP="00ED4A0F">
            <w:pPr>
              <w:widowControl w:val="0"/>
              <w:autoSpaceDE w:val="0"/>
              <w:autoSpaceDN w:val="0"/>
              <w:rPr>
                <w:lang w:eastAsia="en-US" w:bidi="ru-RU"/>
              </w:rPr>
            </w:pPr>
            <w:r w:rsidRPr="00671EDF">
              <w:rPr>
                <w:lang w:val="kk" w:eastAsia="en-US" w:bidi="ru-RU"/>
              </w:rPr>
              <w:t>18 244</w:t>
            </w:r>
          </w:p>
        </w:tc>
        <w:tc>
          <w:tcPr>
            <w:tcW w:w="1135" w:type="pct"/>
            <w:shd w:val="clear" w:color="auto" w:fill="auto"/>
          </w:tcPr>
          <w:p w14:paraId="32BD77C6" w14:textId="77777777" w:rsidR="00D53091" w:rsidRPr="00671EDF" w:rsidRDefault="0054098D" w:rsidP="00ED4A0F">
            <w:pPr>
              <w:widowControl w:val="0"/>
              <w:autoSpaceDE w:val="0"/>
              <w:autoSpaceDN w:val="0"/>
              <w:rPr>
                <w:lang w:eastAsia="en-US" w:bidi="ru-RU"/>
              </w:rPr>
            </w:pPr>
            <w:r w:rsidRPr="00671EDF">
              <w:rPr>
                <w:lang w:val="kk" w:eastAsia="en-US" w:bidi="ru-RU"/>
              </w:rPr>
              <w:t>Ацетилсалицил қышқылына қосымша тәулігіне 5 мг немесе тәулігіне 10 мг</w:t>
            </w:r>
          </w:p>
        </w:tc>
        <w:tc>
          <w:tcPr>
            <w:tcW w:w="1218" w:type="pct"/>
            <w:shd w:val="clear" w:color="auto" w:fill="auto"/>
          </w:tcPr>
          <w:p w14:paraId="32BD77C7" w14:textId="77777777" w:rsidR="00D53091" w:rsidRPr="00671EDF" w:rsidRDefault="0054098D" w:rsidP="00ED4A0F">
            <w:pPr>
              <w:widowControl w:val="0"/>
              <w:autoSpaceDE w:val="0"/>
              <w:autoSpaceDN w:val="0"/>
              <w:rPr>
                <w:lang w:eastAsia="en-US" w:bidi="ru-RU"/>
              </w:rPr>
            </w:pPr>
            <w:r w:rsidRPr="00671EDF">
              <w:rPr>
                <w:lang w:val="kk" w:eastAsia="en-US" w:bidi="ru-RU"/>
              </w:rPr>
              <w:t>47 ай</w:t>
            </w:r>
          </w:p>
        </w:tc>
      </w:tr>
      <w:tr w:rsidR="00234FE7" w14:paraId="1695C52B" w14:textId="77777777" w:rsidTr="00D53091">
        <w:tc>
          <w:tcPr>
            <w:tcW w:w="1892" w:type="pct"/>
            <w:vMerge/>
            <w:shd w:val="clear" w:color="auto" w:fill="auto"/>
          </w:tcPr>
          <w:p w14:paraId="6C7B29DF" w14:textId="77777777" w:rsidR="00D53091" w:rsidRPr="00671EDF" w:rsidRDefault="00D53091" w:rsidP="00ED4A0F">
            <w:pPr>
              <w:widowControl w:val="0"/>
              <w:autoSpaceDE w:val="0"/>
              <w:autoSpaceDN w:val="0"/>
              <w:rPr>
                <w:lang w:eastAsia="en-US" w:bidi="ru-RU"/>
              </w:rPr>
            </w:pPr>
          </w:p>
        </w:tc>
        <w:tc>
          <w:tcPr>
            <w:tcW w:w="755" w:type="pct"/>
            <w:shd w:val="clear" w:color="auto" w:fill="auto"/>
          </w:tcPr>
          <w:p w14:paraId="4C023517" w14:textId="38948A58" w:rsidR="00D53091" w:rsidRPr="00671EDF" w:rsidRDefault="0054098D" w:rsidP="00ED4A0F">
            <w:pPr>
              <w:widowControl w:val="0"/>
              <w:autoSpaceDE w:val="0"/>
              <w:autoSpaceDN w:val="0"/>
              <w:rPr>
                <w:lang w:eastAsia="en-US" w:bidi="ru-RU"/>
              </w:rPr>
            </w:pPr>
            <w:r>
              <w:rPr>
                <w:lang w:val="kk" w:eastAsia="en-US" w:bidi="ru-RU"/>
              </w:rPr>
              <w:t>3256**</w:t>
            </w:r>
          </w:p>
        </w:tc>
        <w:tc>
          <w:tcPr>
            <w:tcW w:w="1135" w:type="pct"/>
            <w:shd w:val="clear" w:color="auto" w:fill="auto"/>
          </w:tcPr>
          <w:p w14:paraId="0BBB8E8C" w14:textId="6114936F" w:rsidR="00D53091" w:rsidRPr="00671EDF" w:rsidRDefault="0054098D" w:rsidP="00ED4A0F">
            <w:pPr>
              <w:widowControl w:val="0"/>
              <w:autoSpaceDE w:val="0"/>
              <w:autoSpaceDN w:val="0"/>
              <w:rPr>
                <w:lang w:eastAsia="en-US" w:bidi="ru-RU"/>
              </w:rPr>
            </w:pPr>
            <w:r w:rsidRPr="00671EDF">
              <w:rPr>
                <w:lang w:val="kk" w:eastAsia="en-US" w:bidi="ru-RU"/>
              </w:rPr>
              <w:t>Ацетилсалицил қышқылына қосымша тәулігіне 5 мг</w:t>
            </w:r>
          </w:p>
        </w:tc>
        <w:tc>
          <w:tcPr>
            <w:tcW w:w="1218" w:type="pct"/>
            <w:shd w:val="clear" w:color="auto" w:fill="auto"/>
          </w:tcPr>
          <w:p w14:paraId="35584682" w14:textId="49997ED2" w:rsidR="00D53091" w:rsidRPr="00671EDF" w:rsidRDefault="0054098D" w:rsidP="00ED4A0F">
            <w:pPr>
              <w:widowControl w:val="0"/>
              <w:autoSpaceDE w:val="0"/>
              <w:autoSpaceDN w:val="0"/>
              <w:rPr>
                <w:lang w:eastAsia="en-US" w:bidi="ru-RU"/>
              </w:rPr>
            </w:pPr>
            <w:r>
              <w:rPr>
                <w:lang w:val="kk" w:eastAsia="en-US" w:bidi="ru-RU"/>
              </w:rPr>
              <w:t>42 ай</w:t>
            </w:r>
          </w:p>
        </w:tc>
      </w:tr>
    </w:tbl>
    <w:p w14:paraId="32BD77CA" w14:textId="20A32219" w:rsidR="009E6BB8" w:rsidRDefault="0054098D" w:rsidP="00D53091">
      <w:pPr>
        <w:rPr>
          <w:rFonts w:eastAsia="SimSun"/>
          <w:lang w:eastAsia="zh-CN" w:bidi="ru-RU"/>
        </w:rPr>
      </w:pPr>
      <w:r w:rsidRPr="00671EDF">
        <w:rPr>
          <w:rFonts w:eastAsia="SimSun"/>
          <w:lang w:val="kk" w:eastAsia="zh-CN" w:bidi="ru-RU"/>
        </w:rPr>
        <w:t>* Ривароксабанның кем дегенде бір дозасын қабылдаған пациенттер.</w:t>
      </w:r>
    </w:p>
    <w:p w14:paraId="2D5FCA76" w14:textId="6ECAF175" w:rsidR="00D53091" w:rsidRPr="00671EDF" w:rsidRDefault="0054098D" w:rsidP="00D53091">
      <w:pPr>
        <w:rPr>
          <w:rFonts w:eastAsia="SimSun"/>
          <w:lang w:eastAsia="zh-CN"/>
        </w:rPr>
      </w:pPr>
      <w:r>
        <w:rPr>
          <w:rFonts w:eastAsia="SimSun"/>
          <w:lang w:val="kk" w:eastAsia="zh-CN" w:bidi="ru-RU"/>
        </w:rPr>
        <w:t>** VOYAGER PAD зерттеуінен алынған мәліметтер</w:t>
      </w:r>
    </w:p>
    <w:p w14:paraId="32BD77CB" w14:textId="635AB77B" w:rsidR="009E6BB8" w:rsidRPr="0054098D" w:rsidRDefault="0054098D" w:rsidP="00D53091">
      <w:pPr>
        <w:jc w:val="both"/>
        <w:rPr>
          <w:rFonts w:eastAsia="SimSun"/>
          <w:lang w:val="kk" w:eastAsia="zh-CN"/>
        </w:rPr>
      </w:pPr>
      <w:r w:rsidRPr="00671EDF">
        <w:rPr>
          <w:rFonts w:eastAsia="SimSun"/>
          <w:lang w:val="kk" w:eastAsia="zh-CN"/>
        </w:rPr>
        <w:lastRenderedPageBreak/>
        <w:t xml:space="preserve">Ривароксабан қабылдайтын пациенттерде ең жиі жағымсыз реакциялар қан кетулер болды (төменде 4.4 бөлімін және «Жекелеген жағымсыз реакциялардың сипаттамасын», 2-кестені қараңыз). Ең жиі қан кетулер мұрыннан (4,5%) және асқазан-ішектен қан кету (3,8%) болды. </w:t>
      </w:r>
    </w:p>
    <w:p w14:paraId="32BD77CD" w14:textId="6051D85D" w:rsidR="009E6BB8" w:rsidRPr="0054098D" w:rsidRDefault="0054098D" w:rsidP="00C96598">
      <w:pPr>
        <w:keepNext/>
        <w:tabs>
          <w:tab w:val="left" w:pos="1134"/>
        </w:tabs>
        <w:jc w:val="both"/>
        <w:outlineLvl w:val="0"/>
        <w:rPr>
          <w:rFonts w:eastAsia="SimSun"/>
          <w:b/>
          <w:kern w:val="28"/>
          <w:lang w:val="kk" w:eastAsia="zh-CN"/>
        </w:rPr>
      </w:pPr>
      <w:r w:rsidRPr="00671EDF">
        <w:rPr>
          <w:rFonts w:eastAsia="SimSun"/>
          <w:b/>
          <w:kern w:val="28"/>
          <w:lang w:val="kk" w:eastAsia="zh-CN" w:bidi="ru-RU"/>
        </w:rPr>
        <w:t>2-кесте. Ересектер мен балаларда III фазаның клиникалық зерттеулері кезінде ривароксабан қабылдаған пациенттерде қан кетулердің* және анемияның туындау жиілігі</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85" w:type="dxa"/>
          <w:right w:w="85" w:type="dxa"/>
        </w:tblCellMar>
        <w:tblLook w:val="01E0" w:firstRow="1" w:lastRow="1" w:firstColumn="1" w:lastColumn="1" w:noHBand="0" w:noVBand="0"/>
      </w:tblPr>
      <w:tblGrid>
        <w:gridCol w:w="4543"/>
        <w:gridCol w:w="2542"/>
        <w:gridCol w:w="2723"/>
      </w:tblGrid>
      <w:tr w:rsidR="00234FE7" w14:paraId="32BD77D1" w14:textId="77777777" w:rsidTr="007D7D76">
        <w:tc>
          <w:tcPr>
            <w:tcW w:w="2316" w:type="pct"/>
            <w:shd w:val="clear" w:color="auto" w:fill="auto"/>
          </w:tcPr>
          <w:p w14:paraId="32BD77CE" w14:textId="77777777" w:rsidR="009E6BB8" w:rsidRPr="00671EDF" w:rsidRDefault="0054098D" w:rsidP="00ED4A0F">
            <w:pPr>
              <w:widowControl w:val="0"/>
              <w:autoSpaceDE w:val="0"/>
              <w:autoSpaceDN w:val="0"/>
              <w:rPr>
                <w:b/>
                <w:lang w:eastAsia="en-US"/>
              </w:rPr>
            </w:pPr>
            <w:r w:rsidRPr="00671EDF">
              <w:rPr>
                <w:b/>
                <w:lang w:val="kk" w:eastAsia="en-US" w:bidi="ru-RU"/>
              </w:rPr>
              <w:t>Қолданылуы</w:t>
            </w:r>
          </w:p>
        </w:tc>
        <w:tc>
          <w:tcPr>
            <w:tcW w:w="1296" w:type="pct"/>
            <w:shd w:val="clear" w:color="auto" w:fill="auto"/>
          </w:tcPr>
          <w:p w14:paraId="32BD77CF" w14:textId="77777777" w:rsidR="009E6BB8" w:rsidRPr="00671EDF" w:rsidRDefault="0054098D" w:rsidP="00ED4A0F">
            <w:pPr>
              <w:widowControl w:val="0"/>
              <w:autoSpaceDE w:val="0"/>
              <w:autoSpaceDN w:val="0"/>
              <w:rPr>
                <w:b/>
                <w:lang w:eastAsia="en-US"/>
              </w:rPr>
            </w:pPr>
            <w:r w:rsidRPr="00671EDF">
              <w:rPr>
                <w:b/>
                <w:lang w:val="kk" w:eastAsia="en-US" w:bidi="ru-RU"/>
              </w:rPr>
              <w:t>Кез келген қан кету түрі</w:t>
            </w:r>
          </w:p>
        </w:tc>
        <w:tc>
          <w:tcPr>
            <w:tcW w:w="1388" w:type="pct"/>
            <w:shd w:val="clear" w:color="auto" w:fill="auto"/>
          </w:tcPr>
          <w:p w14:paraId="32BD77D0" w14:textId="77777777" w:rsidR="009E6BB8" w:rsidRPr="00671EDF" w:rsidRDefault="0054098D" w:rsidP="00ED4A0F">
            <w:pPr>
              <w:widowControl w:val="0"/>
              <w:autoSpaceDE w:val="0"/>
              <w:autoSpaceDN w:val="0"/>
              <w:rPr>
                <w:b/>
                <w:lang w:eastAsia="en-US"/>
              </w:rPr>
            </w:pPr>
            <w:r w:rsidRPr="00671EDF">
              <w:rPr>
                <w:b/>
                <w:lang w:val="kk" w:eastAsia="en-US" w:bidi="ru-RU"/>
              </w:rPr>
              <w:t>Анемия</w:t>
            </w:r>
          </w:p>
        </w:tc>
      </w:tr>
      <w:tr w:rsidR="00234FE7" w14:paraId="32BD77D5" w14:textId="77777777" w:rsidTr="007D7D76">
        <w:tc>
          <w:tcPr>
            <w:tcW w:w="2316" w:type="pct"/>
            <w:shd w:val="clear" w:color="auto" w:fill="auto"/>
          </w:tcPr>
          <w:p w14:paraId="32BD77D2" w14:textId="77777777" w:rsidR="009E6BB8" w:rsidRPr="00671EDF" w:rsidRDefault="0054098D" w:rsidP="00ED4A0F">
            <w:pPr>
              <w:widowControl w:val="0"/>
              <w:autoSpaceDE w:val="0"/>
              <w:autoSpaceDN w:val="0"/>
              <w:rPr>
                <w:lang w:eastAsia="en-US"/>
              </w:rPr>
            </w:pPr>
            <w:r w:rsidRPr="00671EDF">
              <w:rPr>
                <w:lang w:val="kk" w:eastAsia="en-US" w:bidi="ru-RU"/>
              </w:rPr>
              <w:t>Тізебуынды немесе ұршықбуынды жоспарлы эндопротездеуден өткен ересек пациенттерде веналық тромбоэмболияның (ВТЭ) профилактикасы</w:t>
            </w:r>
          </w:p>
        </w:tc>
        <w:tc>
          <w:tcPr>
            <w:tcW w:w="1296" w:type="pct"/>
            <w:shd w:val="clear" w:color="auto" w:fill="auto"/>
          </w:tcPr>
          <w:p w14:paraId="32BD77D3" w14:textId="77777777" w:rsidR="009E6BB8" w:rsidRPr="00671EDF" w:rsidRDefault="0054098D" w:rsidP="00ED4A0F">
            <w:pPr>
              <w:widowControl w:val="0"/>
              <w:autoSpaceDE w:val="0"/>
              <w:autoSpaceDN w:val="0"/>
              <w:rPr>
                <w:lang w:eastAsia="en-US"/>
              </w:rPr>
            </w:pPr>
            <w:r w:rsidRPr="00671EDF">
              <w:rPr>
                <w:lang w:val="kk" w:eastAsia="en-US" w:bidi="ru-RU"/>
              </w:rPr>
              <w:t xml:space="preserve">Пациенттердің 6,8 % </w:t>
            </w:r>
          </w:p>
        </w:tc>
        <w:tc>
          <w:tcPr>
            <w:tcW w:w="1388" w:type="pct"/>
            <w:shd w:val="clear" w:color="auto" w:fill="auto"/>
          </w:tcPr>
          <w:p w14:paraId="32BD77D4" w14:textId="77777777" w:rsidR="009E6BB8" w:rsidRPr="00671EDF" w:rsidRDefault="0054098D" w:rsidP="00ED4A0F">
            <w:pPr>
              <w:widowControl w:val="0"/>
              <w:autoSpaceDE w:val="0"/>
              <w:autoSpaceDN w:val="0"/>
              <w:rPr>
                <w:lang w:eastAsia="en-US"/>
              </w:rPr>
            </w:pPr>
            <w:r w:rsidRPr="00671EDF">
              <w:rPr>
                <w:lang w:val="kk" w:eastAsia="en-US" w:bidi="ru-RU"/>
              </w:rPr>
              <w:t xml:space="preserve">Пациенттердің 5,9 % </w:t>
            </w:r>
          </w:p>
        </w:tc>
      </w:tr>
      <w:tr w:rsidR="00234FE7" w14:paraId="32BD77D9" w14:textId="77777777" w:rsidTr="007D7D76">
        <w:tc>
          <w:tcPr>
            <w:tcW w:w="2316" w:type="pct"/>
            <w:shd w:val="clear" w:color="auto" w:fill="auto"/>
          </w:tcPr>
          <w:p w14:paraId="32BD77D6" w14:textId="3C8009B3" w:rsidR="009E6BB8" w:rsidRPr="00671EDF" w:rsidRDefault="0054098D" w:rsidP="00ED4A0F">
            <w:pPr>
              <w:widowControl w:val="0"/>
              <w:autoSpaceDE w:val="0"/>
              <w:autoSpaceDN w:val="0"/>
              <w:rPr>
                <w:lang w:eastAsia="en-US"/>
              </w:rPr>
            </w:pPr>
            <w:r w:rsidRPr="00671EDF">
              <w:rPr>
                <w:lang w:val="kk" w:eastAsia="en-US" w:bidi="ru-RU"/>
              </w:rPr>
              <w:t>Соматикалық патологиясы бар пациенттерде веналық тромбоэмболияның профилактикасы</w:t>
            </w:r>
          </w:p>
        </w:tc>
        <w:tc>
          <w:tcPr>
            <w:tcW w:w="1296" w:type="pct"/>
            <w:shd w:val="clear" w:color="auto" w:fill="auto"/>
          </w:tcPr>
          <w:p w14:paraId="32BD77D7" w14:textId="77777777" w:rsidR="009E6BB8" w:rsidRPr="00671EDF" w:rsidRDefault="0054098D" w:rsidP="00ED4A0F">
            <w:pPr>
              <w:widowControl w:val="0"/>
              <w:autoSpaceDE w:val="0"/>
              <w:autoSpaceDN w:val="0"/>
              <w:rPr>
                <w:lang w:eastAsia="en-US"/>
              </w:rPr>
            </w:pPr>
            <w:r w:rsidRPr="00671EDF">
              <w:rPr>
                <w:lang w:val="kk" w:eastAsia="en-US" w:bidi="ru-RU"/>
              </w:rPr>
              <w:t xml:space="preserve">Пациенттердің 12,6 % </w:t>
            </w:r>
          </w:p>
        </w:tc>
        <w:tc>
          <w:tcPr>
            <w:tcW w:w="1388" w:type="pct"/>
            <w:shd w:val="clear" w:color="auto" w:fill="auto"/>
          </w:tcPr>
          <w:p w14:paraId="32BD77D8" w14:textId="77777777" w:rsidR="009E6BB8" w:rsidRPr="00671EDF" w:rsidRDefault="0054098D" w:rsidP="00ED4A0F">
            <w:pPr>
              <w:widowControl w:val="0"/>
              <w:autoSpaceDE w:val="0"/>
              <w:autoSpaceDN w:val="0"/>
              <w:rPr>
                <w:lang w:eastAsia="en-US"/>
              </w:rPr>
            </w:pPr>
            <w:r w:rsidRPr="00671EDF">
              <w:rPr>
                <w:lang w:val="kk" w:eastAsia="en-US" w:bidi="ru-RU"/>
              </w:rPr>
              <w:t xml:space="preserve">Пациенттердің 2,1 % </w:t>
            </w:r>
          </w:p>
        </w:tc>
      </w:tr>
      <w:tr w:rsidR="00234FE7" w14:paraId="32BD77DD" w14:textId="77777777" w:rsidTr="007D7D76">
        <w:tc>
          <w:tcPr>
            <w:tcW w:w="2316" w:type="pct"/>
            <w:shd w:val="clear" w:color="auto" w:fill="auto"/>
          </w:tcPr>
          <w:p w14:paraId="32BD77DA" w14:textId="77777777" w:rsidR="009E6BB8" w:rsidRPr="00671EDF" w:rsidRDefault="0054098D" w:rsidP="00ED4A0F">
            <w:pPr>
              <w:widowControl w:val="0"/>
              <w:autoSpaceDE w:val="0"/>
              <w:autoSpaceDN w:val="0"/>
              <w:rPr>
                <w:lang w:eastAsia="en-US"/>
              </w:rPr>
            </w:pPr>
            <w:r w:rsidRPr="00671EDF">
              <w:rPr>
                <w:lang w:val="kk" w:eastAsia="en-US" w:bidi="ru-RU"/>
              </w:rPr>
              <w:t>ТВТ және ӨАТЭ емдеу және қайталануларының профилактикасы</w:t>
            </w:r>
          </w:p>
        </w:tc>
        <w:tc>
          <w:tcPr>
            <w:tcW w:w="1296" w:type="pct"/>
            <w:shd w:val="clear" w:color="auto" w:fill="auto"/>
          </w:tcPr>
          <w:p w14:paraId="32BD77DB" w14:textId="77777777" w:rsidR="009E6BB8" w:rsidRPr="00671EDF" w:rsidRDefault="0054098D" w:rsidP="00ED4A0F">
            <w:pPr>
              <w:widowControl w:val="0"/>
              <w:autoSpaceDE w:val="0"/>
              <w:autoSpaceDN w:val="0"/>
              <w:rPr>
                <w:lang w:eastAsia="en-US"/>
              </w:rPr>
            </w:pPr>
            <w:r w:rsidRPr="00671EDF">
              <w:rPr>
                <w:lang w:val="kk" w:eastAsia="en-US" w:bidi="ru-RU"/>
              </w:rPr>
              <w:t xml:space="preserve">Пациенттердің 23 % </w:t>
            </w:r>
          </w:p>
        </w:tc>
        <w:tc>
          <w:tcPr>
            <w:tcW w:w="1388" w:type="pct"/>
            <w:shd w:val="clear" w:color="auto" w:fill="auto"/>
          </w:tcPr>
          <w:p w14:paraId="32BD77DC" w14:textId="77777777" w:rsidR="009E6BB8" w:rsidRPr="00671EDF" w:rsidRDefault="0054098D" w:rsidP="00ED4A0F">
            <w:pPr>
              <w:widowControl w:val="0"/>
              <w:autoSpaceDE w:val="0"/>
              <w:autoSpaceDN w:val="0"/>
              <w:rPr>
                <w:lang w:eastAsia="en-US"/>
              </w:rPr>
            </w:pPr>
            <w:r w:rsidRPr="00671EDF">
              <w:rPr>
                <w:lang w:val="kk" w:eastAsia="en-US" w:bidi="ru-RU"/>
              </w:rPr>
              <w:t xml:space="preserve">Пациенттердің 1,6 % </w:t>
            </w:r>
          </w:p>
        </w:tc>
      </w:tr>
      <w:tr w:rsidR="00234FE7" w14:paraId="32BD77E1" w14:textId="77777777" w:rsidTr="007D7D76">
        <w:tc>
          <w:tcPr>
            <w:tcW w:w="2316" w:type="pct"/>
            <w:shd w:val="clear" w:color="auto" w:fill="auto"/>
          </w:tcPr>
          <w:p w14:paraId="32BD77DE" w14:textId="77777777" w:rsidR="009E6BB8" w:rsidRPr="00671EDF" w:rsidRDefault="0054098D" w:rsidP="00ED4A0F">
            <w:pPr>
              <w:widowControl w:val="0"/>
              <w:autoSpaceDE w:val="0"/>
              <w:autoSpaceDN w:val="0"/>
              <w:rPr>
                <w:lang w:eastAsia="en-US"/>
              </w:rPr>
            </w:pPr>
            <w:r w:rsidRPr="00671EDF">
              <w:rPr>
                <w:lang w:val="kk" w:eastAsia="en-US" w:bidi="ru-RU"/>
              </w:rPr>
              <w:t>Жүрекшенің қақпақшасыз фибрилляциясы бар пациенттерде инсульт пен жүйелі эмболияның профилактикасы</w:t>
            </w:r>
          </w:p>
        </w:tc>
        <w:tc>
          <w:tcPr>
            <w:tcW w:w="1296" w:type="pct"/>
            <w:shd w:val="clear" w:color="auto" w:fill="auto"/>
          </w:tcPr>
          <w:p w14:paraId="32BD77DF" w14:textId="3C44FC2E" w:rsidR="009E6BB8" w:rsidRPr="00671EDF" w:rsidRDefault="0054098D" w:rsidP="00ED4A0F">
            <w:pPr>
              <w:widowControl w:val="0"/>
              <w:autoSpaceDE w:val="0"/>
              <w:autoSpaceDN w:val="0"/>
              <w:rPr>
                <w:lang w:eastAsia="en-US"/>
              </w:rPr>
            </w:pPr>
            <w:r w:rsidRPr="00671EDF">
              <w:rPr>
                <w:lang w:val="kk" w:eastAsia="en-US" w:bidi="ru-RU"/>
              </w:rPr>
              <w:t>100 пациент-жылға шаққандағы 28</w:t>
            </w:r>
          </w:p>
        </w:tc>
        <w:tc>
          <w:tcPr>
            <w:tcW w:w="1388" w:type="pct"/>
            <w:shd w:val="clear" w:color="auto" w:fill="auto"/>
          </w:tcPr>
          <w:p w14:paraId="32BD77E0" w14:textId="77777777" w:rsidR="009E6BB8" w:rsidRPr="00671EDF" w:rsidRDefault="0054098D" w:rsidP="00ED4A0F">
            <w:pPr>
              <w:widowControl w:val="0"/>
              <w:autoSpaceDE w:val="0"/>
              <w:autoSpaceDN w:val="0"/>
              <w:rPr>
                <w:lang w:eastAsia="en-US"/>
              </w:rPr>
            </w:pPr>
            <w:r w:rsidRPr="00671EDF">
              <w:rPr>
                <w:lang w:val="kk" w:eastAsia="en-US" w:bidi="ru-RU"/>
              </w:rPr>
              <w:t>100 пациент-жылға шаққандағы 2,5</w:t>
            </w:r>
          </w:p>
        </w:tc>
      </w:tr>
      <w:tr w:rsidR="00234FE7" w14:paraId="32BD77E5" w14:textId="77777777" w:rsidTr="007D7D76">
        <w:tc>
          <w:tcPr>
            <w:tcW w:w="2316" w:type="pct"/>
            <w:shd w:val="clear" w:color="auto" w:fill="auto"/>
          </w:tcPr>
          <w:p w14:paraId="32BD77E2" w14:textId="77777777" w:rsidR="009E6BB8" w:rsidRPr="00671EDF" w:rsidRDefault="0054098D" w:rsidP="00ED4A0F">
            <w:pPr>
              <w:widowControl w:val="0"/>
              <w:autoSpaceDE w:val="0"/>
              <w:autoSpaceDN w:val="0"/>
              <w:rPr>
                <w:lang w:eastAsia="en-US"/>
              </w:rPr>
            </w:pPr>
            <w:r w:rsidRPr="00671EDF">
              <w:rPr>
                <w:lang w:val="kk" w:eastAsia="en-US" w:bidi="ru-RU"/>
              </w:rPr>
              <w:t>ЖКС кейін пациенттерде атеротромбоздық оқиғалардың профилактикасы</w:t>
            </w:r>
          </w:p>
        </w:tc>
        <w:tc>
          <w:tcPr>
            <w:tcW w:w="1296" w:type="pct"/>
            <w:shd w:val="clear" w:color="auto" w:fill="auto"/>
          </w:tcPr>
          <w:p w14:paraId="32BD77E3" w14:textId="3D8B44DB" w:rsidR="009E6BB8" w:rsidRPr="00671EDF" w:rsidRDefault="0054098D" w:rsidP="00ED4A0F">
            <w:pPr>
              <w:widowControl w:val="0"/>
              <w:autoSpaceDE w:val="0"/>
              <w:autoSpaceDN w:val="0"/>
              <w:rPr>
                <w:lang w:eastAsia="en-US"/>
              </w:rPr>
            </w:pPr>
            <w:r w:rsidRPr="00671EDF">
              <w:rPr>
                <w:lang w:val="kk" w:eastAsia="en-US" w:bidi="ru-RU"/>
              </w:rPr>
              <w:t>100 пациент-жылға шаққандағы 22</w:t>
            </w:r>
          </w:p>
        </w:tc>
        <w:tc>
          <w:tcPr>
            <w:tcW w:w="1388" w:type="pct"/>
            <w:shd w:val="clear" w:color="auto" w:fill="auto"/>
          </w:tcPr>
          <w:p w14:paraId="32BD77E4" w14:textId="22DD5EBA" w:rsidR="009E6BB8" w:rsidRPr="00671EDF" w:rsidRDefault="0054098D" w:rsidP="00ED4A0F">
            <w:pPr>
              <w:widowControl w:val="0"/>
              <w:autoSpaceDE w:val="0"/>
              <w:autoSpaceDN w:val="0"/>
              <w:rPr>
                <w:lang w:eastAsia="en-US"/>
              </w:rPr>
            </w:pPr>
            <w:r w:rsidRPr="00671EDF">
              <w:rPr>
                <w:lang w:val="kk" w:eastAsia="en-US" w:bidi="ru-RU"/>
              </w:rPr>
              <w:t>100 пациент-жылға шаққандағы 1,4</w:t>
            </w:r>
          </w:p>
        </w:tc>
      </w:tr>
      <w:tr w:rsidR="00234FE7" w14:paraId="32BD77E9" w14:textId="77777777" w:rsidTr="007D7D76">
        <w:tc>
          <w:tcPr>
            <w:tcW w:w="2316" w:type="pct"/>
            <w:vMerge w:val="restart"/>
            <w:shd w:val="clear" w:color="auto" w:fill="auto"/>
          </w:tcPr>
          <w:p w14:paraId="32BD77E6" w14:textId="77777777" w:rsidR="007D7D76" w:rsidRPr="00671EDF" w:rsidRDefault="0054098D" w:rsidP="00ED4A0F">
            <w:pPr>
              <w:widowControl w:val="0"/>
              <w:autoSpaceDE w:val="0"/>
              <w:autoSpaceDN w:val="0"/>
              <w:rPr>
                <w:lang w:eastAsia="en-US" w:bidi="ru-RU"/>
              </w:rPr>
            </w:pPr>
            <w:r w:rsidRPr="00671EDF">
              <w:rPr>
                <w:lang w:val="kk" w:eastAsia="en-US" w:bidi="ru-RU"/>
              </w:rPr>
              <w:t>ЖИА немесе ШАА бар пациенттерде атеротромбоздық оқиғалардың профилактикасы</w:t>
            </w:r>
          </w:p>
        </w:tc>
        <w:tc>
          <w:tcPr>
            <w:tcW w:w="1296" w:type="pct"/>
            <w:shd w:val="clear" w:color="auto" w:fill="auto"/>
          </w:tcPr>
          <w:p w14:paraId="32BD77E7" w14:textId="426AF6C5" w:rsidR="007D7D76" w:rsidRPr="00671EDF" w:rsidRDefault="0054098D" w:rsidP="00ED4A0F">
            <w:pPr>
              <w:widowControl w:val="0"/>
              <w:autoSpaceDE w:val="0"/>
              <w:autoSpaceDN w:val="0"/>
              <w:rPr>
                <w:lang w:eastAsia="en-US" w:bidi="ru-RU"/>
              </w:rPr>
            </w:pPr>
            <w:r w:rsidRPr="00671EDF">
              <w:rPr>
                <w:lang w:val="kk" w:eastAsia="en-US" w:bidi="ru-RU"/>
              </w:rPr>
              <w:t>100 пациент-жылға шаққандағы 6,7</w:t>
            </w:r>
          </w:p>
        </w:tc>
        <w:tc>
          <w:tcPr>
            <w:tcW w:w="1388" w:type="pct"/>
            <w:shd w:val="clear" w:color="auto" w:fill="auto"/>
          </w:tcPr>
          <w:p w14:paraId="32BD77E8" w14:textId="637DE1B5" w:rsidR="007D7D76" w:rsidRPr="00671EDF" w:rsidRDefault="0054098D" w:rsidP="00ED4A0F">
            <w:pPr>
              <w:widowControl w:val="0"/>
              <w:autoSpaceDE w:val="0"/>
              <w:autoSpaceDN w:val="0"/>
              <w:rPr>
                <w:lang w:eastAsia="en-US" w:bidi="ru-RU"/>
              </w:rPr>
            </w:pPr>
            <w:r w:rsidRPr="00671EDF">
              <w:rPr>
                <w:lang w:val="kk" w:eastAsia="en-US" w:bidi="ru-RU"/>
              </w:rPr>
              <w:t>100 пациент-жылға шаққандағы 0,15***</w:t>
            </w:r>
          </w:p>
        </w:tc>
      </w:tr>
      <w:tr w:rsidR="00234FE7" w14:paraId="4AF25CE7" w14:textId="77777777" w:rsidTr="007D7D76">
        <w:tc>
          <w:tcPr>
            <w:tcW w:w="2316" w:type="pct"/>
            <w:vMerge/>
            <w:shd w:val="clear" w:color="auto" w:fill="auto"/>
          </w:tcPr>
          <w:p w14:paraId="22346D89" w14:textId="77777777" w:rsidR="007D7D76" w:rsidRPr="00671EDF" w:rsidRDefault="007D7D76" w:rsidP="00ED4A0F">
            <w:pPr>
              <w:widowControl w:val="0"/>
              <w:autoSpaceDE w:val="0"/>
              <w:autoSpaceDN w:val="0"/>
              <w:rPr>
                <w:lang w:eastAsia="en-US" w:bidi="ru-RU"/>
              </w:rPr>
            </w:pPr>
          </w:p>
        </w:tc>
        <w:tc>
          <w:tcPr>
            <w:tcW w:w="1296" w:type="pct"/>
            <w:shd w:val="clear" w:color="auto" w:fill="auto"/>
          </w:tcPr>
          <w:p w14:paraId="505AD48B" w14:textId="454F5B93" w:rsidR="007D7D76" w:rsidRPr="007D7D76" w:rsidRDefault="0054098D" w:rsidP="00ED4A0F">
            <w:pPr>
              <w:widowControl w:val="0"/>
              <w:autoSpaceDE w:val="0"/>
              <w:autoSpaceDN w:val="0"/>
              <w:rPr>
                <w:lang w:eastAsia="en-US" w:bidi="ru-RU"/>
              </w:rPr>
            </w:pPr>
            <w:r>
              <w:rPr>
                <w:lang w:val="kk" w:eastAsia="en-US" w:bidi="ru-RU"/>
              </w:rPr>
              <w:t>100 пациент-жылға шаққандағы 8.38</w:t>
            </w:r>
            <w:r w:rsidRPr="007D7D76">
              <w:rPr>
                <w:vertAlign w:val="superscript"/>
                <w:lang w:val="kk" w:eastAsia="en-US" w:bidi="ru-RU"/>
              </w:rPr>
              <w:t>#</w:t>
            </w:r>
          </w:p>
        </w:tc>
        <w:tc>
          <w:tcPr>
            <w:tcW w:w="1388" w:type="pct"/>
            <w:shd w:val="clear" w:color="auto" w:fill="auto"/>
          </w:tcPr>
          <w:p w14:paraId="4798C60B" w14:textId="282CFFCA" w:rsidR="007D7D76" w:rsidRPr="007D7D76" w:rsidRDefault="0054098D" w:rsidP="00ED4A0F">
            <w:pPr>
              <w:widowControl w:val="0"/>
              <w:autoSpaceDE w:val="0"/>
              <w:autoSpaceDN w:val="0"/>
              <w:rPr>
                <w:lang w:eastAsia="en-US" w:bidi="ru-RU"/>
              </w:rPr>
            </w:pPr>
            <w:r>
              <w:rPr>
                <w:lang w:val="kk" w:eastAsia="en-US" w:bidi="ru-RU"/>
              </w:rPr>
              <w:t>100 пациент-жылға шаққандағы 0.74***</w:t>
            </w:r>
            <w:r w:rsidRPr="007D7D76">
              <w:rPr>
                <w:vertAlign w:val="superscript"/>
                <w:lang w:val="kk" w:eastAsia="en-US" w:bidi="ru-RU"/>
              </w:rPr>
              <w:t>#</w:t>
            </w:r>
          </w:p>
        </w:tc>
      </w:tr>
    </w:tbl>
    <w:p w14:paraId="32BD77EA" w14:textId="77777777" w:rsidR="009E6BB8" w:rsidRPr="00671EDF" w:rsidRDefault="0054098D" w:rsidP="00C96598">
      <w:pPr>
        <w:jc w:val="both"/>
        <w:rPr>
          <w:rFonts w:eastAsia="SimSun"/>
          <w:lang w:eastAsia="zh-CN"/>
        </w:rPr>
      </w:pPr>
      <w:r w:rsidRPr="00671EDF">
        <w:rPr>
          <w:rFonts w:eastAsia="SimSun"/>
          <w:lang w:val="kk" w:eastAsia="zh-CN"/>
        </w:rPr>
        <w:t>* Ривароксабанның барлық зерттеулерінде қан кету туралы барлық мәліметтер жиналды, өңделді</w:t>
      </w:r>
    </w:p>
    <w:p w14:paraId="32BD77EC" w14:textId="1C12C079" w:rsidR="00827AAF" w:rsidRPr="00671EDF" w:rsidRDefault="0054098D" w:rsidP="00C96598">
      <w:pPr>
        <w:jc w:val="both"/>
        <w:rPr>
          <w:rFonts w:eastAsia="SimSun"/>
          <w:lang w:eastAsia="zh-CN"/>
        </w:rPr>
      </w:pPr>
      <w:r w:rsidRPr="00671EDF">
        <w:rPr>
          <w:rFonts w:eastAsia="SimSun"/>
          <w:lang w:val="kk" w:eastAsia="zh-CN"/>
        </w:rPr>
        <w:t>** COMPASS зерттеуінде анемияның төмен жиілігі байқалады, өйткені жағымсыз құбылыстар бойынша деректерді жинауға таңдамалы тәсіл қолданылды.</w:t>
      </w:r>
    </w:p>
    <w:p w14:paraId="7BA4B466" w14:textId="0F3744E6" w:rsidR="00962CF5" w:rsidRDefault="0054098D" w:rsidP="00C96598">
      <w:pPr>
        <w:rPr>
          <w:rFonts w:eastAsia="SimSun"/>
          <w:iCs/>
          <w:lang w:eastAsia="zh-CN"/>
        </w:rPr>
      </w:pPr>
      <w:r>
        <w:rPr>
          <w:rFonts w:eastAsia="SimSun"/>
          <w:iCs/>
          <w:lang w:val="kk" w:eastAsia="zh-CN"/>
        </w:rPr>
        <w:t>*** Жағымсыз құбылыстар туралы деректерді жинауға таңдамалы тәсіл қолданылды.</w:t>
      </w:r>
    </w:p>
    <w:p w14:paraId="565AED1E" w14:textId="4AEEDF10" w:rsidR="00E5615D" w:rsidRPr="00E5615D" w:rsidRDefault="0054098D" w:rsidP="00C96598">
      <w:pPr>
        <w:rPr>
          <w:rFonts w:eastAsia="SimSun"/>
          <w:iCs/>
          <w:lang w:eastAsia="zh-CN"/>
        </w:rPr>
      </w:pPr>
      <w:r w:rsidRPr="00E5615D">
        <w:rPr>
          <w:rFonts w:eastAsia="SimSun"/>
          <w:iCs/>
          <w:lang w:val="kk" w:eastAsia="zh-CN"/>
        </w:rPr>
        <w:t># VOYAGER PAD зерттеуінен алынған мәліметтер</w:t>
      </w:r>
    </w:p>
    <w:p w14:paraId="32BD77ED" w14:textId="54DE054F" w:rsidR="009E6BB8" w:rsidRPr="00671EDF" w:rsidRDefault="0054098D" w:rsidP="00C96598">
      <w:pPr>
        <w:rPr>
          <w:rFonts w:eastAsia="SimSun"/>
          <w:i/>
          <w:lang w:eastAsia="zh-CN"/>
        </w:rPr>
      </w:pPr>
      <w:r w:rsidRPr="00671EDF">
        <w:rPr>
          <w:rFonts w:eastAsia="SimSun"/>
          <w:i/>
          <w:lang w:val="kk" w:eastAsia="zh-CN"/>
        </w:rPr>
        <w:t>Кесте түріндегі жағымсыз реакциялар тізімі</w:t>
      </w:r>
    </w:p>
    <w:p w14:paraId="32BD77EE" w14:textId="23209926" w:rsidR="009E6BB8" w:rsidRPr="00671EDF" w:rsidRDefault="0054098D" w:rsidP="00C96598">
      <w:pPr>
        <w:jc w:val="both"/>
        <w:rPr>
          <w:rFonts w:eastAsia="SimSun"/>
          <w:lang w:eastAsia="zh-CN"/>
        </w:rPr>
      </w:pPr>
      <w:r w:rsidRPr="00671EDF">
        <w:rPr>
          <w:rFonts w:eastAsia="SimSun"/>
          <w:lang w:val="kk" w:eastAsia="zh-CN"/>
        </w:rPr>
        <w:t xml:space="preserve">Ривароксабанды пайдаланған кезде тіркелген </w:t>
      </w:r>
      <w:bookmarkStart w:id="8" w:name="_Hlk24721880"/>
      <w:r w:rsidRPr="00671EDF">
        <w:rPr>
          <w:rFonts w:eastAsia="SimSun"/>
          <w:lang w:val="kk" w:eastAsia="zh-CN"/>
        </w:rPr>
        <w:t>жағымсыз</w:t>
      </w:r>
      <w:bookmarkEnd w:id="8"/>
      <w:r w:rsidRPr="00671EDF">
        <w:rPr>
          <w:rFonts w:eastAsia="SimSun"/>
          <w:lang w:val="kk" w:eastAsia="zh-CN"/>
        </w:rPr>
        <w:t xml:space="preserve"> реакциялардың жиіліктері туралы топтастырылған деректер төменде ағзалар жүйелерінің кластары (MedDRA) және жиіліктері бойынша төмендегі 3-кестесінде келтірілген. </w:t>
      </w:r>
    </w:p>
    <w:p w14:paraId="32BD77EF" w14:textId="709F1D44" w:rsidR="009E6BB8" w:rsidRPr="00671EDF" w:rsidRDefault="0054098D" w:rsidP="00C96598">
      <w:pPr>
        <w:jc w:val="both"/>
        <w:rPr>
          <w:rFonts w:eastAsia="SimSun"/>
          <w:lang w:eastAsia="zh-CN"/>
        </w:rPr>
      </w:pPr>
      <w:r w:rsidRPr="00671EDF">
        <w:rPr>
          <w:rFonts w:eastAsia="SimSun"/>
          <w:lang w:val="kk" w:eastAsia="zh-CN"/>
        </w:rPr>
        <w:t>Жағымсыз реакциялар жиілігі бойынша топтарға келесі тәртіппен бөлінген:</w:t>
      </w:r>
    </w:p>
    <w:p w14:paraId="32BD77F0" w14:textId="23329CC3" w:rsidR="009E6BB8" w:rsidRPr="00671EDF" w:rsidRDefault="0054098D" w:rsidP="00C96598">
      <w:pPr>
        <w:rPr>
          <w:rFonts w:eastAsia="SimSun"/>
          <w:i/>
          <w:lang w:eastAsia="zh-CN"/>
        </w:rPr>
      </w:pPr>
      <w:r w:rsidRPr="00671EDF">
        <w:rPr>
          <w:rFonts w:eastAsia="SimSun"/>
          <w:i/>
          <w:lang w:val="kk" w:eastAsia="zh-CN"/>
        </w:rPr>
        <w:t>өте жиі (</w:t>
      </w:r>
      <w:r w:rsidRPr="00671EDF">
        <w:rPr>
          <w:rFonts w:eastAsia="SimSun" w:hint="eastAsia"/>
          <w:i/>
          <w:lang w:val="kk" w:eastAsia="zh-CN"/>
        </w:rPr>
        <w:t>≥</w:t>
      </w:r>
      <w:r w:rsidRPr="00671EDF">
        <w:rPr>
          <w:rFonts w:eastAsia="SimSun"/>
          <w:i/>
          <w:lang w:val="kk" w:eastAsia="zh-CN"/>
        </w:rPr>
        <w:t>1/10)</w:t>
      </w:r>
    </w:p>
    <w:p w14:paraId="32BD77F1" w14:textId="77777777" w:rsidR="009E6BB8" w:rsidRPr="00671EDF" w:rsidRDefault="0054098D" w:rsidP="00962CF5">
      <w:pPr>
        <w:rPr>
          <w:rFonts w:eastAsia="SimSun"/>
          <w:i/>
          <w:lang w:eastAsia="zh-CN"/>
        </w:rPr>
      </w:pPr>
      <w:r w:rsidRPr="00671EDF">
        <w:rPr>
          <w:rFonts w:eastAsia="SimSun"/>
          <w:i/>
          <w:lang w:val="kk" w:eastAsia="zh-CN"/>
        </w:rPr>
        <w:t xml:space="preserve">жиі ( </w:t>
      </w:r>
      <w:r w:rsidRPr="00671EDF">
        <w:rPr>
          <w:rFonts w:eastAsia="SimSun" w:hint="eastAsia"/>
          <w:i/>
          <w:lang w:val="kk" w:eastAsia="zh-CN"/>
        </w:rPr>
        <w:t>≥</w:t>
      </w:r>
      <w:r w:rsidRPr="00671EDF">
        <w:rPr>
          <w:rFonts w:eastAsia="SimSun"/>
          <w:i/>
          <w:lang w:val="kk" w:eastAsia="zh-CN"/>
        </w:rPr>
        <w:t>1/100-ден &lt;1/10 дейін)</w:t>
      </w:r>
    </w:p>
    <w:p w14:paraId="32BD77F2" w14:textId="77777777" w:rsidR="009E6BB8" w:rsidRPr="00671EDF" w:rsidRDefault="0054098D" w:rsidP="00C96598">
      <w:pPr>
        <w:rPr>
          <w:rFonts w:eastAsia="SimSun"/>
          <w:i/>
          <w:lang w:eastAsia="zh-CN"/>
        </w:rPr>
      </w:pPr>
      <w:r w:rsidRPr="00671EDF">
        <w:rPr>
          <w:rFonts w:eastAsia="SimSun"/>
          <w:i/>
          <w:lang w:val="kk" w:eastAsia="zh-CN"/>
        </w:rPr>
        <w:t>жиі емес (</w:t>
      </w:r>
      <w:r w:rsidRPr="00671EDF">
        <w:rPr>
          <w:rFonts w:eastAsia="SimSun" w:hint="eastAsia"/>
          <w:i/>
          <w:lang w:val="kk" w:eastAsia="zh-CN"/>
        </w:rPr>
        <w:t>≥</w:t>
      </w:r>
      <w:r w:rsidRPr="00671EDF">
        <w:rPr>
          <w:rFonts w:eastAsia="SimSun"/>
          <w:i/>
          <w:lang w:val="kk" w:eastAsia="zh-CN"/>
        </w:rPr>
        <w:t>1/1000-нан &lt;1/100 дейін)</w:t>
      </w:r>
    </w:p>
    <w:p w14:paraId="32BD77F3" w14:textId="77777777" w:rsidR="009E6BB8" w:rsidRPr="00671EDF" w:rsidRDefault="0054098D" w:rsidP="00C96598">
      <w:pPr>
        <w:rPr>
          <w:rFonts w:eastAsia="SimSun"/>
          <w:i/>
          <w:lang w:eastAsia="zh-CN"/>
        </w:rPr>
      </w:pPr>
      <w:r w:rsidRPr="00671EDF">
        <w:rPr>
          <w:rFonts w:eastAsia="SimSun"/>
          <w:i/>
          <w:lang w:val="kk" w:eastAsia="zh-CN"/>
        </w:rPr>
        <w:t xml:space="preserve">сирек (от </w:t>
      </w:r>
      <w:r w:rsidRPr="00671EDF">
        <w:rPr>
          <w:rFonts w:eastAsia="SimSun" w:hint="eastAsia"/>
          <w:i/>
          <w:lang w:val="kk" w:eastAsia="zh-CN"/>
        </w:rPr>
        <w:t>≥</w:t>
      </w:r>
      <w:r w:rsidRPr="00671EDF">
        <w:rPr>
          <w:rFonts w:eastAsia="SimSun"/>
          <w:i/>
          <w:lang w:val="kk" w:eastAsia="zh-CN"/>
        </w:rPr>
        <w:t xml:space="preserve"> 1/10000-нан &lt;1/1000 дейін)</w:t>
      </w:r>
    </w:p>
    <w:p w14:paraId="32BD77F4" w14:textId="77777777" w:rsidR="009E6BB8" w:rsidRPr="00671EDF" w:rsidRDefault="0054098D" w:rsidP="00C96598">
      <w:pPr>
        <w:rPr>
          <w:rFonts w:eastAsia="SimSun"/>
          <w:i/>
          <w:lang w:eastAsia="zh-CN"/>
        </w:rPr>
      </w:pPr>
      <w:r w:rsidRPr="00671EDF">
        <w:rPr>
          <w:rFonts w:eastAsia="SimSun"/>
          <w:i/>
          <w:lang w:val="kk" w:eastAsia="zh-CN"/>
        </w:rPr>
        <w:t>өте сирек (&lt;1/10000)</w:t>
      </w:r>
    </w:p>
    <w:p w14:paraId="026825D9" w14:textId="6F938AFF" w:rsidR="00962CF5" w:rsidRPr="00671EDF" w:rsidRDefault="0054098D" w:rsidP="00962CF5">
      <w:pPr>
        <w:rPr>
          <w:rFonts w:eastAsia="SimSun"/>
          <w:i/>
          <w:lang w:eastAsia="zh-CN"/>
        </w:rPr>
      </w:pPr>
      <w:r w:rsidRPr="00671EDF">
        <w:rPr>
          <w:rFonts w:eastAsia="SimSun"/>
          <w:i/>
          <w:lang w:val="kk" w:eastAsia="zh-CN"/>
        </w:rPr>
        <w:t xml:space="preserve">жиілігі белгісіз (жиілігін қолда бар деректер бойынша анықтау мүмкін емес) </w:t>
      </w:r>
    </w:p>
    <w:p w14:paraId="32BD77F7" w14:textId="47B4F0D5" w:rsidR="009E6BB8" w:rsidRPr="00671EDF" w:rsidRDefault="0054098D" w:rsidP="00AD407E">
      <w:pPr>
        <w:jc w:val="both"/>
        <w:rPr>
          <w:rFonts w:eastAsia="SimSun"/>
          <w:b/>
          <w:lang w:eastAsia="zh-CN"/>
        </w:rPr>
      </w:pPr>
      <w:r w:rsidRPr="00671EDF">
        <w:rPr>
          <w:rFonts w:eastAsia="SimSun"/>
          <w:b/>
          <w:lang w:val="kk" w:eastAsia="zh-CN"/>
        </w:rPr>
        <w:t>3-кесте: III фазадағы клиникалық зерттеулер барысында немесе постмаркетингтік қолдану барысында*, сондай-ақ II фазадағы екі зерттеуде және балаларда III фазадағы бір зерттеуде ересек пациенттерде тіркелген барлық жағымсыз реакциялар</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85" w:type="dxa"/>
          <w:right w:w="85" w:type="dxa"/>
        </w:tblCellMar>
        <w:tblLook w:val="01E0" w:firstRow="1" w:lastRow="1" w:firstColumn="1" w:lastColumn="1" w:noHBand="0" w:noVBand="0"/>
      </w:tblPr>
      <w:tblGrid>
        <w:gridCol w:w="2616"/>
        <w:gridCol w:w="1586"/>
        <w:gridCol w:w="2584"/>
        <w:gridCol w:w="1629"/>
        <w:gridCol w:w="1393"/>
      </w:tblGrid>
      <w:tr w:rsidR="00234FE7" w14:paraId="32BD77FD" w14:textId="77777777" w:rsidTr="00AD407E">
        <w:tc>
          <w:tcPr>
            <w:tcW w:w="1237" w:type="pct"/>
            <w:shd w:val="clear" w:color="auto" w:fill="auto"/>
          </w:tcPr>
          <w:p w14:paraId="32BD77F8" w14:textId="77777777" w:rsidR="009E6BB8" w:rsidRPr="00AD407E" w:rsidRDefault="0054098D" w:rsidP="00ED4A0F">
            <w:pPr>
              <w:widowControl w:val="0"/>
              <w:autoSpaceDE w:val="0"/>
              <w:autoSpaceDN w:val="0"/>
              <w:rPr>
                <w:b/>
                <w:lang w:eastAsia="en-US"/>
              </w:rPr>
            </w:pPr>
            <w:r w:rsidRPr="00AD407E">
              <w:rPr>
                <w:b/>
                <w:lang w:val="kk" w:eastAsia="en-US" w:bidi="ru-RU"/>
              </w:rPr>
              <w:t>Жиі</w:t>
            </w:r>
          </w:p>
        </w:tc>
        <w:tc>
          <w:tcPr>
            <w:tcW w:w="983" w:type="pct"/>
            <w:shd w:val="clear" w:color="auto" w:fill="auto"/>
          </w:tcPr>
          <w:p w14:paraId="32BD77F9" w14:textId="77777777" w:rsidR="009E6BB8" w:rsidRPr="00AD407E" w:rsidRDefault="0054098D" w:rsidP="00ED4A0F">
            <w:pPr>
              <w:widowControl w:val="0"/>
              <w:autoSpaceDE w:val="0"/>
              <w:autoSpaceDN w:val="0"/>
              <w:rPr>
                <w:b/>
                <w:lang w:eastAsia="en-US"/>
              </w:rPr>
            </w:pPr>
            <w:r w:rsidRPr="00AD407E">
              <w:rPr>
                <w:b/>
                <w:lang w:val="kk" w:eastAsia="en-US" w:bidi="ru-RU"/>
              </w:rPr>
              <w:t>Жиі емес</w:t>
            </w:r>
          </w:p>
        </w:tc>
        <w:tc>
          <w:tcPr>
            <w:tcW w:w="1020" w:type="pct"/>
            <w:shd w:val="clear" w:color="auto" w:fill="auto"/>
          </w:tcPr>
          <w:p w14:paraId="32BD77FA" w14:textId="77777777" w:rsidR="009E6BB8" w:rsidRPr="00AD407E" w:rsidRDefault="0054098D" w:rsidP="00ED4A0F">
            <w:pPr>
              <w:widowControl w:val="0"/>
              <w:autoSpaceDE w:val="0"/>
              <w:autoSpaceDN w:val="0"/>
              <w:rPr>
                <w:b/>
                <w:lang w:eastAsia="en-US"/>
              </w:rPr>
            </w:pPr>
            <w:r w:rsidRPr="00AD407E">
              <w:rPr>
                <w:b/>
                <w:lang w:val="kk" w:eastAsia="en-US" w:bidi="ru-RU"/>
              </w:rPr>
              <w:t>Сирек</w:t>
            </w:r>
          </w:p>
        </w:tc>
        <w:tc>
          <w:tcPr>
            <w:tcW w:w="832" w:type="pct"/>
            <w:shd w:val="clear" w:color="auto" w:fill="auto"/>
          </w:tcPr>
          <w:p w14:paraId="32BD77FB" w14:textId="77777777" w:rsidR="009E6BB8" w:rsidRPr="00AD407E" w:rsidRDefault="0054098D" w:rsidP="00ED4A0F">
            <w:pPr>
              <w:widowControl w:val="0"/>
              <w:autoSpaceDE w:val="0"/>
              <w:autoSpaceDN w:val="0"/>
              <w:rPr>
                <w:b/>
                <w:lang w:eastAsia="en-US"/>
              </w:rPr>
            </w:pPr>
            <w:r w:rsidRPr="00AD407E">
              <w:rPr>
                <w:b/>
                <w:lang w:val="kk" w:eastAsia="en-US" w:bidi="ru-RU"/>
              </w:rPr>
              <w:t>Өте сирек</w:t>
            </w:r>
          </w:p>
        </w:tc>
        <w:tc>
          <w:tcPr>
            <w:tcW w:w="928" w:type="pct"/>
            <w:shd w:val="clear" w:color="auto" w:fill="auto"/>
          </w:tcPr>
          <w:p w14:paraId="32BD77FC" w14:textId="77777777" w:rsidR="009E6BB8" w:rsidRPr="00AD407E" w:rsidRDefault="0054098D" w:rsidP="00ED4A0F">
            <w:pPr>
              <w:widowControl w:val="0"/>
              <w:autoSpaceDE w:val="0"/>
              <w:autoSpaceDN w:val="0"/>
              <w:rPr>
                <w:b/>
                <w:lang w:eastAsia="en-US" w:bidi="ru-RU"/>
              </w:rPr>
            </w:pPr>
            <w:r w:rsidRPr="00AD407E">
              <w:rPr>
                <w:b/>
                <w:lang w:val="kk" w:eastAsia="en-US" w:bidi="ru-RU"/>
              </w:rPr>
              <w:t>Жиілігі белгісіз</w:t>
            </w:r>
          </w:p>
        </w:tc>
      </w:tr>
      <w:tr w:rsidR="00234FE7" w14:paraId="32BD7800" w14:textId="77777777" w:rsidTr="00B44468">
        <w:tc>
          <w:tcPr>
            <w:tcW w:w="4072" w:type="pct"/>
            <w:gridSpan w:val="4"/>
            <w:shd w:val="clear" w:color="auto" w:fill="auto"/>
          </w:tcPr>
          <w:p w14:paraId="32BD77FE" w14:textId="77777777" w:rsidR="009E6BB8" w:rsidRPr="00671EDF" w:rsidRDefault="0054098D" w:rsidP="00ED4A0F">
            <w:pPr>
              <w:widowControl w:val="0"/>
              <w:autoSpaceDE w:val="0"/>
              <w:autoSpaceDN w:val="0"/>
              <w:rPr>
                <w:b/>
                <w:lang w:eastAsia="en-US"/>
              </w:rPr>
            </w:pPr>
            <w:r w:rsidRPr="00671EDF">
              <w:rPr>
                <w:b/>
                <w:lang w:val="kk" w:eastAsia="en-US" w:bidi="ru-RU"/>
              </w:rPr>
              <w:lastRenderedPageBreak/>
              <w:t>Қан және лимфа жүйесі тарапынан бұзылулар</w:t>
            </w:r>
          </w:p>
        </w:tc>
        <w:tc>
          <w:tcPr>
            <w:tcW w:w="928" w:type="pct"/>
            <w:shd w:val="clear" w:color="auto" w:fill="auto"/>
          </w:tcPr>
          <w:p w14:paraId="32BD77FF" w14:textId="77777777" w:rsidR="009E6BB8" w:rsidRPr="00671EDF" w:rsidRDefault="009E6BB8" w:rsidP="00ED4A0F">
            <w:pPr>
              <w:widowControl w:val="0"/>
              <w:autoSpaceDE w:val="0"/>
              <w:autoSpaceDN w:val="0"/>
              <w:rPr>
                <w:b/>
                <w:lang w:eastAsia="en-US" w:bidi="ru-RU"/>
              </w:rPr>
            </w:pPr>
          </w:p>
        </w:tc>
      </w:tr>
      <w:tr w:rsidR="00234FE7" w14:paraId="32BD7806" w14:textId="77777777" w:rsidTr="00B44468">
        <w:tc>
          <w:tcPr>
            <w:tcW w:w="1237" w:type="pct"/>
            <w:shd w:val="clear" w:color="auto" w:fill="auto"/>
          </w:tcPr>
          <w:p w14:paraId="32BD7801" w14:textId="6A5DCF57" w:rsidR="009E6BB8" w:rsidRPr="00671EDF" w:rsidRDefault="0054098D" w:rsidP="00ED4A0F">
            <w:pPr>
              <w:widowControl w:val="0"/>
              <w:autoSpaceDE w:val="0"/>
              <w:autoSpaceDN w:val="0"/>
              <w:rPr>
                <w:lang w:eastAsia="en-US"/>
              </w:rPr>
            </w:pPr>
            <w:r w:rsidRPr="00671EDF">
              <w:rPr>
                <w:lang w:val="kk" w:eastAsia="en-US" w:bidi="ru-RU"/>
              </w:rPr>
              <w:t>Анемия (сәйкесінше зертханалық көрсеткіштерді қоса)</w:t>
            </w:r>
          </w:p>
        </w:tc>
        <w:tc>
          <w:tcPr>
            <w:tcW w:w="983" w:type="pct"/>
            <w:shd w:val="clear" w:color="auto" w:fill="auto"/>
          </w:tcPr>
          <w:p w14:paraId="32BD7802" w14:textId="77777777" w:rsidR="009E6BB8" w:rsidRPr="00671EDF" w:rsidRDefault="0054098D" w:rsidP="00ED4A0F">
            <w:pPr>
              <w:widowControl w:val="0"/>
              <w:autoSpaceDE w:val="0"/>
              <w:autoSpaceDN w:val="0"/>
              <w:rPr>
                <w:lang w:eastAsia="en-US"/>
              </w:rPr>
            </w:pPr>
            <w:r w:rsidRPr="00671EDF">
              <w:rPr>
                <w:lang w:val="kk" w:eastAsia="en-US" w:bidi="ru-RU"/>
              </w:rPr>
              <w:t xml:space="preserve">Тромбоцитоз (тромбоциттер санының көбеюін қоса алғанда) </w:t>
            </w:r>
            <w:r w:rsidRPr="00671EDF">
              <w:rPr>
                <w:vertAlign w:val="superscript"/>
                <w:lang w:val="kk" w:eastAsia="en-US" w:bidi="ru-RU"/>
              </w:rPr>
              <w:t>А</w:t>
            </w:r>
            <w:r w:rsidRPr="00671EDF">
              <w:rPr>
                <w:lang w:val="kk" w:eastAsia="en-US" w:bidi="ru-RU"/>
              </w:rPr>
              <w:t>, тромбоцитопения</w:t>
            </w:r>
          </w:p>
        </w:tc>
        <w:tc>
          <w:tcPr>
            <w:tcW w:w="1020" w:type="pct"/>
            <w:shd w:val="clear" w:color="auto" w:fill="auto"/>
          </w:tcPr>
          <w:p w14:paraId="32BD7803" w14:textId="77777777" w:rsidR="009E6BB8" w:rsidRPr="00671EDF" w:rsidRDefault="009E6BB8" w:rsidP="00ED4A0F">
            <w:pPr>
              <w:widowControl w:val="0"/>
              <w:autoSpaceDE w:val="0"/>
              <w:autoSpaceDN w:val="0"/>
              <w:rPr>
                <w:lang w:eastAsia="en-US"/>
              </w:rPr>
            </w:pPr>
          </w:p>
        </w:tc>
        <w:tc>
          <w:tcPr>
            <w:tcW w:w="832" w:type="pct"/>
            <w:shd w:val="clear" w:color="auto" w:fill="auto"/>
          </w:tcPr>
          <w:p w14:paraId="32BD7804" w14:textId="77777777" w:rsidR="009E6BB8" w:rsidRPr="00671EDF" w:rsidRDefault="009E6BB8" w:rsidP="00ED4A0F">
            <w:pPr>
              <w:widowControl w:val="0"/>
              <w:autoSpaceDE w:val="0"/>
              <w:autoSpaceDN w:val="0"/>
              <w:rPr>
                <w:lang w:eastAsia="en-US"/>
              </w:rPr>
            </w:pPr>
          </w:p>
        </w:tc>
        <w:tc>
          <w:tcPr>
            <w:tcW w:w="928" w:type="pct"/>
            <w:shd w:val="clear" w:color="auto" w:fill="auto"/>
          </w:tcPr>
          <w:p w14:paraId="32BD7805" w14:textId="77777777" w:rsidR="009E6BB8" w:rsidRPr="00671EDF" w:rsidRDefault="009E6BB8" w:rsidP="00ED4A0F">
            <w:pPr>
              <w:widowControl w:val="0"/>
              <w:autoSpaceDE w:val="0"/>
              <w:autoSpaceDN w:val="0"/>
              <w:rPr>
                <w:lang w:eastAsia="en-US"/>
              </w:rPr>
            </w:pPr>
          </w:p>
        </w:tc>
      </w:tr>
      <w:tr w:rsidR="00234FE7" w14:paraId="32BD7809" w14:textId="77777777" w:rsidTr="00B44468">
        <w:tc>
          <w:tcPr>
            <w:tcW w:w="5000" w:type="pct"/>
            <w:gridSpan w:val="5"/>
            <w:shd w:val="clear" w:color="auto" w:fill="auto"/>
          </w:tcPr>
          <w:p w14:paraId="32BD7808" w14:textId="04B34C48" w:rsidR="00B44468" w:rsidRPr="00671EDF" w:rsidRDefault="0054098D" w:rsidP="00ED4A0F">
            <w:pPr>
              <w:widowControl w:val="0"/>
              <w:autoSpaceDE w:val="0"/>
              <w:autoSpaceDN w:val="0"/>
              <w:rPr>
                <w:b/>
                <w:lang w:eastAsia="en-US" w:bidi="ru-RU"/>
              </w:rPr>
            </w:pPr>
            <w:r w:rsidRPr="00671EDF">
              <w:rPr>
                <w:b/>
                <w:lang w:val="kk" w:eastAsia="en-US" w:bidi="ru-RU"/>
              </w:rPr>
              <w:t>Иммундық жүйе тарапынан бұзылулар</w:t>
            </w:r>
          </w:p>
        </w:tc>
      </w:tr>
      <w:tr w:rsidR="00234FE7" w14:paraId="32BD7810" w14:textId="77777777" w:rsidTr="00B44468">
        <w:tc>
          <w:tcPr>
            <w:tcW w:w="1237" w:type="pct"/>
            <w:shd w:val="clear" w:color="auto" w:fill="auto"/>
          </w:tcPr>
          <w:p w14:paraId="32BD780A" w14:textId="77777777" w:rsidR="009E6BB8" w:rsidRPr="00671EDF" w:rsidRDefault="009E6BB8" w:rsidP="00ED4A0F">
            <w:pPr>
              <w:widowControl w:val="0"/>
              <w:autoSpaceDE w:val="0"/>
              <w:autoSpaceDN w:val="0"/>
              <w:rPr>
                <w:lang w:eastAsia="en-US"/>
              </w:rPr>
            </w:pPr>
          </w:p>
        </w:tc>
        <w:tc>
          <w:tcPr>
            <w:tcW w:w="983" w:type="pct"/>
            <w:shd w:val="clear" w:color="auto" w:fill="auto"/>
          </w:tcPr>
          <w:p w14:paraId="32BD780B" w14:textId="77777777" w:rsidR="009E6BB8" w:rsidRPr="00671EDF" w:rsidRDefault="0054098D" w:rsidP="00ED4A0F">
            <w:pPr>
              <w:widowControl w:val="0"/>
              <w:autoSpaceDE w:val="0"/>
              <w:autoSpaceDN w:val="0"/>
              <w:rPr>
                <w:lang w:eastAsia="en-US"/>
              </w:rPr>
            </w:pPr>
            <w:r w:rsidRPr="00671EDF">
              <w:rPr>
                <w:lang w:val="kk" w:eastAsia="en-US" w:bidi="ru-RU"/>
              </w:rPr>
              <w:t>Аллергиялық реакция, аллергиялық дерматит, ангионевроздық ісіну және аллергиялық ісіну</w:t>
            </w:r>
          </w:p>
        </w:tc>
        <w:tc>
          <w:tcPr>
            <w:tcW w:w="1020" w:type="pct"/>
            <w:shd w:val="clear" w:color="auto" w:fill="auto"/>
          </w:tcPr>
          <w:p w14:paraId="32BD780C" w14:textId="77777777" w:rsidR="009E6BB8" w:rsidRPr="00671EDF" w:rsidRDefault="009E6BB8" w:rsidP="00ED4A0F">
            <w:pPr>
              <w:widowControl w:val="0"/>
              <w:autoSpaceDE w:val="0"/>
              <w:autoSpaceDN w:val="0"/>
              <w:rPr>
                <w:lang w:eastAsia="en-US"/>
              </w:rPr>
            </w:pPr>
          </w:p>
        </w:tc>
        <w:tc>
          <w:tcPr>
            <w:tcW w:w="832" w:type="pct"/>
            <w:shd w:val="clear" w:color="auto" w:fill="auto"/>
          </w:tcPr>
          <w:p w14:paraId="32BD780D" w14:textId="3868D2D5" w:rsidR="009E6BB8" w:rsidRPr="00671EDF" w:rsidRDefault="0054098D" w:rsidP="00ED4A0F">
            <w:pPr>
              <w:widowControl w:val="0"/>
              <w:autoSpaceDE w:val="0"/>
              <w:autoSpaceDN w:val="0"/>
              <w:ind w:left="100"/>
              <w:rPr>
                <w:lang w:eastAsia="en-US"/>
              </w:rPr>
            </w:pPr>
            <w:bookmarkStart w:id="9" w:name="_Hlk25065542"/>
            <w:r w:rsidRPr="00671EDF">
              <w:rPr>
                <w:lang w:val="kk" w:eastAsia="en-US"/>
              </w:rPr>
              <w:t>Анафилаксиялық шокты қоса алғанда, анафилаксиялық реакциялар</w:t>
            </w:r>
          </w:p>
          <w:bookmarkEnd w:id="9"/>
          <w:p w14:paraId="32BD780E" w14:textId="77777777" w:rsidR="009E6BB8" w:rsidRPr="00671EDF" w:rsidRDefault="009E6BB8" w:rsidP="00ED4A0F">
            <w:pPr>
              <w:widowControl w:val="0"/>
              <w:autoSpaceDE w:val="0"/>
              <w:autoSpaceDN w:val="0"/>
              <w:rPr>
                <w:lang w:eastAsia="en-US"/>
              </w:rPr>
            </w:pPr>
          </w:p>
        </w:tc>
        <w:tc>
          <w:tcPr>
            <w:tcW w:w="928" w:type="pct"/>
            <w:shd w:val="clear" w:color="auto" w:fill="auto"/>
          </w:tcPr>
          <w:p w14:paraId="32BD780F" w14:textId="77777777" w:rsidR="009E6BB8" w:rsidRPr="00671EDF" w:rsidRDefault="009E6BB8" w:rsidP="00ED4A0F">
            <w:pPr>
              <w:widowControl w:val="0"/>
              <w:autoSpaceDE w:val="0"/>
              <w:autoSpaceDN w:val="0"/>
              <w:ind w:left="100"/>
              <w:rPr>
                <w:lang w:eastAsia="en-US"/>
              </w:rPr>
            </w:pPr>
          </w:p>
        </w:tc>
      </w:tr>
      <w:tr w:rsidR="00234FE7" w14:paraId="32BD7813" w14:textId="77777777" w:rsidTr="00B44468">
        <w:tc>
          <w:tcPr>
            <w:tcW w:w="5000" w:type="pct"/>
            <w:gridSpan w:val="5"/>
            <w:shd w:val="clear" w:color="auto" w:fill="auto"/>
          </w:tcPr>
          <w:p w14:paraId="32BD7812" w14:textId="15FD00C3" w:rsidR="00B44468" w:rsidRPr="00671EDF" w:rsidRDefault="0054098D" w:rsidP="00ED4A0F">
            <w:pPr>
              <w:widowControl w:val="0"/>
              <w:autoSpaceDE w:val="0"/>
              <w:autoSpaceDN w:val="0"/>
              <w:rPr>
                <w:b/>
                <w:lang w:eastAsia="en-US" w:bidi="ru-RU"/>
              </w:rPr>
            </w:pPr>
            <w:r w:rsidRPr="00671EDF">
              <w:rPr>
                <w:b/>
                <w:lang w:val="kk" w:eastAsia="en-US" w:bidi="ru-RU"/>
              </w:rPr>
              <w:t>Жүйке жүйесі тарапынан бұзылулар</w:t>
            </w:r>
          </w:p>
        </w:tc>
      </w:tr>
      <w:tr w:rsidR="00234FE7" w14:paraId="32BD7819" w14:textId="77777777" w:rsidTr="00B44468">
        <w:tc>
          <w:tcPr>
            <w:tcW w:w="1237" w:type="pct"/>
            <w:shd w:val="clear" w:color="auto" w:fill="auto"/>
          </w:tcPr>
          <w:p w14:paraId="32BD7814" w14:textId="77777777" w:rsidR="009E6BB8" w:rsidRPr="00671EDF" w:rsidRDefault="0054098D" w:rsidP="00ED4A0F">
            <w:pPr>
              <w:widowControl w:val="0"/>
              <w:autoSpaceDE w:val="0"/>
              <w:autoSpaceDN w:val="0"/>
              <w:rPr>
                <w:lang w:eastAsia="en-US"/>
              </w:rPr>
            </w:pPr>
            <w:r w:rsidRPr="00671EDF">
              <w:rPr>
                <w:lang w:val="kk" w:eastAsia="en-US" w:bidi="ru-RU"/>
              </w:rPr>
              <w:t>Бас айналу, бас ауыру</w:t>
            </w:r>
          </w:p>
        </w:tc>
        <w:tc>
          <w:tcPr>
            <w:tcW w:w="983" w:type="pct"/>
            <w:shd w:val="clear" w:color="auto" w:fill="auto"/>
          </w:tcPr>
          <w:p w14:paraId="32BD7815" w14:textId="77777777" w:rsidR="009E6BB8" w:rsidRPr="00671EDF" w:rsidRDefault="0054098D" w:rsidP="00ED4A0F">
            <w:pPr>
              <w:widowControl w:val="0"/>
              <w:autoSpaceDE w:val="0"/>
              <w:autoSpaceDN w:val="0"/>
              <w:rPr>
                <w:lang w:eastAsia="en-US"/>
              </w:rPr>
            </w:pPr>
            <w:r w:rsidRPr="00671EDF">
              <w:rPr>
                <w:lang w:val="kk" w:eastAsia="en-US" w:bidi="ru-RU"/>
              </w:rPr>
              <w:t>Ми ішіне және бассүйек ішіне қан құйылу, талу</w:t>
            </w:r>
          </w:p>
        </w:tc>
        <w:tc>
          <w:tcPr>
            <w:tcW w:w="1020" w:type="pct"/>
            <w:shd w:val="clear" w:color="auto" w:fill="auto"/>
          </w:tcPr>
          <w:p w14:paraId="32BD7816" w14:textId="77777777" w:rsidR="009E6BB8" w:rsidRPr="00671EDF" w:rsidRDefault="009E6BB8" w:rsidP="00ED4A0F">
            <w:pPr>
              <w:widowControl w:val="0"/>
              <w:autoSpaceDE w:val="0"/>
              <w:autoSpaceDN w:val="0"/>
              <w:rPr>
                <w:lang w:eastAsia="en-US"/>
              </w:rPr>
            </w:pPr>
          </w:p>
        </w:tc>
        <w:tc>
          <w:tcPr>
            <w:tcW w:w="832" w:type="pct"/>
            <w:shd w:val="clear" w:color="auto" w:fill="auto"/>
          </w:tcPr>
          <w:p w14:paraId="32BD7817" w14:textId="77777777" w:rsidR="009E6BB8" w:rsidRPr="00671EDF" w:rsidRDefault="009E6BB8" w:rsidP="00ED4A0F">
            <w:pPr>
              <w:widowControl w:val="0"/>
              <w:autoSpaceDE w:val="0"/>
              <w:autoSpaceDN w:val="0"/>
              <w:rPr>
                <w:lang w:eastAsia="en-US"/>
              </w:rPr>
            </w:pPr>
          </w:p>
        </w:tc>
        <w:tc>
          <w:tcPr>
            <w:tcW w:w="928" w:type="pct"/>
            <w:shd w:val="clear" w:color="auto" w:fill="auto"/>
          </w:tcPr>
          <w:p w14:paraId="32BD7818" w14:textId="77777777" w:rsidR="009E6BB8" w:rsidRPr="00671EDF" w:rsidRDefault="009E6BB8" w:rsidP="00ED4A0F">
            <w:pPr>
              <w:widowControl w:val="0"/>
              <w:autoSpaceDE w:val="0"/>
              <w:autoSpaceDN w:val="0"/>
              <w:rPr>
                <w:lang w:eastAsia="en-US"/>
              </w:rPr>
            </w:pPr>
          </w:p>
        </w:tc>
      </w:tr>
      <w:tr w:rsidR="00234FE7" w14:paraId="32BD781C" w14:textId="77777777" w:rsidTr="00B44468">
        <w:tc>
          <w:tcPr>
            <w:tcW w:w="5000" w:type="pct"/>
            <w:gridSpan w:val="5"/>
            <w:shd w:val="clear" w:color="auto" w:fill="auto"/>
          </w:tcPr>
          <w:p w14:paraId="32BD781B" w14:textId="0AEBAFEE" w:rsidR="00B44468" w:rsidRPr="00671EDF" w:rsidRDefault="0054098D" w:rsidP="00ED4A0F">
            <w:pPr>
              <w:widowControl w:val="0"/>
              <w:autoSpaceDE w:val="0"/>
              <w:autoSpaceDN w:val="0"/>
              <w:rPr>
                <w:b/>
                <w:lang w:eastAsia="en-US" w:bidi="ru-RU"/>
              </w:rPr>
            </w:pPr>
            <w:r w:rsidRPr="00671EDF">
              <w:rPr>
                <w:b/>
                <w:lang w:val="kk" w:eastAsia="en-US" w:bidi="ru-RU"/>
              </w:rPr>
              <w:t>Көру ағзасы тарапынан бұзылулар</w:t>
            </w:r>
          </w:p>
        </w:tc>
      </w:tr>
      <w:tr w:rsidR="00234FE7" w14:paraId="32BD7822" w14:textId="77777777" w:rsidTr="00B44468">
        <w:tc>
          <w:tcPr>
            <w:tcW w:w="1237" w:type="pct"/>
            <w:shd w:val="clear" w:color="auto" w:fill="auto"/>
          </w:tcPr>
          <w:p w14:paraId="32BD781D" w14:textId="77777777" w:rsidR="009E6BB8" w:rsidRPr="00671EDF" w:rsidRDefault="0054098D" w:rsidP="00ED4A0F">
            <w:pPr>
              <w:widowControl w:val="0"/>
              <w:autoSpaceDE w:val="0"/>
              <w:autoSpaceDN w:val="0"/>
              <w:rPr>
                <w:lang w:eastAsia="en-US"/>
              </w:rPr>
            </w:pPr>
            <w:r w:rsidRPr="00671EDF">
              <w:rPr>
                <w:lang w:val="kk"/>
              </w:rPr>
              <w:t>Көзге қан құйылу (конъюнктиваға қан құйылуды қоса алғанда)</w:t>
            </w:r>
          </w:p>
        </w:tc>
        <w:tc>
          <w:tcPr>
            <w:tcW w:w="983" w:type="pct"/>
            <w:shd w:val="clear" w:color="auto" w:fill="auto"/>
          </w:tcPr>
          <w:p w14:paraId="32BD781E" w14:textId="77777777" w:rsidR="009E6BB8" w:rsidRPr="00671EDF" w:rsidRDefault="009E6BB8" w:rsidP="00ED4A0F">
            <w:pPr>
              <w:widowControl w:val="0"/>
              <w:autoSpaceDE w:val="0"/>
              <w:autoSpaceDN w:val="0"/>
              <w:rPr>
                <w:lang w:eastAsia="en-US"/>
              </w:rPr>
            </w:pPr>
          </w:p>
        </w:tc>
        <w:tc>
          <w:tcPr>
            <w:tcW w:w="1020" w:type="pct"/>
            <w:shd w:val="clear" w:color="auto" w:fill="auto"/>
          </w:tcPr>
          <w:p w14:paraId="32BD781F" w14:textId="77777777" w:rsidR="009E6BB8" w:rsidRPr="00671EDF" w:rsidRDefault="009E6BB8" w:rsidP="00ED4A0F">
            <w:pPr>
              <w:widowControl w:val="0"/>
              <w:autoSpaceDE w:val="0"/>
              <w:autoSpaceDN w:val="0"/>
              <w:rPr>
                <w:lang w:eastAsia="en-US"/>
              </w:rPr>
            </w:pPr>
          </w:p>
        </w:tc>
        <w:tc>
          <w:tcPr>
            <w:tcW w:w="832" w:type="pct"/>
            <w:shd w:val="clear" w:color="auto" w:fill="auto"/>
          </w:tcPr>
          <w:p w14:paraId="32BD7820" w14:textId="77777777" w:rsidR="009E6BB8" w:rsidRPr="00671EDF" w:rsidRDefault="009E6BB8" w:rsidP="00ED4A0F">
            <w:pPr>
              <w:widowControl w:val="0"/>
              <w:autoSpaceDE w:val="0"/>
              <w:autoSpaceDN w:val="0"/>
              <w:rPr>
                <w:lang w:eastAsia="en-US"/>
              </w:rPr>
            </w:pPr>
          </w:p>
        </w:tc>
        <w:tc>
          <w:tcPr>
            <w:tcW w:w="928" w:type="pct"/>
            <w:shd w:val="clear" w:color="auto" w:fill="auto"/>
          </w:tcPr>
          <w:p w14:paraId="32BD7821" w14:textId="77777777" w:rsidR="009E6BB8" w:rsidRPr="00671EDF" w:rsidRDefault="009E6BB8" w:rsidP="00ED4A0F">
            <w:pPr>
              <w:widowControl w:val="0"/>
              <w:autoSpaceDE w:val="0"/>
              <w:autoSpaceDN w:val="0"/>
              <w:rPr>
                <w:lang w:eastAsia="en-US"/>
              </w:rPr>
            </w:pPr>
          </w:p>
        </w:tc>
      </w:tr>
      <w:tr w:rsidR="00234FE7" w14:paraId="32BD7825" w14:textId="77777777" w:rsidTr="00B44468">
        <w:tc>
          <w:tcPr>
            <w:tcW w:w="5000" w:type="pct"/>
            <w:gridSpan w:val="5"/>
            <w:shd w:val="clear" w:color="auto" w:fill="auto"/>
          </w:tcPr>
          <w:p w14:paraId="32BD7824" w14:textId="62B86585" w:rsidR="00B44468" w:rsidRPr="00671EDF" w:rsidRDefault="0054098D" w:rsidP="00ED4A0F">
            <w:pPr>
              <w:widowControl w:val="0"/>
              <w:autoSpaceDE w:val="0"/>
              <w:autoSpaceDN w:val="0"/>
              <w:rPr>
                <w:b/>
                <w:lang w:eastAsia="en-US" w:bidi="ru-RU"/>
              </w:rPr>
            </w:pPr>
            <w:r w:rsidRPr="00671EDF">
              <w:rPr>
                <w:b/>
                <w:lang w:val="kk" w:eastAsia="en-US" w:bidi="ru-RU"/>
              </w:rPr>
              <w:t>Жүрек-қантамыр жүйесі тарапынан бұзылулар</w:t>
            </w:r>
          </w:p>
        </w:tc>
      </w:tr>
      <w:tr w:rsidR="00234FE7" w14:paraId="32BD782B" w14:textId="77777777" w:rsidTr="00B44468">
        <w:tc>
          <w:tcPr>
            <w:tcW w:w="1237" w:type="pct"/>
            <w:shd w:val="clear" w:color="auto" w:fill="auto"/>
          </w:tcPr>
          <w:p w14:paraId="32BD7826" w14:textId="77777777" w:rsidR="009E6BB8" w:rsidRPr="00671EDF" w:rsidRDefault="0054098D" w:rsidP="00ED4A0F">
            <w:pPr>
              <w:widowControl w:val="0"/>
              <w:autoSpaceDE w:val="0"/>
              <w:autoSpaceDN w:val="0"/>
              <w:rPr>
                <w:lang w:eastAsia="en-US"/>
              </w:rPr>
            </w:pPr>
            <w:r w:rsidRPr="00671EDF">
              <w:rPr>
                <w:lang w:val="kk" w:eastAsia="en-US" w:bidi="ru-RU"/>
              </w:rPr>
              <w:t>Артериялық гипотензия, гематома</w:t>
            </w:r>
          </w:p>
        </w:tc>
        <w:tc>
          <w:tcPr>
            <w:tcW w:w="983" w:type="pct"/>
            <w:shd w:val="clear" w:color="auto" w:fill="auto"/>
          </w:tcPr>
          <w:p w14:paraId="32BD7827" w14:textId="77777777" w:rsidR="009E6BB8" w:rsidRPr="00671EDF" w:rsidRDefault="0054098D" w:rsidP="00ED4A0F">
            <w:pPr>
              <w:widowControl w:val="0"/>
              <w:autoSpaceDE w:val="0"/>
              <w:autoSpaceDN w:val="0"/>
              <w:rPr>
                <w:lang w:eastAsia="en-US"/>
              </w:rPr>
            </w:pPr>
            <w:r w:rsidRPr="00671EDF">
              <w:rPr>
                <w:lang w:val="kk" w:eastAsia="en-US" w:bidi="ru-RU"/>
              </w:rPr>
              <w:t>Тахикардия</w:t>
            </w:r>
          </w:p>
        </w:tc>
        <w:tc>
          <w:tcPr>
            <w:tcW w:w="1020" w:type="pct"/>
            <w:shd w:val="clear" w:color="auto" w:fill="auto"/>
          </w:tcPr>
          <w:p w14:paraId="32BD7828" w14:textId="77777777" w:rsidR="009E6BB8" w:rsidRPr="00671EDF" w:rsidRDefault="009E6BB8" w:rsidP="00ED4A0F">
            <w:pPr>
              <w:widowControl w:val="0"/>
              <w:autoSpaceDE w:val="0"/>
              <w:autoSpaceDN w:val="0"/>
              <w:rPr>
                <w:lang w:eastAsia="en-US"/>
              </w:rPr>
            </w:pPr>
          </w:p>
        </w:tc>
        <w:tc>
          <w:tcPr>
            <w:tcW w:w="832" w:type="pct"/>
            <w:shd w:val="clear" w:color="auto" w:fill="auto"/>
          </w:tcPr>
          <w:p w14:paraId="32BD7829" w14:textId="77777777" w:rsidR="009E6BB8" w:rsidRPr="00671EDF" w:rsidRDefault="009E6BB8" w:rsidP="00ED4A0F">
            <w:pPr>
              <w:widowControl w:val="0"/>
              <w:autoSpaceDE w:val="0"/>
              <w:autoSpaceDN w:val="0"/>
              <w:rPr>
                <w:lang w:eastAsia="en-US"/>
              </w:rPr>
            </w:pPr>
          </w:p>
        </w:tc>
        <w:tc>
          <w:tcPr>
            <w:tcW w:w="928" w:type="pct"/>
            <w:shd w:val="clear" w:color="auto" w:fill="auto"/>
          </w:tcPr>
          <w:p w14:paraId="32BD782A" w14:textId="77777777" w:rsidR="009E6BB8" w:rsidRPr="00671EDF" w:rsidRDefault="009E6BB8" w:rsidP="00ED4A0F">
            <w:pPr>
              <w:widowControl w:val="0"/>
              <w:autoSpaceDE w:val="0"/>
              <w:autoSpaceDN w:val="0"/>
              <w:rPr>
                <w:lang w:eastAsia="en-US"/>
              </w:rPr>
            </w:pPr>
          </w:p>
        </w:tc>
      </w:tr>
      <w:tr w:rsidR="00234FE7" w14:paraId="32BD782E" w14:textId="77777777" w:rsidTr="00B44468">
        <w:tc>
          <w:tcPr>
            <w:tcW w:w="5000" w:type="pct"/>
            <w:gridSpan w:val="5"/>
            <w:shd w:val="clear" w:color="auto" w:fill="auto"/>
          </w:tcPr>
          <w:p w14:paraId="32BD782D" w14:textId="5A97CF78" w:rsidR="00B44468" w:rsidRPr="00671EDF" w:rsidRDefault="0054098D" w:rsidP="00ED4A0F">
            <w:pPr>
              <w:widowControl w:val="0"/>
              <w:autoSpaceDE w:val="0"/>
              <w:autoSpaceDN w:val="0"/>
              <w:rPr>
                <w:b/>
                <w:lang w:eastAsia="en-US" w:bidi="ru-RU"/>
              </w:rPr>
            </w:pPr>
            <w:r w:rsidRPr="00671EDF">
              <w:rPr>
                <w:b/>
                <w:lang w:val="kk" w:eastAsia="en-US" w:bidi="ru-RU"/>
              </w:rPr>
              <w:t>Тыныс алу, кеуде және көкірекорта ағзалары тарапынан бұзылулар</w:t>
            </w:r>
          </w:p>
        </w:tc>
      </w:tr>
      <w:tr w:rsidR="00234FE7" w14:paraId="32BD7834" w14:textId="77777777" w:rsidTr="00B44468">
        <w:tc>
          <w:tcPr>
            <w:tcW w:w="1237" w:type="pct"/>
            <w:shd w:val="clear" w:color="auto" w:fill="auto"/>
          </w:tcPr>
          <w:p w14:paraId="32BD782F" w14:textId="77777777" w:rsidR="009E6BB8" w:rsidRPr="00671EDF" w:rsidRDefault="0054098D" w:rsidP="00ED4A0F">
            <w:pPr>
              <w:widowControl w:val="0"/>
              <w:autoSpaceDE w:val="0"/>
              <w:autoSpaceDN w:val="0"/>
              <w:rPr>
                <w:lang w:eastAsia="en-US"/>
              </w:rPr>
            </w:pPr>
            <w:r w:rsidRPr="00671EDF">
              <w:rPr>
                <w:lang w:val="kk" w:eastAsia="en-US" w:bidi="ru-RU"/>
              </w:rPr>
              <w:t>Эпистаксис( мұрыннан қан кету), қан түкіру</w:t>
            </w:r>
          </w:p>
        </w:tc>
        <w:tc>
          <w:tcPr>
            <w:tcW w:w="983" w:type="pct"/>
            <w:shd w:val="clear" w:color="auto" w:fill="auto"/>
          </w:tcPr>
          <w:p w14:paraId="32BD7830" w14:textId="77777777" w:rsidR="009E6BB8" w:rsidRPr="00671EDF" w:rsidRDefault="009E6BB8" w:rsidP="00ED4A0F">
            <w:pPr>
              <w:widowControl w:val="0"/>
              <w:autoSpaceDE w:val="0"/>
              <w:autoSpaceDN w:val="0"/>
              <w:rPr>
                <w:lang w:eastAsia="en-US"/>
              </w:rPr>
            </w:pPr>
          </w:p>
        </w:tc>
        <w:tc>
          <w:tcPr>
            <w:tcW w:w="1020" w:type="pct"/>
            <w:shd w:val="clear" w:color="auto" w:fill="auto"/>
          </w:tcPr>
          <w:p w14:paraId="32BD7831" w14:textId="77777777" w:rsidR="009E6BB8" w:rsidRPr="00671EDF" w:rsidRDefault="009E6BB8" w:rsidP="00ED4A0F">
            <w:pPr>
              <w:widowControl w:val="0"/>
              <w:autoSpaceDE w:val="0"/>
              <w:autoSpaceDN w:val="0"/>
              <w:rPr>
                <w:lang w:eastAsia="en-US"/>
              </w:rPr>
            </w:pPr>
          </w:p>
        </w:tc>
        <w:tc>
          <w:tcPr>
            <w:tcW w:w="832" w:type="pct"/>
            <w:shd w:val="clear" w:color="auto" w:fill="auto"/>
          </w:tcPr>
          <w:p w14:paraId="32BD7832" w14:textId="77777777" w:rsidR="009E6BB8" w:rsidRPr="00671EDF" w:rsidRDefault="009E6BB8" w:rsidP="00ED4A0F">
            <w:pPr>
              <w:widowControl w:val="0"/>
              <w:autoSpaceDE w:val="0"/>
              <w:autoSpaceDN w:val="0"/>
              <w:rPr>
                <w:lang w:eastAsia="en-US"/>
              </w:rPr>
            </w:pPr>
          </w:p>
        </w:tc>
        <w:tc>
          <w:tcPr>
            <w:tcW w:w="928" w:type="pct"/>
            <w:shd w:val="clear" w:color="auto" w:fill="auto"/>
          </w:tcPr>
          <w:p w14:paraId="32BD7833" w14:textId="77777777" w:rsidR="009E6BB8" w:rsidRPr="00671EDF" w:rsidRDefault="009E6BB8" w:rsidP="00ED4A0F">
            <w:pPr>
              <w:widowControl w:val="0"/>
              <w:autoSpaceDE w:val="0"/>
              <w:autoSpaceDN w:val="0"/>
              <w:rPr>
                <w:lang w:eastAsia="en-US"/>
              </w:rPr>
            </w:pPr>
          </w:p>
        </w:tc>
      </w:tr>
      <w:tr w:rsidR="00234FE7" w14:paraId="32BD7837" w14:textId="77777777" w:rsidTr="00B44468">
        <w:tc>
          <w:tcPr>
            <w:tcW w:w="5000" w:type="pct"/>
            <w:gridSpan w:val="5"/>
            <w:shd w:val="clear" w:color="auto" w:fill="auto"/>
          </w:tcPr>
          <w:p w14:paraId="32BD7836" w14:textId="004572C1" w:rsidR="00B44468" w:rsidRPr="00671EDF" w:rsidRDefault="0054098D" w:rsidP="00ED4A0F">
            <w:pPr>
              <w:widowControl w:val="0"/>
              <w:autoSpaceDE w:val="0"/>
              <w:autoSpaceDN w:val="0"/>
              <w:rPr>
                <w:b/>
                <w:lang w:eastAsia="en-US" w:bidi="ru-RU"/>
              </w:rPr>
            </w:pPr>
            <w:r w:rsidRPr="00671EDF">
              <w:rPr>
                <w:b/>
                <w:lang w:val="kk" w:eastAsia="en-US" w:bidi="ru-RU"/>
              </w:rPr>
              <w:t>Ас қорыту жүйесі тарапынан бұзылулар</w:t>
            </w:r>
          </w:p>
        </w:tc>
      </w:tr>
      <w:tr w:rsidR="00234FE7" w14:paraId="32BD783D" w14:textId="77777777" w:rsidTr="00B44468">
        <w:tc>
          <w:tcPr>
            <w:tcW w:w="1237" w:type="pct"/>
            <w:shd w:val="clear" w:color="auto" w:fill="auto"/>
          </w:tcPr>
          <w:p w14:paraId="32BD7838" w14:textId="77777777" w:rsidR="009E6BB8" w:rsidRPr="00671EDF" w:rsidRDefault="0054098D" w:rsidP="00ED4A0F">
            <w:pPr>
              <w:widowControl w:val="0"/>
              <w:autoSpaceDE w:val="0"/>
              <w:autoSpaceDN w:val="0"/>
              <w:rPr>
                <w:lang w:eastAsia="en-US"/>
              </w:rPr>
            </w:pPr>
            <w:r w:rsidRPr="00671EDF">
              <w:rPr>
                <w:lang w:val="kk" w:eastAsia="en-US" w:bidi="ru-RU"/>
              </w:rPr>
              <w:t>Қызылиектердің қанағыштығы, асқазан-ішектен қан кету (ректальді қан кетуді қоса), асқазан-ішек жолы аймағының ауыруы, диспепсия, жүрек айну, іш қату</w:t>
            </w:r>
            <w:r w:rsidRPr="00671EDF">
              <w:rPr>
                <w:vertAlign w:val="superscript"/>
                <w:lang w:val="kk" w:eastAsia="en-US" w:bidi="ru-RU"/>
              </w:rPr>
              <w:t>А</w:t>
            </w:r>
            <w:r w:rsidRPr="00671EDF">
              <w:rPr>
                <w:lang w:val="kk" w:eastAsia="en-US" w:bidi="ru-RU"/>
              </w:rPr>
              <w:t>, диарея, құсу</w:t>
            </w:r>
            <w:r w:rsidRPr="00671EDF">
              <w:rPr>
                <w:vertAlign w:val="superscript"/>
                <w:lang w:val="kk" w:eastAsia="en-US" w:bidi="ru-RU"/>
              </w:rPr>
              <w:t>А</w:t>
            </w:r>
            <w:r w:rsidRPr="00671EDF">
              <w:rPr>
                <w:lang w:val="kk" w:eastAsia="en-US" w:bidi="ru-RU"/>
              </w:rPr>
              <w:t>.</w:t>
            </w:r>
          </w:p>
        </w:tc>
        <w:tc>
          <w:tcPr>
            <w:tcW w:w="983" w:type="pct"/>
            <w:shd w:val="clear" w:color="auto" w:fill="auto"/>
          </w:tcPr>
          <w:p w14:paraId="32BD7839" w14:textId="77777777" w:rsidR="009E6BB8" w:rsidRPr="00671EDF" w:rsidRDefault="0054098D" w:rsidP="00ED4A0F">
            <w:pPr>
              <w:widowControl w:val="0"/>
              <w:autoSpaceDE w:val="0"/>
              <w:autoSpaceDN w:val="0"/>
              <w:rPr>
                <w:lang w:eastAsia="en-US"/>
              </w:rPr>
            </w:pPr>
            <w:r w:rsidRPr="00671EDF">
              <w:rPr>
                <w:lang w:val="kk" w:eastAsia="en-US" w:bidi="ru-RU"/>
              </w:rPr>
              <w:t>Ауыздың құрғауы</w:t>
            </w:r>
          </w:p>
        </w:tc>
        <w:tc>
          <w:tcPr>
            <w:tcW w:w="1020" w:type="pct"/>
            <w:shd w:val="clear" w:color="auto" w:fill="auto"/>
          </w:tcPr>
          <w:p w14:paraId="32BD783A" w14:textId="77777777" w:rsidR="009E6BB8" w:rsidRPr="00671EDF" w:rsidRDefault="009E6BB8" w:rsidP="00ED4A0F">
            <w:pPr>
              <w:widowControl w:val="0"/>
              <w:autoSpaceDE w:val="0"/>
              <w:autoSpaceDN w:val="0"/>
              <w:rPr>
                <w:lang w:eastAsia="en-US"/>
              </w:rPr>
            </w:pPr>
          </w:p>
        </w:tc>
        <w:tc>
          <w:tcPr>
            <w:tcW w:w="832" w:type="pct"/>
            <w:shd w:val="clear" w:color="auto" w:fill="auto"/>
          </w:tcPr>
          <w:p w14:paraId="32BD783B" w14:textId="77777777" w:rsidR="009E6BB8" w:rsidRPr="00671EDF" w:rsidRDefault="009E6BB8" w:rsidP="00ED4A0F">
            <w:pPr>
              <w:widowControl w:val="0"/>
              <w:autoSpaceDE w:val="0"/>
              <w:autoSpaceDN w:val="0"/>
              <w:rPr>
                <w:lang w:eastAsia="en-US"/>
              </w:rPr>
            </w:pPr>
          </w:p>
        </w:tc>
        <w:tc>
          <w:tcPr>
            <w:tcW w:w="928" w:type="pct"/>
            <w:shd w:val="clear" w:color="auto" w:fill="auto"/>
          </w:tcPr>
          <w:p w14:paraId="32BD783C" w14:textId="77777777" w:rsidR="009E6BB8" w:rsidRPr="00671EDF" w:rsidRDefault="009E6BB8" w:rsidP="00ED4A0F">
            <w:pPr>
              <w:widowControl w:val="0"/>
              <w:autoSpaceDE w:val="0"/>
              <w:autoSpaceDN w:val="0"/>
              <w:rPr>
                <w:lang w:eastAsia="en-US"/>
              </w:rPr>
            </w:pPr>
          </w:p>
        </w:tc>
      </w:tr>
      <w:tr w:rsidR="00234FE7" w14:paraId="32BD7840" w14:textId="77777777" w:rsidTr="00B44468">
        <w:tc>
          <w:tcPr>
            <w:tcW w:w="5000" w:type="pct"/>
            <w:gridSpan w:val="5"/>
            <w:shd w:val="clear" w:color="auto" w:fill="auto"/>
          </w:tcPr>
          <w:p w14:paraId="32BD783F" w14:textId="426D10EC" w:rsidR="00B44468" w:rsidRPr="00671EDF" w:rsidRDefault="0054098D" w:rsidP="00ED4A0F">
            <w:pPr>
              <w:widowControl w:val="0"/>
              <w:autoSpaceDE w:val="0"/>
              <w:autoSpaceDN w:val="0"/>
              <w:rPr>
                <w:b/>
                <w:lang w:eastAsia="en-US" w:bidi="ru-RU"/>
              </w:rPr>
            </w:pPr>
            <w:r w:rsidRPr="00671EDF">
              <w:rPr>
                <w:b/>
                <w:lang w:val="kk" w:eastAsia="en-US" w:bidi="ru-RU"/>
              </w:rPr>
              <w:t>Бауыр мен өт шығару жолдары тарапынан бұзылулар</w:t>
            </w:r>
          </w:p>
        </w:tc>
      </w:tr>
      <w:tr w:rsidR="00234FE7" w14:paraId="32BD7846" w14:textId="77777777" w:rsidTr="00B44468">
        <w:tc>
          <w:tcPr>
            <w:tcW w:w="1237" w:type="pct"/>
            <w:shd w:val="clear" w:color="auto" w:fill="auto"/>
          </w:tcPr>
          <w:p w14:paraId="32BD7841" w14:textId="77777777" w:rsidR="009E6BB8" w:rsidRPr="00671EDF" w:rsidRDefault="0054098D" w:rsidP="00ED4A0F">
            <w:pPr>
              <w:widowControl w:val="0"/>
              <w:autoSpaceDE w:val="0"/>
              <w:autoSpaceDN w:val="0"/>
              <w:rPr>
                <w:lang w:eastAsia="en-US"/>
              </w:rPr>
            </w:pPr>
            <w:r w:rsidRPr="00671EDF">
              <w:rPr>
                <w:lang w:val="kk" w:eastAsia="en-US" w:bidi="ru-RU"/>
              </w:rPr>
              <w:t>трансаминазалар деңгейінің жоғарылауы</w:t>
            </w:r>
          </w:p>
        </w:tc>
        <w:tc>
          <w:tcPr>
            <w:tcW w:w="983" w:type="pct"/>
            <w:shd w:val="clear" w:color="auto" w:fill="auto"/>
          </w:tcPr>
          <w:p w14:paraId="32BD7842" w14:textId="44138AC9" w:rsidR="009E6BB8" w:rsidRPr="00671EDF" w:rsidRDefault="0054098D" w:rsidP="00ED4A0F">
            <w:pPr>
              <w:widowControl w:val="0"/>
              <w:autoSpaceDE w:val="0"/>
              <w:autoSpaceDN w:val="0"/>
              <w:rPr>
                <w:lang w:eastAsia="en-US"/>
              </w:rPr>
            </w:pPr>
            <w:r w:rsidRPr="00671EDF">
              <w:rPr>
                <w:lang w:val="kk" w:eastAsia="en-US" w:bidi="ru-RU"/>
              </w:rPr>
              <w:t xml:space="preserve">Бауыр функциясының бұзылуы, қандағы билирубин, сілтілік </w:t>
            </w:r>
            <w:r w:rsidRPr="00671EDF">
              <w:rPr>
                <w:lang w:val="kk" w:eastAsia="en-US" w:bidi="ru-RU"/>
              </w:rPr>
              <w:lastRenderedPageBreak/>
              <w:t xml:space="preserve">фосфатаза </w:t>
            </w:r>
            <w:r w:rsidRPr="00671EDF">
              <w:rPr>
                <w:vertAlign w:val="superscript"/>
                <w:lang w:val="kk" w:eastAsia="en-US" w:bidi="ru-RU"/>
              </w:rPr>
              <w:t>А</w:t>
            </w:r>
            <w:r w:rsidRPr="00671EDF">
              <w:rPr>
                <w:lang w:val="kk" w:eastAsia="en-US" w:bidi="ru-RU"/>
              </w:rPr>
              <w:t>, гамма-глутамилтранс-фераза (ГГТ) деңгейінің жоғарылауы</w:t>
            </w:r>
            <w:r w:rsidRPr="00671EDF">
              <w:rPr>
                <w:vertAlign w:val="superscript"/>
                <w:lang w:val="kk" w:eastAsia="en-US" w:bidi="ru-RU"/>
              </w:rPr>
              <w:t>А</w:t>
            </w:r>
          </w:p>
        </w:tc>
        <w:tc>
          <w:tcPr>
            <w:tcW w:w="1020" w:type="pct"/>
            <w:shd w:val="clear" w:color="auto" w:fill="auto"/>
          </w:tcPr>
          <w:p w14:paraId="32BD7843" w14:textId="6CEB9D90" w:rsidR="009E6BB8" w:rsidRPr="00671EDF" w:rsidRDefault="0054098D" w:rsidP="00ED4A0F">
            <w:pPr>
              <w:widowControl w:val="0"/>
              <w:autoSpaceDE w:val="0"/>
              <w:autoSpaceDN w:val="0"/>
              <w:rPr>
                <w:lang w:eastAsia="en-US"/>
              </w:rPr>
            </w:pPr>
            <w:r w:rsidRPr="00671EDF">
              <w:rPr>
                <w:lang w:val="kk" w:eastAsia="en-US" w:bidi="ru-RU"/>
              </w:rPr>
              <w:lastRenderedPageBreak/>
              <w:t xml:space="preserve">Сарғаю, конъюгацияланған билирубин деңгейінің жоғарылауы (аланинаминотрансферазаның (АЛТ) қатарлас </w:t>
            </w:r>
            <w:r w:rsidRPr="00671EDF">
              <w:rPr>
                <w:lang w:val="kk" w:eastAsia="en-US" w:bidi="ru-RU"/>
              </w:rPr>
              <w:lastRenderedPageBreak/>
              <w:t>жоғарылауымен немесе онсыз), холестаз, гепатит (гепатоцеллюлярлық зақымдануды қоса)</w:t>
            </w:r>
          </w:p>
        </w:tc>
        <w:tc>
          <w:tcPr>
            <w:tcW w:w="832" w:type="pct"/>
            <w:shd w:val="clear" w:color="auto" w:fill="auto"/>
          </w:tcPr>
          <w:p w14:paraId="32BD7844" w14:textId="77777777" w:rsidR="009E6BB8" w:rsidRPr="00671EDF" w:rsidRDefault="009E6BB8" w:rsidP="00ED4A0F">
            <w:pPr>
              <w:widowControl w:val="0"/>
              <w:autoSpaceDE w:val="0"/>
              <w:autoSpaceDN w:val="0"/>
              <w:rPr>
                <w:lang w:eastAsia="en-US"/>
              </w:rPr>
            </w:pPr>
          </w:p>
        </w:tc>
        <w:tc>
          <w:tcPr>
            <w:tcW w:w="928" w:type="pct"/>
            <w:shd w:val="clear" w:color="auto" w:fill="auto"/>
          </w:tcPr>
          <w:p w14:paraId="32BD7845" w14:textId="77777777" w:rsidR="009E6BB8" w:rsidRPr="00671EDF" w:rsidRDefault="009E6BB8" w:rsidP="00ED4A0F">
            <w:pPr>
              <w:widowControl w:val="0"/>
              <w:autoSpaceDE w:val="0"/>
              <w:autoSpaceDN w:val="0"/>
              <w:rPr>
                <w:lang w:eastAsia="en-US"/>
              </w:rPr>
            </w:pPr>
          </w:p>
        </w:tc>
      </w:tr>
      <w:tr w:rsidR="00234FE7" w14:paraId="32BD7849" w14:textId="77777777" w:rsidTr="00B44468">
        <w:tc>
          <w:tcPr>
            <w:tcW w:w="5000" w:type="pct"/>
            <w:gridSpan w:val="5"/>
            <w:shd w:val="clear" w:color="auto" w:fill="auto"/>
          </w:tcPr>
          <w:p w14:paraId="32BD7848" w14:textId="2DBBDD75" w:rsidR="00B44468" w:rsidRPr="00671EDF" w:rsidRDefault="0054098D" w:rsidP="00ED4A0F">
            <w:pPr>
              <w:widowControl w:val="0"/>
              <w:autoSpaceDE w:val="0"/>
              <w:autoSpaceDN w:val="0"/>
              <w:rPr>
                <w:b/>
                <w:lang w:eastAsia="en-US" w:bidi="ru-RU"/>
              </w:rPr>
            </w:pPr>
            <w:r w:rsidRPr="00671EDF">
              <w:rPr>
                <w:b/>
                <w:lang w:val="kk" w:eastAsia="en-US" w:bidi="ru-RU"/>
              </w:rPr>
              <w:t>Тері және тері асты тіндері тарапынан бұзылулар</w:t>
            </w:r>
          </w:p>
        </w:tc>
      </w:tr>
      <w:tr w:rsidR="00234FE7" w14:paraId="32BD784F" w14:textId="77777777" w:rsidTr="00B44468">
        <w:tc>
          <w:tcPr>
            <w:tcW w:w="1237" w:type="pct"/>
            <w:shd w:val="clear" w:color="auto" w:fill="auto"/>
          </w:tcPr>
          <w:p w14:paraId="32BD784A" w14:textId="1B37120A" w:rsidR="009E6BB8" w:rsidRPr="00671EDF" w:rsidRDefault="0054098D" w:rsidP="00ED4A0F">
            <w:pPr>
              <w:widowControl w:val="0"/>
              <w:autoSpaceDE w:val="0"/>
              <w:autoSpaceDN w:val="0"/>
              <w:rPr>
                <w:lang w:eastAsia="en-US"/>
              </w:rPr>
            </w:pPr>
            <w:r w:rsidRPr="00671EDF">
              <w:rPr>
                <w:lang w:val="kk" w:eastAsia="en-US" w:bidi="ru-RU"/>
              </w:rPr>
              <w:t>Қышыну (жайылған қышынудың сирек жағдайларын қоса), бөртпе, экхимоз, терінің және тері астының қанталауы</w:t>
            </w:r>
          </w:p>
        </w:tc>
        <w:tc>
          <w:tcPr>
            <w:tcW w:w="983" w:type="pct"/>
            <w:shd w:val="clear" w:color="auto" w:fill="auto"/>
          </w:tcPr>
          <w:p w14:paraId="32BD784B" w14:textId="77777777" w:rsidR="009E6BB8" w:rsidRPr="00671EDF" w:rsidRDefault="0054098D" w:rsidP="00ED4A0F">
            <w:pPr>
              <w:widowControl w:val="0"/>
              <w:autoSpaceDE w:val="0"/>
              <w:autoSpaceDN w:val="0"/>
              <w:rPr>
                <w:lang w:eastAsia="en-US"/>
              </w:rPr>
            </w:pPr>
            <w:r w:rsidRPr="00671EDF">
              <w:rPr>
                <w:lang w:val="kk" w:eastAsia="en-US" w:bidi="ru-RU"/>
              </w:rPr>
              <w:t>Есекжем</w:t>
            </w:r>
          </w:p>
        </w:tc>
        <w:tc>
          <w:tcPr>
            <w:tcW w:w="1020" w:type="pct"/>
            <w:shd w:val="clear" w:color="auto" w:fill="auto"/>
          </w:tcPr>
          <w:p w14:paraId="32BD784C" w14:textId="77777777" w:rsidR="009E6BB8" w:rsidRPr="00671EDF" w:rsidRDefault="009E6BB8" w:rsidP="00ED4A0F">
            <w:pPr>
              <w:widowControl w:val="0"/>
              <w:autoSpaceDE w:val="0"/>
              <w:autoSpaceDN w:val="0"/>
              <w:rPr>
                <w:lang w:eastAsia="en-US"/>
              </w:rPr>
            </w:pPr>
          </w:p>
        </w:tc>
        <w:tc>
          <w:tcPr>
            <w:tcW w:w="832" w:type="pct"/>
            <w:shd w:val="clear" w:color="auto" w:fill="auto"/>
          </w:tcPr>
          <w:p w14:paraId="2FABE712" w14:textId="77777777" w:rsidR="002247D2" w:rsidRPr="00671EDF" w:rsidRDefault="0054098D" w:rsidP="00ED4A0F">
            <w:pPr>
              <w:widowControl w:val="0"/>
              <w:autoSpaceDE w:val="0"/>
              <w:autoSpaceDN w:val="0"/>
              <w:rPr>
                <w:lang w:eastAsia="en-US"/>
              </w:rPr>
            </w:pPr>
            <w:r w:rsidRPr="00671EDF">
              <w:rPr>
                <w:lang w:val="kk" w:eastAsia="en-US"/>
              </w:rPr>
              <w:t>Стивенс-Джонсон Синдромы/</w:t>
            </w:r>
          </w:p>
          <w:p w14:paraId="32BD784D" w14:textId="349FFAE2" w:rsidR="009E6BB8" w:rsidRPr="00671EDF" w:rsidRDefault="0054098D" w:rsidP="00ED4A0F">
            <w:pPr>
              <w:widowControl w:val="0"/>
              <w:autoSpaceDE w:val="0"/>
              <w:autoSpaceDN w:val="0"/>
              <w:rPr>
                <w:lang w:eastAsia="en-US"/>
              </w:rPr>
            </w:pPr>
            <w:r w:rsidRPr="00671EDF">
              <w:rPr>
                <w:lang w:val="kk" w:eastAsia="en-US"/>
              </w:rPr>
              <w:t xml:space="preserve">уытты эпидермалық некролиз, DRESS-синдром  </w:t>
            </w:r>
          </w:p>
        </w:tc>
        <w:tc>
          <w:tcPr>
            <w:tcW w:w="928" w:type="pct"/>
            <w:shd w:val="clear" w:color="auto" w:fill="auto"/>
          </w:tcPr>
          <w:p w14:paraId="32BD784E" w14:textId="77777777" w:rsidR="009E6BB8" w:rsidRPr="00671EDF" w:rsidRDefault="009E6BB8" w:rsidP="00ED4A0F">
            <w:pPr>
              <w:widowControl w:val="0"/>
              <w:autoSpaceDE w:val="0"/>
              <w:autoSpaceDN w:val="0"/>
              <w:rPr>
                <w:lang w:eastAsia="en-US"/>
              </w:rPr>
            </w:pPr>
          </w:p>
        </w:tc>
      </w:tr>
      <w:tr w:rsidR="00234FE7" w14:paraId="32BD7852" w14:textId="77777777" w:rsidTr="00B44468">
        <w:tc>
          <w:tcPr>
            <w:tcW w:w="5000" w:type="pct"/>
            <w:gridSpan w:val="5"/>
            <w:shd w:val="clear" w:color="auto" w:fill="auto"/>
          </w:tcPr>
          <w:p w14:paraId="32BD7851" w14:textId="04134BC7" w:rsidR="00B44468" w:rsidRPr="00671EDF" w:rsidRDefault="0054098D" w:rsidP="00ED4A0F">
            <w:pPr>
              <w:widowControl w:val="0"/>
              <w:autoSpaceDE w:val="0"/>
              <w:autoSpaceDN w:val="0"/>
              <w:rPr>
                <w:b/>
                <w:lang w:eastAsia="en-US" w:bidi="ru-RU"/>
              </w:rPr>
            </w:pPr>
            <w:r w:rsidRPr="00671EDF">
              <w:rPr>
                <w:b/>
                <w:lang w:val="kk" w:eastAsia="en-US" w:bidi="ru-RU"/>
              </w:rPr>
              <w:t>Сүйек-бұлшықет жүйесі және дәнекер тін тарапынан бұзылулар</w:t>
            </w:r>
          </w:p>
        </w:tc>
      </w:tr>
      <w:tr w:rsidR="00234FE7" w14:paraId="32BD7858" w14:textId="77777777" w:rsidTr="00B44468">
        <w:tc>
          <w:tcPr>
            <w:tcW w:w="1237" w:type="pct"/>
            <w:shd w:val="clear" w:color="auto" w:fill="auto"/>
          </w:tcPr>
          <w:p w14:paraId="32BD7853" w14:textId="77777777" w:rsidR="009E6BB8" w:rsidRPr="00671EDF" w:rsidRDefault="0054098D" w:rsidP="00ED4A0F">
            <w:pPr>
              <w:widowControl w:val="0"/>
              <w:autoSpaceDE w:val="0"/>
              <w:autoSpaceDN w:val="0"/>
              <w:rPr>
                <w:lang w:eastAsia="en-US"/>
              </w:rPr>
            </w:pPr>
            <w:r w:rsidRPr="00671EDF">
              <w:rPr>
                <w:lang w:val="kk" w:eastAsia="en-US" w:bidi="ru-RU"/>
              </w:rPr>
              <w:t>Аяқ-қолдардың ауыруы</w:t>
            </w:r>
            <w:r w:rsidRPr="00671EDF">
              <w:rPr>
                <w:vertAlign w:val="superscript"/>
                <w:lang w:val="kk" w:eastAsia="en-US" w:bidi="ru-RU"/>
              </w:rPr>
              <w:t>А</w:t>
            </w:r>
          </w:p>
        </w:tc>
        <w:tc>
          <w:tcPr>
            <w:tcW w:w="983" w:type="pct"/>
            <w:shd w:val="clear" w:color="auto" w:fill="auto"/>
          </w:tcPr>
          <w:p w14:paraId="32BD7854" w14:textId="77777777" w:rsidR="009E6BB8" w:rsidRPr="00671EDF" w:rsidRDefault="0054098D" w:rsidP="00ED4A0F">
            <w:pPr>
              <w:widowControl w:val="0"/>
              <w:autoSpaceDE w:val="0"/>
              <w:autoSpaceDN w:val="0"/>
              <w:rPr>
                <w:lang w:eastAsia="en-US"/>
              </w:rPr>
            </w:pPr>
            <w:r w:rsidRPr="00671EDF">
              <w:rPr>
                <w:lang w:val="kk" w:eastAsia="en-US" w:bidi="ru-RU"/>
              </w:rPr>
              <w:t>Гемартроз</w:t>
            </w:r>
          </w:p>
        </w:tc>
        <w:tc>
          <w:tcPr>
            <w:tcW w:w="1020" w:type="pct"/>
            <w:shd w:val="clear" w:color="auto" w:fill="auto"/>
          </w:tcPr>
          <w:p w14:paraId="32BD7855" w14:textId="77777777" w:rsidR="009E6BB8" w:rsidRPr="00671EDF" w:rsidRDefault="0054098D" w:rsidP="00ED4A0F">
            <w:pPr>
              <w:widowControl w:val="0"/>
              <w:autoSpaceDE w:val="0"/>
              <w:autoSpaceDN w:val="0"/>
              <w:rPr>
                <w:lang w:eastAsia="en-US"/>
              </w:rPr>
            </w:pPr>
            <w:r w:rsidRPr="00671EDF">
              <w:rPr>
                <w:lang w:val="kk"/>
              </w:rPr>
              <w:t>Бұлшықеттерге қан құйылу</w:t>
            </w:r>
          </w:p>
        </w:tc>
        <w:tc>
          <w:tcPr>
            <w:tcW w:w="832" w:type="pct"/>
            <w:shd w:val="clear" w:color="auto" w:fill="auto"/>
          </w:tcPr>
          <w:p w14:paraId="32BD7856" w14:textId="77777777" w:rsidR="009E6BB8" w:rsidRPr="00671EDF" w:rsidRDefault="009E6BB8" w:rsidP="00ED4A0F">
            <w:pPr>
              <w:widowControl w:val="0"/>
              <w:autoSpaceDE w:val="0"/>
              <w:autoSpaceDN w:val="0"/>
              <w:rPr>
                <w:lang w:eastAsia="en-US"/>
              </w:rPr>
            </w:pPr>
          </w:p>
        </w:tc>
        <w:tc>
          <w:tcPr>
            <w:tcW w:w="928" w:type="pct"/>
            <w:shd w:val="clear" w:color="auto" w:fill="auto"/>
          </w:tcPr>
          <w:p w14:paraId="32BD7857" w14:textId="77777777" w:rsidR="009E6BB8" w:rsidRPr="0054098D" w:rsidRDefault="0054098D" w:rsidP="00ED4A0F">
            <w:pPr>
              <w:widowControl w:val="0"/>
              <w:autoSpaceDE w:val="0"/>
              <w:autoSpaceDN w:val="0"/>
              <w:rPr>
                <w:lang w:eastAsia="en-US"/>
              </w:rPr>
            </w:pPr>
            <w:r w:rsidRPr="00671EDF">
              <w:rPr>
                <w:lang w:val="kk" w:eastAsia="en-US" w:bidi="ru-RU"/>
              </w:rPr>
              <w:t>Қан кету салдарынан болатын компартмент-синдром</w:t>
            </w:r>
          </w:p>
        </w:tc>
      </w:tr>
      <w:tr w:rsidR="00234FE7" w14:paraId="32BD785B" w14:textId="77777777" w:rsidTr="00B44468">
        <w:tc>
          <w:tcPr>
            <w:tcW w:w="5000" w:type="pct"/>
            <w:gridSpan w:val="5"/>
            <w:shd w:val="clear" w:color="auto" w:fill="auto"/>
          </w:tcPr>
          <w:p w14:paraId="32BD785A" w14:textId="6220B66D" w:rsidR="00B44468" w:rsidRPr="00671EDF" w:rsidRDefault="0054098D" w:rsidP="00ED4A0F">
            <w:pPr>
              <w:widowControl w:val="0"/>
              <w:autoSpaceDE w:val="0"/>
              <w:autoSpaceDN w:val="0"/>
              <w:rPr>
                <w:b/>
                <w:lang w:eastAsia="en-US" w:bidi="ru-RU"/>
              </w:rPr>
            </w:pPr>
            <w:r w:rsidRPr="00671EDF">
              <w:rPr>
                <w:b/>
                <w:lang w:val="kk" w:eastAsia="en-US" w:bidi="ru-RU"/>
              </w:rPr>
              <w:t>Бүйрек және несеп шығару жолдары тарапынан бұзылулар</w:t>
            </w:r>
          </w:p>
        </w:tc>
      </w:tr>
      <w:tr w:rsidR="00234FE7" w14:paraId="32BD7862" w14:textId="77777777" w:rsidTr="00B44468">
        <w:tc>
          <w:tcPr>
            <w:tcW w:w="1237" w:type="pct"/>
            <w:shd w:val="clear" w:color="auto" w:fill="auto"/>
          </w:tcPr>
          <w:p w14:paraId="32BD785C" w14:textId="77777777" w:rsidR="009E6BB8" w:rsidRPr="00671EDF" w:rsidRDefault="0054098D" w:rsidP="00ED4A0F">
            <w:pPr>
              <w:widowControl w:val="0"/>
              <w:autoSpaceDE w:val="0"/>
              <w:autoSpaceDN w:val="0"/>
              <w:rPr>
                <w:lang w:eastAsia="en-US"/>
              </w:rPr>
            </w:pPr>
            <w:r w:rsidRPr="00671EDF">
              <w:rPr>
                <w:lang w:val="kk"/>
              </w:rPr>
              <w:t>Урогениталий жолынан қан кету (гематурия мен меноррагияны қоса </w:t>
            </w:r>
            <w:r w:rsidRPr="00671EDF">
              <w:rPr>
                <w:vertAlign w:val="superscript"/>
                <w:lang w:val="kk" w:eastAsia="en-US" w:bidi="ru-RU"/>
              </w:rPr>
              <w:t>B</w:t>
            </w:r>
            <w:r w:rsidRPr="00671EDF">
              <w:rPr>
                <w:lang w:val="kk"/>
              </w:rPr>
              <w:t xml:space="preserve">), бүйрек функциясының жеткіліксіздігі (креатинин концентрациясының жоғарылауын, мочевина концентрациясының жоғарылауын қоса) </w:t>
            </w:r>
          </w:p>
        </w:tc>
        <w:tc>
          <w:tcPr>
            <w:tcW w:w="983" w:type="pct"/>
            <w:shd w:val="clear" w:color="auto" w:fill="auto"/>
          </w:tcPr>
          <w:p w14:paraId="32BD785D" w14:textId="77777777" w:rsidR="009E6BB8" w:rsidRPr="00671EDF" w:rsidRDefault="009E6BB8" w:rsidP="00ED4A0F">
            <w:pPr>
              <w:widowControl w:val="0"/>
              <w:autoSpaceDE w:val="0"/>
              <w:autoSpaceDN w:val="0"/>
              <w:rPr>
                <w:lang w:eastAsia="en-US"/>
              </w:rPr>
            </w:pPr>
          </w:p>
        </w:tc>
        <w:tc>
          <w:tcPr>
            <w:tcW w:w="1020" w:type="pct"/>
            <w:shd w:val="clear" w:color="auto" w:fill="auto"/>
          </w:tcPr>
          <w:p w14:paraId="32BD785E" w14:textId="77777777" w:rsidR="009E6BB8" w:rsidRPr="00671EDF" w:rsidRDefault="009E6BB8" w:rsidP="00ED4A0F">
            <w:pPr>
              <w:widowControl w:val="0"/>
              <w:autoSpaceDE w:val="0"/>
              <w:autoSpaceDN w:val="0"/>
              <w:rPr>
                <w:lang w:eastAsia="en-US"/>
              </w:rPr>
            </w:pPr>
          </w:p>
        </w:tc>
        <w:tc>
          <w:tcPr>
            <w:tcW w:w="832" w:type="pct"/>
            <w:shd w:val="clear" w:color="auto" w:fill="auto"/>
          </w:tcPr>
          <w:p w14:paraId="32BD785F" w14:textId="77777777" w:rsidR="009E6BB8" w:rsidRPr="00671EDF" w:rsidRDefault="009E6BB8" w:rsidP="00ED4A0F">
            <w:pPr>
              <w:widowControl w:val="0"/>
              <w:autoSpaceDE w:val="0"/>
              <w:autoSpaceDN w:val="0"/>
              <w:rPr>
                <w:lang w:eastAsia="en-US"/>
              </w:rPr>
            </w:pPr>
          </w:p>
        </w:tc>
        <w:tc>
          <w:tcPr>
            <w:tcW w:w="928" w:type="pct"/>
            <w:shd w:val="clear" w:color="auto" w:fill="auto"/>
          </w:tcPr>
          <w:p w14:paraId="32BD7860" w14:textId="2ABBCAF9" w:rsidR="009E6BB8" w:rsidRPr="00671EDF" w:rsidRDefault="0054098D" w:rsidP="00ED4A0F">
            <w:pPr>
              <w:widowControl w:val="0"/>
              <w:autoSpaceDE w:val="0"/>
              <w:autoSpaceDN w:val="0"/>
              <w:rPr>
                <w:lang w:eastAsia="en-US" w:bidi="ru-RU"/>
              </w:rPr>
            </w:pPr>
            <w:r w:rsidRPr="00671EDF">
              <w:rPr>
                <w:lang w:val="kk" w:eastAsia="en-US" w:bidi="ru-RU"/>
              </w:rPr>
              <w:t>Бүйрек функциясының жеткіліксіздігі/</w:t>
            </w:r>
          </w:p>
          <w:p w14:paraId="32BD7861" w14:textId="77777777" w:rsidR="009E6BB8" w:rsidRPr="00671EDF" w:rsidRDefault="0054098D" w:rsidP="00ED4A0F">
            <w:pPr>
              <w:widowControl w:val="0"/>
              <w:autoSpaceDE w:val="0"/>
              <w:autoSpaceDN w:val="0"/>
              <w:rPr>
                <w:lang w:eastAsia="en-US" w:bidi="ru-RU"/>
              </w:rPr>
            </w:pPr>
            <w:r w:rsidRPr="00671EDF">
              <w:rPr>
                <w:lang w:val="kk" w:eastAsia="en-US" w:bidi="ru-RU"/>
              </w:rPr>
              <w:t>гипоперфузия дамуы үшін жеткілікті қан кету салдарынан бүйрек функциясының жедел жеткіліксіздігі.</w:t>
            </w:r>
          </w:p>
        </w:tc>
      </w:tr>
      <w:tr w:rsidR="00234FE7" w14:paraId="32BD7865" w14:textId="77777777" w:rsidTr="00B44468">
        <w:tc>
          <w:tcPr>
            <w:tcW w:w="5000" w:type="pct"/>
            <w:gridSpan w:val="5"/>
            <w:shd w:val="clear" w:color="auto" w:fill="auto"/>
          </w:tcPr>
          <w:p w14:paraId="32BD7864" w14:textId="357F5A8F" w:rsidR="00B44468" w:rsidRPr="00671EDF" w:rsidRDefault="0054098D" w:rsidP="00ED4A0F">
            <w:pPr>
              <w:widowControl w:val="0"/>
              <w:autoSpaceDE w:val="0"/>
              <w:autoSpaceDN w:val="0"/>
              <w:rPr>
                <w:b/>
                <w:lang w:eastAsia="en-US" w:bidi="ru-RU"/>
              </w:rPr>
            </w:pPr>
            <w:r w:rsidRPr="00671EDF">
              <w:rPr>
                <w:b/>
                <w:lang w:val="kk" w:eastAsia="en-US" w:bidi="ru-RU"/>
              </w:rPr>
              <w:t xml:space="preserve">Жалпы реакциялар </w:t>
            </w:r>
          </w:p>
        </w:tc>
      </w:tr>
      <w:tr w:rsidR="00234FE7" w14:paraId="32BD786B" w14:textId="77777777" w:rsidTr="00B44468">
        <w:tc>
          <w:tcPr>
            <w:tcW w:w="1237" w:type="pct"/>
            <w:shd w:val="clear" w:color="auto" w:fill="auto"/>
          </w:tcPr>
          <w:p w14:paraId="32BD7866" w14:textId="77777777" w:rsidR="009E6BB8" w:rsidRPr="00671EDF" w:rsidRDefault="0054098D" w:rsidP="00ED4A0F">
            <w:pPr>
              <w:widowControl w:val="0"/>
              <w:autoSpaceDE w:val="0"/>
              <w:autoSpaceDN w:val="0"/>
              <w:rPr>
                <w:lang w:eastAsia="en-US"/>
              </w:rPr>
            </w:pPr>
            <w:r w:rsidRPr="00671EDF">
              <w:rPr>
                <w:lang w:val="kk" w:eastAsia="en-US" w:bidi="ru-RU"/>
              </w:rPr>
              <w:t>Қызба (температура жоғарылауы) </w:t>
            </w:r>
            <w:r w:rsidRPr="00671EDF">
              <w:rPr>
                <w:vertAlign w:val="superscript"/>
                <w:lang w:val="kk" w:eastAsia="en-US" w:bidi="ru-RU"/>
              </w:rPr>
              <w:t>А</w:t>
            </w:r>
            <w:r w:rsidRPr="00671EDF">
              <w:rPr>
                <w:lang w:val="kk" w:eastAsia="en-US" w:bidi="ru-RU"/>
              </w:rPr>
              <w:t>, шеткері ісінулер, жалпы бұлшықет күші мен тонусының төмендеуі (әлсіздік пен астенияны қоса)</w:t>
            </w:r>
          </w:p>
        </w:tc>
        <w:tc>
          <w:tcPr>
            <w:tcW w:w="983" w:type="pct"/>
            <w:shd w:val="clear" w:color="auto" w:fill="auto"/>
          </w:tcPr>
          <w:p w14:paraId="32BD7867" w14:textId="136F64A8" w:rsidR="009E6BB8" w:rsidRPr="00671EDF" w:rsidRDefault="0054098D" w:rsidP="00ED4A0F">
            <w:pPr>
              <w:widowControl w:val="0"/>
              <w:autoSpaceDE w:val="0"/>
              <w:autoSpaceDN w:val="0"/>
              <w:rPr>
                <w:lang w:eastAsia="en-US"/>
              </w:rPr>
            </w:pPr>
            <w:r w:rsidRPr="00671EDF">
              <w:rPr>
                <w:lang w:val="kk" w:eastAsia="en-US" w:bidi="ru-RU"/>
              </w:rPr>
              <w:t>Жалпы көңіл-күйдің нашарлауы (дімкәстікті қоса алғанда)</w:t>
            </w:r>
          </w:p>
        </w:tc>
        <w:tc>
          <w:tcPr>
            <w:tcW w:w="1020" w:type="pct"/>
            <w:shd w:val="clear" w:color="auto" w:fill="auto"/>
          </w:tcPr>
          <w:p w14:paraId="32BD7868" w14:textId="77777777" w:rsidR="009E6BB8" w:rsidRPr="00671EDF" w:rsidRDefault="0054098D" w:rsidP="00ED4A0F">
            <w:pPr>
              <w:widowControl w:val="0"/>
              <w:autoSpaceDE w:val="0"/>
              <w:autoSpaceDN w:val="0"/>
              <w:rPr>
                <w:lang w:eastAsia="en-US"/>
              </w:rPr>
            </w:pPr>
            <w:r w:rsidRPr="00671EDF">
              <w:rPr>
                <w:lang w:val="kk" w:eastAsia="en-US" w:bidi="ru-RU"/>
              </w:rPr>
              <w:t xml:space="preserve">Жергілікті ісіну </w:t>
            </w:r>
            <w:r w:rsidRPr="00671EDF">
              <w:rPr>
                <w:vertAlign w:val="superscript"/>
                <w:lang w:val="kk" w:eastAsia="en-US" w:bidi="ru-RU"/>
              </w:rPr>
              <w:t>А</w:t>
            </w:r>
          </w:p>
        </w:tc>
        <w:tc>
          <w:tcPr>
            <w:tcW w:w="832" w:type="pct"/>
            <w:shd w:val="clear" w:color="auto" w:fill="auto"/>
          </w:tcPr>
          <w:p w14:paraId="32BD7869" w14:textId="77777777" w:rsidR="009E6BB8" w:rsidRPr="00671EDF" w:rsidRDefault="009E6BB8" w:rsidP="00ED4A0F">
            <w:pPr>
              <w:widowControl w:val="0"/>
              <w:autoSpaceDE w:val="0"/>
              <w:autoSpaceDN w:val="0"/>
              <w:rPr>
                <w:lang w:eastAsia="en-US"/>
              </w:rPr>
            </w:pPr>
          </w:p>
        </w:tc>
        <w:tc>
          <w:tcPr>
            <w:tcW w:w="928" w:type="pct"/>
            <w:shd w:val="clear" w:color="auto" w:fill="auto"/>
          </w:tcPr>
          <w:p w14:paraId="32BD786A" w14:textId="77777777" w:rsidR="009E6BB8" w:rsidRPr="00671EDF" w:rsidRDefault="009E6BB8" w:rsidP="00ED4A0F">
            <w:pPr>
              <w:widowControl w:val="0"/>
              <w:autoSpaceDE w:val="0"/>
              <w:autoSpaceDN w:val="0"/>
              <w:rPr>
                <w:lang w:eastAsia="en-US"/>
              </w:rPr>
            </w:pPr>
          </w:p>
        </w:tc>
      </w:tr>
      <w:tr w:rsidR="00234FE7" w14:paraId="32BD786E" w14:textId="77777777" w:rsidTr="00B44468">
        <w:tc>
          <w:tcPr>
            <w:tcW w:w="5000" w:type="pct"/>
            <w:gridSpan w:val="5"/>
            <w:shd w:val="clear" w:color="auto" w:fill="auto"/>
          </w:tcPr>
          <w:p w14:paraId="32BD786D" w14:textId="0A38BBE6" w:rsidR="00B44468" w:rsidRPr="00671EDF" w:rsidRDefault="0054098D" w:rsidP="00ED4A0F">
            <w:pPr>
              <w:widowControl w:val="0"/>
              <w:autoSpaceDE w:val="0"/>
              <w:autoSpaceDN w:val="0"/>
              <w:rPr>
                <w:b/>
                <w:lang w:eastAsia="en-US" w:bidi="ru-RU"/>
              </w:rPr>
            </w:pPr>
            <w:r w:rsidRPr="00671EDF">
              <w:rPr>
                <w:b/>
                <w:lang w:val="kk" w:eastAsia="en-US" w:bidi="ru-RU"/>
              </w:rPr>
              <w:t>Зертханалық көрсеткіштер</w:t>
            </w:r>
          </w:p>
        </w:tc>
      </w:tr>
      <w:tr w:rsidR="00234FE7" w14:paraId="32BD7874" w14:textId="77777777" w:rsidTr="00B44468">
        <w:tc>
          <w:tcPr>
            <w:tcW w:w="1237" w:type="pct"/>
            <w:shd w:val="clear" w:color="auto" w:fill="auto"/>
          </w:tcPr>
          <w:p w14:paraId="32BD786F" w14:textId="77777777" w:rsidR="009E6BB8" w:rsidRPr="00671EDF" w:rsidRDefault="009E6BB8" w:rsidP="00ED4A0F">
            <w:pPr>
              <w:widowControl w:val="0"/>
              <w:autoSpaceDE w:val="0"/>
              <w:autoSpaceDN w:val="0"/>
              <w:rPr>
                <w:lang w:eastAsia="en-US"/>
              </w:rPr>
            </w:pPr>
          </w:p>
        </w:tc>
        <w:tc>
          <w:tcPr>
            <w:tcW w:w="983" w:type="pct"/>
            <w:shd w:val="clear" w:color="auto" w:fill="auto"/>
          </w:tcPr>
          <w:p w14:paraId="32BD7870" w14:textId="77777777" w:rsidR="009E6BB8" w:rsidRPr="00671EDF" w:rsidRDefault="0054098D" w:rsidP="00ED4A0F">
            <w:pPr>
              <w:widowControl w:val="0"/>
              <w:autoSpaceDE w:val="0"/>
              <w:autoSpaceDN w:val="0"/>
              <w:rPr>
                <w:lang w:eastAsia="en-US"/>
              </w:rPr>
            </w:pPr>
            <w:r w:rsidRPr="00671EDF">
              <w:rPr>
                <w:lang w:val="kk" w:eastAsia="en-US" w:bidi="ru-RU"/>
              </w:rPr>
              <w:t>ЛДГ деңгейінің жоғарылауы</w:t>
            </w:r>
            <w:r w:rsidRPr="00671EDF">
              <w:rPr>
                <w:vertAlign w:val="superscript"/>
                <w:lang w:val="kk" w:eastAsia="en-US" w:bidi="ru-RU"/>
              </w:rPr>
              <w:t> А</w:t>
            </w:r>
            <w:r w:rsidRPr="00671EDF">
              <w:rPr>
                <w:lang w:val="kk" w:eastAsia="en-US" w:bidi="ru-RU"/>
              </w:rPr>
              <w:t xml:space="preserve">, липаза </w:t>
            </w:r>
            <w:r w:rsidRPr="00671EDF">
              <w:rPr>
                <w:lang w:val="kk" w:eastAsia="en-US" w:bidi="ru-RU"/>
              </w:rPr>
              <w:lastRenderedPageBreak/>
              <w:t>деңгейінің жоғарылауы</w:t>
            </w:r>
            <w:r w:rsidRPr="00671EDF">
              <w:rPr>
                <w:vertAlign w:val="superscript"/>
                <w:lang w:val="kk" w:eastAsia="en-US" w:bidi="ru-RU"/>
              </w:rPr>
              <w:t>А</w:t>
            </w:r>
            <w:r w:rsidRPr="00671EDF">
              <w:rPr>
                <w:lang w:val="kk" w:eastAsia="en-US" w:bidi="ru-RU"/>
              </w:rPr>
              <w:t>, амилаза деңгейінің жоғарылауы</w:t>
            </w:r>
            <w:r w:rsidRPr="00671EDF">
              <w:rPr>
                <w:vertAlign w:val="superscript"/>
                <w:lang w:val="kk" w:eastAsia="en-US" w:bidi="ru-RU"/>
              </w:rPr>
              <w:t>А</w:t>
            </w:r>
            <w:r w:rsidRPr="00671EDF">
              <w:rPr>
                <w:lang w:val="kk" w:eastAsia="en-US" w:bidi="ru-RU"/>
              </w:rPr>
              <w:t xml:space="preserve"> </w:t>
            </w:r>
          </w:p>
        </w:tc>
        <w:tc>
          <w:tcPr>
            <w:tcW w:w="1020" w:type="pct"/>
            <w:shd w:val="clear" w:color="auto" w:fill="auto"/>
          </w:tcPr>
          <w:p w14:paraId="32BD7871" w14:textId="77777777" w:rsidR="009E6BB8" w:rsidRPr="00671EDF" w:rsidRDefault="009E6BB8" w:rsidP="00ED4A0F">
            <w:pPr>
              <w:widowControl w:val="0"/>
              <w:autoSpaceDE w:val="0"/>
              <w:autoSpaceDN w:val="0"/>
              <w:rPr>
                <w:color w:val="FF0000"/>
                <w:lang w:eastAsia="en-US"/>
              </w:rPr>
            </w:pPr>
          </w:p>
        </w:tc>
        <w:tc>
          <w:tcPr>
            <w:tcW w:w="832" w:type="pct"/>
            <w:shd w:val="clear" w:color="auto" w:fill="auto"/>
          </w:tcPr>
          <w:p w14:paraId="32BD7872" w14:textId="77777777" w:rsidR="009E6BB8" w:rsidRPr="00671EDF" w:rsidRDefault="009E6BB8" w:rsidP="00ED4A0F">
            <w:pPr>
              <w:widowControl w:val="0"/>
              <w:autoSpaceDE w:val="0"/>
              <w:autoSpaceDN w:val="0"/>
              <w:rPr>
                <w:lang w:eastAsia="en-US"/>
              </w:rPr>
            </w:pPr>
          </w:p>
        </w:tc>
        <w:tc>
          <w:tcPr>
            <w:tcW w:w="928" w:type="pct"/>
            <w:shd w:val="clear" w:color="auto" w:fill="auto"/>
          </w:tcPr>
          <w:p w14:paraId="32BD7873" w14:textId="77777777" w:rsidR="009E6BB8" w:rsidRPr="00671EDF" w:rsidRDefault="009E6BB8" w:rsidP="00ED4A0F">
            <w:pPr>
              <w:widowControl w:val="0"/>
              <w:autoSpaceDE w:val="0"/>
              <w:autoSpaceDN w:val="0"/>
              <w:rPr>
                <w:lang w:eastAsia="en-US"/>
              </w:rPr>
            </w:pPr>
          </w:p>
        </w:tc>
      </w:tr>
      <w:tr w:rsidR="00234FE7" w14:paraId="32BD7877" w14:textId="77777777" w:rsidTr="00B44468">
        <w:tc>
          <w:tcPr>
            <w:tcW w:w="5000" w:type="pct"/>
            <w:gridSpan w:val="5"/>
            <w:shd w:val="clear" w:color="auto" w:fill="auto"/>
          </w:tcPr>
          <w:p w14:paraId="32BD7876" w14:textId="3B7FE724" w:rsidR="00B44468" w:rsidRPr="00671EDF" w:rsidRDefault="0054098D" w:rsidP="00ED4A0F">
            <w:pPr>
              <w:widowControl w:val="0"/>
              <w:autoSpaceDE w:val="0"/>
              <w:autoSpaceDN w:val="0"/>
              <w:rPr>
                <w:b/>
                <w:lang w:eastAsia="en-US" w:bidi="ru-RU"/>
              </w:rPr>
            </w:pPr>
            <w:r w:rsidRPr="00671EDF">
              <w:rPr>
                <w:b/>
                <w:lang w:val="kk" w:eastAsia="en-US" w:bidi="ru-RU"/>
              </w:rPr>
              <w:t>Жарақаттар, уланулар және емшара асқынулары</w:t>
            </w:r>
          </w:p>
        </w:tc>
      </w:tr>
      <w:tr w:rsidR="00234FE7" w14:paraId="32BD787D" w14:textId="77777777" w:rsidTr="00B44468">
        <w:tc>
          <w:tcPr>
            <w:tcW w:w="1237" w:type="pct"/>
            <w:shd w:val="clear" w:color="auto" w:fill="auto"/>
          </w:tcPr>
          <w:p w14:paraId="32BD7878" w14:textId="67CFC2A8" w:rsidR="009E6BB8" w:rsidRPr="00671EDF" w:rsidRDefault="0054098D">
            <w:pPr>
              <w:widowControl w:val="0"/>
              <w:autoSpaceDE w:val="0"/>
              <w:autoSpaceDN w:val="0"/>
              <w:rPr>
                <w:lang w:eastAsia="en-US"/>
              </w:rPr>
            </w:pPr>
            <w:r w:rsidRPr="00671EDF">
              <w:rPr>
                <w:lang w:val="kk"/>
              </w:rPr>
              <w:t>Жүргізілген емшараларан кейін қан құйылу (операциядан кейінгі анемия мен жанадан қан кетуді қоса), қанталау, жарадан шыққан бөліністер</w:t>
            </w:r>
            <w:r w:rsidRPr="00671EDF">
              <w:rPr>
                <w:vertAlign w:val="superscript"/>
                <w:lang w:val="kk" w:eastAsia="en-US" w:bidi="ru-RU"/>
              </w:rPr>
              <w:t>A</w:t>
            </w:r>
          </w:p>
        </w:tc>
        <w:tc>
          <w:tcPr>
            <w:tcW w:w="983" w:type="pct"/>
            <w:shd w:val="clear" w:color="auto" w:fill="auto"/>
          </w:tcPr>
          <w:p w14:paraId="32BD7879" w14:textId="77777777" w:rsidR="009E6BB8" w:rsidRPr="00671EDF" w:rsidRDefault="009E6BB8" w:rsidP="00ED4A0F">
            <w:pPr>
              <w:widowControl w:val="0"/>
              <w:autoSpaceDE w:val="0"/>
              <w:autoSpaceDN w:val="0"/>
              <w:rPr>
                <w:lang w:eastAsia="en-US"/>
              </w:rPr>
            </w:pPr>
          </w:p>
        </w:tc>
        <w:tc>
          <w:tcPr>
            <w:tcW w:w="1020" w:type="pct"/>
            <w:shd w:val="clear" w:color="auto" w:fill="auto"/>
          </w:tcPr>
          <w:p w14:paraId="32BD787A" w14:textId="78686CCA" w:rsidR="009E6BB8" w:rsidRPr="00671EDF" w:rsidRDefault="0054098D" w:rsidP="00ED4A0F">
            <w:pPr>
              <w:widowControl w:val="0"/>
              <w:autoSpaceDE w:val="0"/>
              <w:autoSpaceDN w:val="0"/>
              <w:rPr>
                <w:lang w:eastAsia="en-US"/>
              </w:rPr>
            </w:pPr>
            <w:r w:rsidRPr="00671EDF">
              <w:rPr>
                <w:lang w:val="kk" w:eastAsia="en-US" w:bidi="ru-RU"/>
              </w:rPr>
              <w:t>Қантамырлардың жалған аневризмасы</w:t>
            </w:r>
            <w:r w:rsidRPr="00671EDF">
              <w:rPr>
                <w:vertAlign w:val="superscript"/>
                <w:lang w:val="kk" w:eastAsia="en-US" w:bidi="ru-RU"/>
              </w:rPr>
              <w:t>С</w:t>
            </w:r>
          </w:p>
        </w:tc>
        <w:tc>
          <w:tcPr>
            <w:tcW w:w="832" w:type="pct"/>
            <w:shd w:val="clear" w:color="auto" w:fill="auto"/>
          </w:tcPr>
          <w:p w14:paraId="32BD787B" w14:textId="77777777" w:rsidR="009E6BB8" w:rsidRPr="00671EDF" w:rsidRDefault="009E6BB8" w:rsidP="00ED4A0F">
            <w:pPr>
              <w:widowControl w:val="0"/>
              <w:autoSpaceDE w:val="0"/>
              <w:autoSpaceDN w:val="0"/>
              <w:rPr>
                <w:lang w:eastAsia="en-US"/>
              </w:rPr>
            </w:pPr>
          </w:p>
        </w:tc>
        <w:tc>
          <w:tcPr>
            <w:tcW w:w="928" w:type="pct"/>
            <w:shd w:val="clear" w:color="auto" w:fill="auto"/>
          </w:tcPr>
          <w:p w14:paraId="32BD787C" w14:textId="77777777" w:rsidR="009E6BB8" w:rsidRPr="00671EDF" w:rsidRDefault="009E6BB8" w:rsidP="00ED4A0F">
            <w:pPr>
              <w:widowControl w:val="0"/>
              <w:autoSpaceDE w:val="0"/>
              <w:autoSpaceDN w:val="0"/>
              <w:rPr>
                <w:lang w:eastAsia="en-US"/>
              </w:rPr>
            </w:pPr>
          </w:p>
        </w:tc>
      </w:tr>
    </w:tbl>
    <w:p w14:paraId="32BD787E" w14:textId="77777777" w:rsidR="009E6BB8" w:rsidRPr="00671EDF" w:rsidRDefault="0054098D" w:rsidP="00810340">
      <w:pPr>
        <w:rPr>
          <w:rFonts w:eastAsia="SimSun"/>
        </w:rPr>
      </w:pPr>
      <w:r w:rsidRPr="00671EDF">
        <w:rPr>
          <w:rFonts w:eastAsia="SimSun"/>
          <w:lang w:val="kk"/>
        </w:rPr>
        <w:t>А: тізебуынды немесе ұршықбуынды жоспарлы протездеуден кейінгі ересек пациенттерде веналық тромбоэмболияның (ВТЭ) профилактикасы кезінде тіркелген</w:t>
      </w:r>
    </w:p>
    <w:p w14:paraId="32BD787F" w14:textId="77777777" w:rsidR="009E6BB8" w:rsidRPr="00671EDF" w:rsidRDefault="0054098D" w:rsidP="00810340">
      <w:pPr>
        <w:rPr>
          <w:rFonts w:eastAsia="SimSun"/>
        </w:rPr>
      </w:pPr>
      <w:r w:rsidRPr="00671EDF">
        <w:rPr>
          <w:rFonts w:eastAsia="SimSun"/>
          <w:lang w:val="kk"/>
        </w:rPr>
        <w:t>B: ТВТ мен ӨАТЭ емдеу және қайталануларының профилактикасы кезінде &lt; 55 жас шамасындағы әйелдерде өте жиі тіркелген</w:t>
      </w:r>
    </w:p>
    <w:p w14:paraId="32BD7880" w14:textId="77777777" w:rsidR="009E6BB8" w:rsidRPr="00671EDF" w:rsidRDefault="0054098D" w:rsidP="00810340">
      <w:pPr>
        <w:jc w:val="both"/>
        <w:rPr>
          <w:rFonts w:eastAsia="SimSun"/>
        </w:rPr>
      </w:pPr>
      <w:r w:rsidRPr="00671EDF">
        <w:rPr>
          <w:rFonts w:eastAsia="SimSun"/>
          <w:lang w:val="kk"/>
        </w:rPr>
        <w:t>C: жедел коронарлық синдромнан кейінгі (тері арқылы жүргізілетін араласымдардан кейін) пациенттерде кенеттен өлімге ұшырау мен миокард инфарктісінің профилактикасы кезінде жиі емес деп тіркелген.</w:t>
      </w:r>
    </w:p>
    <w:p w14:paraId="34D334A2" w14:textId="33752A51" w:rsidR="00B44468" w:rsidRPr="0054098D" w:rsidRDefault="0054098D" w:rsidP="00AD407E">
      <w:pPr>
        <w:jc w:val="both"/>
        <w:rPr>
          <w:rFonts w:eastAsia="SimSun"/>
          <w:lang w:val="kk"/>
        </w:rPr>
      </w:pPr>
      <w:r w:rsidRPr="00671EDF">
        <w:rPr>
          <w:rFonts w:eastAsia="SimSun"/>
          <w:lang w:val="kk"/>
        </w:rPr>
        <w:t xml:space="preserve">* Жағымсыз құбылыстар бойынша деректер жинауға алдын ала белгіленген таңдамалы тәсіл қолданылды. Жағымсыз дәрілік реакциялардың жиілігі артпағанын және ешқандай жаңа жағымсыз дәрілік реакциялар анықталмағанын ескере отырып, жағымсыз реакциялар тізбесіне жиілікті есептеу үшін COMPASS зерттеуінің деректері енгізілмеген. </w:t>
      </w:r>
    </w:p>
    <w:bookmarkEnd w:id="7"/>
    <w:p w14:paraId="32BD7882" w14:textId="254F6252" w:rsidR="009E6BB8" w:rsidRPr="0054098D" w:rsidRDefault="0054098D" w:rsidP="00962CF5">
      <w:pPr>
        <w:tabs>
          <w:tab w:val="left" w:pos="4575"/>
        </w:tabs>
        <w:rPr>
          <w:rFonts w:eastAsia="SimSun"/>
          <w:i/>
          <w:lang w:val="kk" w:eastAsia="zh-CN"/>
        </w:rPr>
      </w:pPr>
      <w:r w:rsidRPr="00962CF5">
        <w:rPr>
          <w:rFonts w:eastAsia="SimSun"/>
          <w:i/>
          <w:lang w:val="kk" w:eastAsia="zh-CN"/>
        </w:rPr>
        <w:t>Кейбір жағымсыз реакциялардың сипаттамасы</w:t>
      </w:r>
      <w:r w:rsidRPr="00962CF5">
        <w:rPr>
          <w:rFonts w:eastAsia="SimSun"/>
          <w:i/>
          <w:lang w:val="kk" w:eastAsia="zh-CN"/>
        </w:rPr>
        <w:tab/>
      </w:r>
    </w:p>
    <w:p w14:paraId="32BD7885" w14:textId="0078D132" w:rsidR="009E6BB8" w:rsidRPr="0054098D" w:rsidRDefault="0054098D" w:rsidP="00962CF5">
      <w:pPr>
        <w:jc w:val="both"/>
        <w:rPr>
          <w:rFonts w:eastAsia="SimSun"/>
          <w:lang w:val="kk" w:eastAsia="zh-CN"/>
        </w:rPr>
      </w:pPr>
      <w:r w:rsidRPr="00810340">
        <w:rPr>
          <w:rFonts w:eastAsia="SimSun"/>
          <w:lang w:val="kk" w:eastAsia="zh-CN"/>
        </w:rPr>
        <w:t>Ривароксабанның фармакологиялық әсер ету механизмін ескерсек, оны қолдану кез келген ағзалар мен тіндерден жасырын немесе айқын қан кету қаупінің жоғарылауымен қатар жүруі, ол постгеморрагиялық анемияға алып келуі мүмкін.  Белгілері, симптомдары мен ауырлығы (өлімге соқтырған жағдайларын қоса) орналасуы мен ауырлық дәрежелеріне немесе қан кетудің және/немесе анемияның ауқымдылығына байланысты ауытқып тұрады (4.9 бөлімін қараңыз). Шырышты қабықтардан қан кетулер (мысалы, мұрыннан, қызылиектен, асқазан-ішектен, қынаптан патологиялық және күшейген етеккірлік қан кетуді қоса, несеп-жыныс жүйесінен) мен анемия көбінесе, K дәруменінің антагонистерімен (КДА) емдеумен салыстырғанда</w:t>
      </w:r>
      <w:bookmarkStart w:id="10" w:name="_Hlk23862325"/>
      <w:r w:rsidRPr="00810340">
        <w:rPr>
          <w:rFonts w:eastAsia="SimSun"/>
          <w:lang w:val="kk" w:eastAsia="zh-CN"/>
        </w:rPr>
        <w:t xml:space="preserve">, ривароксабанмен ұзақ уақыт емдеген кезде байқалған.  </w:t>
      </w:r>
      <w:bookmarkEnd w:id="10"/>
      <w:r w:rsidRPr="00810340">
        <w:rPr>
          <w:rFonts w:eastAsia="SimSun"/>
          <w:lang w:val="kk" w:eastAsia="zh-CN"/>
        </w:rPr>
        <w:t xml:space="preserve">Сәйкесінше, талапқа сай клиникалық тексеруге қосымша, қажет болған жағдайда, жасырын қан кетуді анықтау үшін гемоглобин/гематокрит деңгейін зертханалық жолмен анықтаудың және айқын қан кетудің клиникалық тұрғыдан елеулілігі мөлшерін анықтаудың маңызы болуы мүмкін. Пациенттердің кейбір, мысалы, бақылауға келмейтін ауыр артериялық гипертензиясы және/немесе гемостазға ықпал ететін препараттармен қатарлас ем қабылдап жүрген топтарында қан кетудің даму қаупі жоғарылауы мүмкін («Қан кету қаупі» 4.4 бөлімін қараңыз).  Етеккірлік қан кетулер ұзағырақ және қарқындырақ болуы мүмкін.  Геморрагиялық асқынулар әлсіздікпен, бозарумен, бас айналумен, бас ауырумен, түсініксіз ісінумен, ентігумен немесе түсініксіз шок жағдайымен көрініс беруі мүмкін.  Кей жағдайларда, анемияның салдарынан төс артының ауыруы немесе стенокардия сияқты миокард ишемиясы симптомдары байқалған. </w:t>
      </w:r>
    </w:p>
    <w:p w14:paraId="723D8C67" w14:textId="7549C2B3" w:rsidR="00B44468" w:rsidRPr="0054098D" w:rsidRDefault="0054098D" w:rsidP="00962CF5">
      <w:pPr>
        <w:jc w:val="both"/>
        <w:rPr>
          <w:rFonts w:eastAsia="SimSun"/>
          <w:lang w:val="kk" w:eastAsia="zh-CN"/>
        </w:rPr>
      </w:pPr>
      <w:r w:rsidRPr="00810340">
        <w:rPr>
          <w:rFonts w:eastAsia="SimSun"/>
          <w:lang w:val="kk" w:eastAsia="zh-CN"/>
        </w:rPr>
        <w:t>Ривароксабанды қолданғанда ауыр қан кетудің салдарынан компартмент-синдром және гипоперфузия нәтижесіндегі бүйрек функциясының жеткіліксіздігі сияқты белгілі асқынулар да тіркелген.  Сондықтан, антикоагулянттарды қабылдап жүрген кез келген пациенттің жағдайын бағалаған кезде, қан құйылу мүмкіндігін қарастыру керек.</w:t>
      </w:r>
    </w:p>
    <w:p w14:paraId="32BD7886" w14:textId="3E40452D" w:rsidR="009E6BB8" w:rsidRPr="0054098D" w:rsidRDefault="0054098D" w:rsidP="00962CF5">
      <w:pPr>
        <w:jc w:val="both"/>
        <w:rPr>
          <w:rFonts w:eastAsia="SimSun"/>
          <w:lang w:val="kk" w:eastAsia="zh-CN"/>
        </w:rPr>
      </w:pPr>
      <w:r w:rsidRPr="0054098D">
        <w:rPr>
          <w:rFonts w:eastAsia="SimSun"/>
          <w:lang w:val="kk" w:eastAsia="zh-CN"/>
        </w:rPr>
        <w:t xml:space="preserve"> </w:t>
      </w:r>
    </w:p>
    <w:p w14:paraId="5159DF79" w14:textId="77777777" w:rsidR="00FF78DF" w:rsidRPr="0054098D" w:rsidRDefault="0054098D" w:rsidP="00B44468">
      <w:pPr>
        <w:jc w:val="both"/>
        <w:rPr>
          <w:rFonts w:eastAsia="SimSun"/>
          <w:b/>
          <w:lang w:val="kk" w:eastAsia="zh-CN"/>
        </w:rPr>
      </w:pPr>
      <w:r w:rsidRPr="00810340">
        <w:rPr>
          <w:rFonts w:eastAsia="SimSun"/>
          <w:b/>
          <w:lang w:val="kk" w:eastAsia="zh-CN"/>
        </w:rPr>
        <w:t xml:space="preserve">Күмәнді жағымсыз реакциялар туралы хабарлау   </w:t>
      </w:r>
    </w:p>
    <w:p w14:paraId="7FDF12A6" w14:textId="77777777" w:rsidR="00FF78DF" w:rsidRPr="0054098D" w:rsidRDefault="0054098D" w:rsidP="00B44468">
      <w:pPr>
        <w:jc w:val="both"/>
        <w:rPr>
          <w:lang w:val="kk"/>
        </w:rPr>
      </w:pPr>
      <w:r w:rsidRPr="00810340">
        <w:rPr>
          <w:lang w:val="kk"/>
        </w:rPr>
        <w:lastRenderedPageBreak/>
        <w:t xml:space="preserve">Дәрілік препараттың (ДП) «пайда-қауіп» арақатынасын үздіксіз мониторингтеуді қамтамасыз ету мақсатында дәрілік препаратты тіркеуден кейін күмән тудыратын жағымсыз реакциялар туралы хабарлау маңызды.  Медициналық қызметкерлерге ҚР жағымсыз реакциялар туралы ұлттық хабарландыру жүйесі арқылы дәрілік препараттың кез келген күмәнді жағымсыз реакциялары туралы мәлімдеуге кеңес беріледі.  </w:t>
      </w:r>
    </w:p>
    <w:p w14:paraId="0588EF15" w14:textId="2CD7EA5E" w:rsidR="00261482" w:rsidRPr="0054098D" w:rsidRDefault="0054098D" w:rsidP="00B44468">
      <w:pPr>
        <w:jc w:val="both"/>
        <w:rPr>
          <w:lang w:val="kk"/>
        </w:rPr>
      </w:pPr>
      <w:r w:rsidRPr="00810340">
        <w:rPr>
          <w:lang w:val="kk"/>
        </w:rPr>
        <w:t>Қазақстан Республикасы Денсаулық сақтау министрлігі Медициналық және фармацевтикалық бақылау комитеті «Дәрілік заттар мен медициналық бұйымдарды сараптау ұлттық орталығы» ШЖҚ РМК</w:t>
      </w:r>
    </w:p>
    <w:p w14:paraId="1B1ED426" w14:textId="0ACFF975" w:rsidR="00FF78DF" w:rsidRPr="00810340" w:rsidRDefault="006B2B71" w:rsidP="00B44468">
      <w:pPr>
        <w:jc w:val="both"/>
      </w:pPr>
      <w:hyperlink r:id="rId9" w:history="1">
        <w:r w:rsidR="00261482" w:rsidRPr="000215DD">
          <w:rPr>
            <w:rStyle w:val="af"/>
            <w:lang w:val="kk"/>
          </w:rPr>
          <w:t xml:space="preserve">http://www.ndda.kz ресми сайтынан көруге болады  </w:t>
        </w:r>
      </w:hyperlink>
    </w:p>
    <w:p w14:paraId="32BD788A" w14:textId="77777777" w:rsidR="00CF2D83" w:rsidRPr="005B08AC" w:rsidRDefault="00CF2D83" w:rsidP="00B44468"/>
    <w:p w14:paraId="32BD788B" w14:textId="77777777" w:rsidR="00CF2D83" w:rsidRPr="00810340" w:rsidRDefault="0054098D" w:rsidP="00EC28F8">
      <w:pPr>
        <w:spacing w:before="120"/>
        <w:outlineLvl w:val="0"/>
        <w:rPr>
          <w:b/>
        </w:rPr>
      </w:pPr>
      <w:r w:rsidRPr="00810340">
        <w:rPr>
          <w:b/>
          <w:lang w:val="kk"/>
        </w:rPr>
        <w:t xml:space="preserve">4.9 Артық дозалану </w:t>
      </w:r>
    </w:p>
    <w:p w14:paraId="42FBB89B" w14:textId="77777777" w:rsidR="00897F05" w:rsidRPr="0054098D" w:rsidRDefault="0054098D" w:rsidP="00897F05">
      <w:pPr>
        <w:jc w:val="both"/>
        <w:rPr>
          <w:lang w:val="kk"/>
        </w:rPr>
      </w:pPr>
      <w:bookmarkStart w:id="11" w:name="_Hlk94014361"/>
      <w:r w:rsidRPr="00384B82">
        <w:rPr>
          <w:lang w:val="kk"/>
        </w:rPr>
        <w:t>1960 мг дейінгі ривароксабанды қабылдағанда, артық дозаланудың сирек жағдайлары тіркелген.  Сіңірілуінің шектеулілігіне байланысты, препараттың 50 мг тең және одан жоғары емдік дозаларын қолданғанда, оның қан плазмасындағы экспозициясының ары қарай жоғарылауынсыз, концентрациясының төмен деңгейлі платосының дамуы күтіледі.</w:t>
      </w:r>
    </w:p>
    <w:p w14:paraId="4DE5F570" w14:textId="77777777" w:rsidR="00897F05" w:rsidRPr="0054098D" w:rsidRDefault="0054098D" w:rsidP="00897F05">
      <w:pPr>
        <w:jc w:val="both"/>
        <w:rPr>
          <w:lang w:val="kk"/>
        </w:rPr>
      </w:pPr>
      <w:r w:rsidRPr="00384B82">
        <w:rPr>
          <w:lang w:val="kk"/>
        </w:rPr>
        <w:t xml:space="preserve">Андексанет альфа ривароксабанның фармакодинамикалық әсерлерін бейтараптандыратын спецификалы антидоты (немесе кері әсері бар препарат) болып табылады (андексанет альфа дәрілік затының жалпы сипаттамасындағы ақпаратты қараңыз).  </w:t>
      </w:r>
    </w:p>
    <w:p w14:paraId="0A05AF72" w14:textId="77777777" w:rsidR="00897F05" w:rsidRPr="0054098D" w:rsidRDefault="0054098D" w:rsidP="00897F05">
      <w:pPr>
        <w:jc w:val="both"/>
        <w:rPr>
          <w:lang w:val="kk"/>
        </w:rPr>
      </w:pPr>
      <w:r w:rsidRPr="00384B82">
        <w:rPr>
          <w:lang w:val="kk"/>
        </w:rPr>
        <w:t xml:space="preserve">Артық дозаланған жағдайда, ривароксабанның сіңірілуін азайту үшін, белсендірілген көмірді пайдалануға болады. </w:t>
      </w:r>
    </w:p>
    <w:p w14:paraId="17284F28" w14:textId="5A56C2A0" w:rsidR="00897F05" w:rsidRPr="0054098D" w:rsidRDefault="0054098D" w:rsidP="00897F05">
      <w:pPr>
        <w:jc w:val="both"/>
        <w:rPr>
          <w:rFonts w:eastAsia="SimSun"/>
          <w:i/>
          <w:lang w:val="kk" w:eastAsia="zh-CN"/>
        </w:rPr>
      </w:pPr>
      <w:r w:rsidRPr="000F131E">
        <w:rPr>
          <w:rFonts w:eastAsia="SimSun"/>
          <w:i/>
          <w:lang w:val="kk" w:eastAsia="zh-CN"/>
        </w:rPr>
        <w:t xml:space="preserve">Қан кетулер кезіндегі </w:t>
      </w:r>
      <w:r w:rsidR="009F796B">
        <w:rPr>
          <w:rFonts w:eastAsia="SimSun"/>
          <w:i/>
          <w:lang w:val="kk-KZ" w:eastAsia="zh-CN"/>
        </w:rPr>
        <w:t>тактика</w:t>
      </w:r>
      <w:r w:rsidRPr="000F131E">
        <w:rPr>
          <w:rFonts w:eastAsia="SimSun"/>
          <w:i/>
          <w:lang w:val="kk" w:eastAsia="zh-CN"/>
        </w:rPr>
        <w:t xml:space="preserve"> </w:t>
      </w:r>
    </w:p>
    <w:p w14:paraId="0071617D" w14:textId="77777777" w:rsidR="00897F05" w:rsidRPr="0054098D" w:rsidRDefault="0054098D" w:rsidP="00897F05">
      <w:pPr>
        <w:jc w:val="both"/>
        <w:rPr>
          <w:lang w:val="kk"/>
        </w:rPr>
      </w:pPr>
      <w:r w:rsidRPr="00384B82">
        <w:rPr>
          <w:lang w:val="kk"/>
        </w:rPr>
        <w:t xml:space="preserve">Егер ривароксабанды қабылдап жүрген пациентте, қан кету түріндегі асқыну туындаса, препараттың келесі қабылдануын кейінге шегеру немесе, қажет болған жағдайда, тоқтату керек.  Ривароксабанның жартылай шығарылу кезеңі шамамен 5-13 сағатты құрайды (5.2 бөлімін қараңыз).  Емдеу қан кетудің ауырлығы мен орналасқан орнына байланысты жекелей тағайындалуы тиіс.  Қажет болған жағдайда, механикалық компрессия (мысалы, мұрыннан қан кетудің ауыр жағдайларында), қан кетуді тоқтатуға арналған емшаралармен хирургиялық гемостаз, сұйықтықтың орнын толтыру сияқты сәйкесінше симптоматикалық емді және гемодинамикалық демеу шараларын, қан препараттарын (қатарлас анемияның немесе коагулопатияның болуына байланысты, эритроциттер массасын немесе жаңадан мұздатылған плазманы) немесе тромбоциттерді құюды пайдалануға болады.  </w:t>
      </w:r>
    </w:p>
    <w:p w14:paraId="18B5B57B" w14:textId="77777777" w:rsidR="00897F05" w:rsidRPr="0054098D" w:rsidRDefault="0054098D" w:rsidP="00897F05">
      <w:pPr>
        <w:jc w:val="both"/>
        <w:rPr>
          <w:lang w:val="kk"/>
        </w:rPr>
      </w:pPr>
      <w:r w:rsidRPr="00384B82">
        <w:rPr>
          <w:lang w:val="kk"/>
        </w:rPr>
        <w:t>Егер жоғарыда атап келтірілген шаралардан кейін қан кету тыйылмаса, кері әсері бар, Ха фактор әсерін тежейтін, ривароксабанның фармакодинамикалық әсерлерін бейтараптандыратын спецификалы препаратты (андексанет альфа) тағайындауды немесе протромбин кешені концентраты (ПКК), белсендірілген протромбин кешені концентраты (БПКК) немесе рекомбинантты VIIa факторы (рФVIIa) сияқты кері әсері бар спецификалы прокоагулянттық препараттарды тағайындауды қарастыру керек.  Алайда, қазіргі кезде ривароксабанды қабылдап жүрген пациенттерде аталған препараттарды қолдану тәжірибесі шектеулі.  Нұсқаулар да клиникалық емес шектеулі деректерге негізделген.  Қан кету динамикасының жағымдылығына байланысты, рФVIIa қайтадан енгізу және титрлеу қарастырылуы тиіс.   Жергілікті деңгейде қолжетімділігіне байланысты, ауқымды қан кету жағдайында, коагулолог маманмен кеңесу мәселесін шешіп алу керек (5.1 бөлімін қараңыз).</w:t>
      </w:r>
    </w:p>
    <w:p w14:paraId="0DFFE496" w14:textId="77777777" w:rsidR="00897F05" w:rsidRPr="0054098D" w:rsidRDefault="0054098D" w:rsidP="00897F05">
      <w:pPr>
        <w:jc w:val="both"/>
        <w:rPr>
          <w:lang w:val="kk"/>
        </w:rPr>
      </w:pPr>
      <w:r>
        <w:rPr>
          <w:lang w:val="kk"/>
        </w:rPr>
        <w:t xml:space="preserve">Протамин сульфаты мен К дәрумені ривароксабанның ұюға қарсы әсеріне ықпал етпейді деп болжанады. </w:t>
      </w:r>
    </w:p>
    <w:p w14:paraId="2CF1169D" w14:textId="77777777" w:rsidR="00897F05" w:rsidRPr="0054098D" w:rsidRDefault="0054098D" w:rsidP="00897F05">
      <w:pPr>
        <w:jc w:val="both"/>
        <w:rPr>
          <w:lang w:val="kk"/>
        </w:rPr>
      </w:pPr>
      <w:r w:rsidRPr="00384B82">
        <w:rPr>
          <w:lang w:val="kk"/>
        </w:rPr>
        <w:t xml:space="preserve">Ривароксабан қабылдайтын пациенттерде транексам қышқылын, аминокапрон қышқылын және апротининді қолданудың шектеулі тәжірибесі бар. </w:t>
      </w:r>
    </w:p>
    <w:p w14:paraId="37FD4523" w14:textId="77777777" w:rsidR="00897F05" w:rsidRPr="0054098D" w:rsidRDefault="0054098D" w:rsidP="00897F05">
      <w:pPr>
        <w:jc w:val="both"/>
        <w:rPr>
          <w:lang w:val="kk"/>
        </w:rPr>
      </w:pPr>
      <w:r w:rsidRPr="00384B82">
        <w:rPr>
          <w:lang w:val="kk"/>
        </w:rPr>
        <w:t>Ривароксабан қабылдап жүрген пациенттерде десмопрессин сияқты жүйелі гемостаздық препараттарды пайдаланудың тәжірибесі немесе талапқа сай болатындығына ғылыми негіз жоқ.  Қан плазмасы ақуыздарымен қарқынды байланысатындығын ескерсек, ривароксабан диализ жүргізген кезде шығарылмайды деп күтіледі.</w:t>
      </w:r>
    </w:p>
    <w:bookmarkEnd w:id="11"/>
    <w:p w14:paraId="32BD7897" w14:textId="77777777" w:rsidR="00CF2D83" w:rsidRPr="0054098D" w:rsidRDefault="00CF2D83" w:rsidP="00CF2D83">
      <w:pPr>
        <w:rPr>
          <w:lang w:val="kk"/>
        </w:rPr>
      </w:pPr>
    </w:p>
    <w:p w14:paraId="32BD7899" w14:textId="2DBC554F" w:rsidR="00CF2D83" w:rsidRPr="00810340" w:rsidRDefault="0054098D" w:rsidP="00962CF5">
      <w:pPr>
        <w:numPr>
          <w:ilvl w:val="0"/>
          <w:numId w:val="24"/>
        </w:numPr>
        <w:shd w:val="clear" w:color="auto" w:fill="FFFFFF"/>
        <w:jc w:val="both"/>
      </w:pPr>
      <w:r w:rsidRPr="00810340">
        <w:rPr>
          <w:b/>
          <w:bCs/>
          <w:lang w:val="kk"/>
        </w:rPr>
        <w:t>ФАРМАКОЛОГИЯЛЫҚ ҚАСИЕТТЕРІ</w:t>
      </w:r>
    </w:p>
    <w:p w14:paraId="32BD789A" w14:textId="77777777" w:rsidR="00CF2D83" w:rsidRPr="00192B03" w:rsidRDefault="0054098D" w:rsidP="00CF2D83">
      <w:pPr>
        <w:shd w:val="clear" w:color="auto" w:fill="FFFFFF"/>
        <w:rPr>
          <w:b/>
          <w:bCs/>
          <w:iCs/>
        </w:rPr>
      </w:pPr>
      <w:r w:rsidRPr="00192B03">
        <w:rPr>
          <w:b/>
          <w:bCs/>
          <w:iCs/>
          <w:lang w:val="kk"/>
        </w:rPr>
        <w:lastRenderedPageBreak/>
        <w:t>5.1 Фармакодинамикалық қасиеттері</w:t>
      </w:r>
    </w:p>
    <w:p w14:paraId="32BD789D" w14:textId="7BCDAD52" w:rsidR="00D46EF7" w:rsidRPr="00962CF5" w:rsidRDefault="0054098D" w:rsidP="00512475">
      <w:pPr>
        <w:shd w:val="clear" w:color="auto" w:fill="FFFFFF"/>
        <w:jc w:val="both"/>
        <w:rPr>
          <w:bCs/>
          <w:spacing w:val="1"/>
        </w:rPr>
      </w:pPr>
      <w:r w:rsidRPr="00512475">
        <w:rPr>
          <w:b/>
          <w:spacing w:val="1"/>
          <w:lang w:val="kk"/>
        </w:rPr>
        <w:t>Фармакотерапиялық тобы:</w:t>
      </w:r>
      <w:r>
        <w:rPr>
          <w:bCs/>
          <w:spacing w:val="1"/>
          <w:lang w:val="kk"/>
        </w:rPr>
        <w:t xml:space="preserve"> </w:t>
      </w:r>
      <w:r w:rsidRPr="00810340">
        <w:rPr>
          <w:rFonts w:eastAsia="Calibri"/>
          <w:color w:val="000000"/>
          <w:lang w:val="kk" w:eastAsia="en-US"/>
        </w:rPr>
        <w:t xml:space="preserve">Тромбозға қарсы препараттар.   Ха факторының тікелей тежегіштері. Ривароксабан. </w:t>
      </w:r>
    </w:p>
    <w:p w14:paraId="1C7F0CAA" w14:textId="457F802F" w:rsidR="00962CF5" w:rsidRPr="00810340" w:rsidRDefault="0054098D" w:rsidP="00D46EF7">
      <w:pPr>
        <w:widowControl w:val="0"/>
        <w:contextualSpacing/>
        <w:jc w:val="both"/>
        <w:rPr>
          <w:rFonts w:eastAsia="Calibri"/>
          <w:color w:val="000000"/>
          <w:lang w:eastAsia="en-US"/>
        </w:rPr>
      </w:pPr>
      <w:r w:rsidRPr="00810340">
        <w:rPr>
          <w:rFonts w:eastAsia="Calibri"/>
          <w:color w:val="000000"/>
          <w:lang w:val="kk" w:eastAsia="en-US"/>
        </w:rPr>
        <w:t>АТХ коды В01AF01</w:t>
      </w:r>
    </w:p>
    <w:p w14:paraId="32BD789F" w14:textId="77777777" w:rsidR="00D46EF7" w:rsidRPr="00810340" w:rsidRDefault="0054098D" w:rsidP="00D46EF7">
      <w:pPr>
        <w:jc w:val="both"/>
        <w:rPr>
          <w:i/>
        </w:rPr>
      </w:pPr>
      <w:bookmarkStart w:id="12" w:name="_Toc197932937"/>
      <w:r w:rsidRPr="00810340">
        <w:rPr>
          <w:i/>
          <w:lang w:val="kk"/>
        </w:rPr>
        <w:t>Әсер ету механизмі</w:t>
      </w:r>
    </w:p>
    <w:p w14:paraId="32BD78A0" w14:textId="77777777" w:rsidR="00D46EF7" w:rsidRPr="00810340" w:rsidRDefault="0054098D" w:rsidP="00D46EF7">
      <w:pPr>
        <w:autoSpaceDE w:val="0"/>
        <w:autoSpaceDN w:val="0"/>
        <w:adjustRightInd w:val="0"/>
        <w:jc w:val="both"/>
      </w:pPr>
      <w:r w:rsidRPr="00810340">
        <w:rPr>
          <w:lang w:val="kk"/>
        </w:rPr>
        <w:t xml:space="preserve">Ривароксабан – пероральді қабылдаған кезде жоғары биожетімділігі бар, Ха факторының жоғары іріктелген синтетикалық тікелей тежегіші. </w:t>
      </w:r>
    </w:p>
    <w:p w14:paraId="5115A28F" w14:textId="476555DA" w:rsidR="00962CF5" w:rsidRPr="0054098D" w:rsidRDefault="0054098D" w:rsidP="00D46EF7">
      <w:pPr>
        <w:jc w:val="both"/>
        <w:rPr>
          <w:lang w:val="kk"/>
        </w:rPr>
      </w:pPr>
      <w:r w:rsidRPr="00810340">
        <w:rPr>
          <w:lang w:val="kk"/>
        </w:rPr>
        <w:t xml:space="preserve">Xа факторының тежелуі қан ұю каскадының ішкі және сыртқы жолдарын үзеді, ол тромбин түзілуінің де, тромбылардың пайда болуының да бәсеңдеуіне алып келеді.  Ривароксабан тромбинді (белсендірілген II фактор) тежемейді және тромбоциттерге әсер етпейді.  </w:t>
      </w:r>
    </w:p>
    <w:bookmarkEnd w:id="12"/>
    <w:p w14:paraId="32BD78A2" w14:textId="77777777" w:rsidR="00D46EF7" w:rsidRPr="0054098D" w:rsidRDefault="0054098D" w:rsidP="00D46EF7">
      <w:pPr>
        <w:jc w:val="both"/>
        <w:rPr>
          <w:lang w:val="kk"/>
        </w:rPr>
      </w:pPr>
      <w:r w:rsidRPr="00810340">
        <w:rPr>
          <w:i/>
          <w:kern w:val="32"/>
          <w:lang w:val="kk"/>
        </w:rPr>
        <w:t>Фармакодинамикалық әсерлері</w:t>
      </w:r>
    </w:p>
    <w:p w14:paraId="32BD78A5" w14:textId="2C7FF0ED" w:rsidR="00A96741" w:rsidRPr="0054098D" w:rsidRDefault="0054098D" w:rsidP="00A96741">
      <w:pPr>
        <w:jc w:val="both"/>
        <w:rPr>
          <w:lang w:val="kk"/>
        </w:rPr>
      </w:pPr>
      <w:r w:rsidRPr="00810340">
        <w:rPr>
          <w:lang w:val="kk"/>
        </w:rPr>
        <w:t xml:space="preserve">Адамда  Ха факторының дозаға тәуелді тежелуі байқалады. Егер талдау үшін Neoplastin реагенті пайдаланылса, ривароксабан плазмадағы концентрацияларымен өзара тығыз байланыстағы протромбин уақытына дозаға тәуелді әсер береді.  Басқа реагенттерді пайдаланғанда нәтижелері өзгеше болуы мүмкін.    </w:t>
      </w:r>
      <w:bookmarkStart w:id="13" w:name="_Hlk19878350"/>
      <w:r w:rsidRPr="00810340">
        <w:rPr>
          <w:lang w:val="kk"/>
        </w:rPr>
        <w:t>Протромбин уақытын (ПУ) секундтармен анықтау керек, өйткені ХҚҚ (халықаралық қалыптастырылған қатынас) тек кумариндер үшін калибрленген</w:t>
      </w:r>
      <w:bookmarkEnd w:id="13"/>
      <w:r w:rsidRPr="00810340">
        <w:rPr>
          <w:lang w:val="kk"/>
        </w:rPr>
        <w:t xml:space="preserve"> және валидацияланған және басқа антикоагулянттар үшін қолдануға болмайды.    Ауқымды ортопедиялық операция жасалған пациенттерде таблетканы қабылдағаннан кейін 2-4 сағат өткен соң (яғни ең жоғары әсерінде) ПУ (Neoplastin) үшін 5/95 - процентильдер 13-тен 25 с дейін (операцияға дейінгі базалық мәндер -12–15 с) ауытқыды.</w:t>
      </w:r>
    </w:p>
    <w:p w14:paraId="32BD78A6" w14:textId="3937FB8B" w:rsidR="00DE15DC" w:rsidRPr="0054098D" w:rsidRDefault="0054098D" w:rsidP="00DE15DC">
      <w:pPr>
        <w:autoSpaceDE w:val="0"/>
        <w:autoSpaceDN w:val="0"/>
        <w:adjustRightInd w:val="0"/>
        <w:jc w:val="both"/>
        <w:rPr>
          <w:lang w:val="kk"/>
        </w:rPr>
      </w:pPr>
      <w:bookmarkStart w:id="14" w:name="_Hlk19878705"/>
      <w:r w:rsidRPr="00810340">
        <w:rPr>
          <w:lang w:val="kk"/>
        </w:rPr>
        <w:t xml:space="preserve">Дені сау ересек субъектілер (n=22) арасында ривароксабан фармакодинамикасының қайтымдылығын клиникалық фармакологиялық зерттеуде, протромбин кешені концентратының (ПКК) екі түрлі типінің, 3-факторлы (II, IX және X факторлары) ПКК мен 4-факторлы ПКК (II, VII, IX және X факторлары) бір рет (50 ХБ/кг) енгізуден кейінгі әсерлері бағаланды.   </w:t>
      </w:r>
    </w:p>
    <w:p w14:paraId="32BD78A7" w14:textId="073E6695" w:rsidR="00A96741" w:rsidRPr="0054098D" w:rsidRDefault="0054098D" w:rsidP="009E692C">
      <w:pPr>
        <w:autoSpaceDE w:val="0"/>
        <w:autoSpaceDN w:val="0"/>
        <w:adjustRightInd w:val="0"/>
        <w:jc w:val="both"/>
        <w:rPr>
          <w:lang w:val="kk"/>
        </w:rPr>
      </w:pPr>
      <w:r w:rsidRPr="00810340">
        <w:rPr>
          <w:lang w:val="kk"/>
        </w:rPr>
        <w:t xml:space="preserve">Дені сау ересек субъектілерде (n=22) ривароксабанды енгізгеннен кейін Neoplastin0 жинағын пайдаланып анықталған ПУ орташа мәндері, 3-факторлы (II, IX және X факторлары) протромбин кешені концентратын (ПКК) енгізген кезде 30 минут ішінде 1,0 секундқа және 4-факторлы (II, VII, IX және X факторлары) ПКК аясында шамамен 3,5 секундқа төмендейді. Және керісінше, 4-факторлы ПКК қарағанда, 3-факторлы ПКК тромбиннің эндогендік генерациясындағы өзгерістерге  елеулірек және жылдамырақ жалпы әсер береді (4.9 бөлімін қараңыз).  </w:t>
      </w:r>
    </w:p>
    <w:bookmarkEnd w:id="14"/>
    <w:p w14:paraId="32BD78A9" w14:textId="6A60752A" w:rsidR="00A96741" w:rsidRPr="0054098D" w:rsidRDefault="0054098D" w:rsidP="00D46EF7">
      <w:pPr>
        <w:jc w:val="both"/>
        <w:rPr>
          <w:i/>
          <w:iCs/>
          <w:lang w:val="kk"/>
        </w:rPr>
      </w:pPr>
      <w:r w:rsidRPr="00810340">
        <w:rPr>
          <w:lang w:val="kk"/>
        </w:rPr>
        <w:t xml:space="preserve">Сонымен қатар, ривароксабан ішінара белсенділенген тромбопластин уақыты (ІБТУ) мен HepTest нәтижесін дозаға тәуелді арттырады; алайда, бұл параметрлерді ривароксабанның фармакодинамикалық әсерлерін бағалау үшін пайдалану ұсынылмайды.  Ривароксабанмен емдеу кезінде қан ұю параметрлеріне дағдылы мониторинг жүргізу қажет емес.  Алайда, клиникада қолданылуы кезінде ривароксабанның деңгейін Ха факторына қарсы белсенділікті анықтауға арналған калибрленген сандық тестінің көмегімен анықтауға болады (5.2 бөлімін қараңыз).    </w:t>
      </w:r>
    </w:p>
    <w:p w14:paraId="32BD78AA" w14:textId="77777777" w:rsidR="00945A0C" w:rsidRPr="0054098D" w:rsidRDefault="0054098D" w:rsidP="00962CF5">
      <w:pPr>
        <w:jc w:val="both"/>
        <w:rPr>
          <w:bCs/>
          <w:i/>
          <w:lang w:val="kk"/>
        </w:rPr>
      </w:pPr>
      <w:r w:rsidRPr="00962CF5">
        <w:rPr>
          <w:i/>
          <w:lang w:val="kk"/>
        </w:rPr>
        <w:t>Клиникалық тиімділігі және қауіпсіздігі</w:t>
      </w:r>
    </w:p>
    <w:p w14:paraId="32BD78AD" w14:textId="77777777" w:rsidR="00945A0C" w:rsidRPr="0054098D" w:rsidRDefault="0054098D" w:rsidP="00962CF5">
      <w:pPr>
        <w:jc w:val="both"/>
        <w:rPr>
          <w:rFonts w:eastAsia="Calibri"/>
          <w:lang w:val="kk"/>
        </w:rPr>
      </w:pPr>
      <w:r w:rsidRPr="00810340">
        <w:rPr>
          <w:i/>
          <w:lang w:val="kk" w:bidi="ru-RU"/>
        </w:rPr>
        <w:t>Ұршықбуынды немесе тізебуынды жоспарлы протездеуден кейінгі ересек пациенттерде ВТЭ профилактикасы</w:t>
      </w:r>
    </w:p>
    <w:p w14:paraId="32BD78AE" w14:textId="5D08C123" w:rsidR="00945A0C" w:rsidRPr="0054098D" w:rsidRDefault="0054098D" w:rsidP="00962CF5">
      <w:pPr>
        <w:jc w:val="both"/>
        <w:rPr>
          <w:rFonts w:eastAsia="Calibri"/>
          <w:lang w:val="kk"/>
        </w:rPr>
      </w:pPr>
      <w:r w:rsidRPr="00810340">
        <w:rPr>
          <w:lang w:val="kk" w:bidi="ru-RU"/>
        </w:rPr>
        <w:t>Ривароксабанға арналған клиникалық бағдарлама веналық тромбоэмболияның (ВТЭ), яғни терең веналардың проксимальдық және дистальдық тромбозының (ТВТ) және өкпе артериясы тромбоэмболиясының (ӨАТЭ) профилактикасы үшін ривароксабанның тиімділігін көрсету үшін әзірленді. RECORD бағдарламасы шеңберінде III фазадағы бақыланатын рандомизацияланған жасырын салыстырмалы клиникалық зерттеулер сериясында 9 500-ден астам пациент (ұршықбуыны жаппай эндопротезделген 7 050, тізебуыны жаппай эндопротезделген 2531) қатысты</w:t>
      </w:r>
    </w:p>
    <w:p w14:paraId="32BD78AF" w14:textId="00E17375" w:rsidR="00945A0C" w:rsidRPr="0054098D" w:rsidRDefault="0054098D" w:rsidP="00962CF5">
      <w:pPr>
        <w:jc w:val="both"/>
        <w:rPr>
          <w:rFonts w:eastAsia="Calibri"/>
          <w:lang w:val="kk"/>
        </w:rPr>
      </w:pPr>
      <w:r>
        <w:rPr>
          <w:rFonts w:eastAsia="Calibri"/>
          <w:lang w:val="kk"/>
        </w:rPr>
        <w:t>Тәулігіне бір рет 10 мг дозадағы ривароксабан, оны қабылдау операциядан кейін 6 сағаттан ерте басталмады, күніне бір рет тері астына 40 мг эноксапаринмен салыстырылды, оны қолдану операциядан 12 сағат бұрын басталды.</w:t>
      </w:r>
    </w:p>
    <w:p w14:paraId="32BD78B0" w14:textId="07B52E5F" w:rsidR="00945A0C" w:rsidRPr="0054098D" w:rsidRDefault="0054098D" w:rsidP="00962CF5">
      <w:pPr>
        <w:jc w:val="both"/>
        <w:rPr>
          <w:rFonts w:eastAsia="Calibri"/>
          <w:lang w:val="kk"/>
        </w:rPr>
      </w:pPr>
      <w:r w:rsidRPr="00810340">
        <w:rPr>
          <w:rFonts w:eastAsia="Calibri"/>
          <w:lang w:val="kk"/>
        </w:rPr>
        <w:lastRenderedPageBreak/>
        <w:t xml:space="preserve">ІІІ фазадағы барлық үш зерттеуде </w:t>
      </w:r>
      <w:r w:rsidRPr="00810340">
        <w:rPr>
          <w:rFonts w:eastAsia="Calibri"/>
          <w:i/>
          <w:iCs/>
          <w:lang w:val="kk"/>
        </w:rPr>
        <w:t xml:space="preserve"> (</w:t>
      </w:r>
      <w:r w:rsidRPr="00810340">
        <w:rPr>
          <w:rFonts w:eastAsia="Calibri"/>
          <w:lang w:val="kk"/>
        </w:rPr>
        <w:t xml:space="preserve">4-кестені қараңыз) ривароксабанмен емдеуде алдын ала анықталған тиімділігінің бастапқы ақырғы нүктелері және негізгі екіншілік ақырғы нүктелері болған ВТЭ (венографиялық анықталған кез келген немесе симптомдық ТВТ, өлімге әкелмейтін ӨАТЭ немесе өлім) және ауыр ВТЭ (проксимальдық ТВТ, өлімге әкелмейтін ӨАТЭ және ВТЭ-мен байланысты өлім) жағдайларының туындау жиілігі статистикалық маңызды түрде төмендеді. Сонымен қатар, барлық үш зерттеуде эноксапарин қабылдаған пациенттерге қарағанда ривароксабан қабылдайтын пациенттер арасында ВТЭ симптоматикалық жағдайларының туындау жиілігі (симптомдық ТВТ, өлімге әкелмейтін ӨАТЭ, ВТЭ-мен байланысты өлім) төмен болды. </w:t>
      </w:r>
    </w:p>
    <w:p w14:paraId="32BD78B2" w14:textId="1314AA76" w:rsidR="00945A0C" w:rsidRPr="0054098D" w:rsidRDefault="0054098D" w:rsidP="00815981">
      <w:pPr>
        <w:jc w:val="both"/>
        <w:rPr>
          <w:rFonts w:eastAsia="Calibri"/>
          <w:lang w:val="kk"/>
        </w:rPr>
      </w:pPr>
      <w:r w:rsidRPr="00810340">
        <w:rPr>
          <w:rFonts w:eastAsia="Calibri"/>
          <w:lang w:val="kk"/>
        </w:rPr>
        <w:t>Қауіпсіздігінің негізгі ақырғы нүктесі – үлкен қан кету оқиғаларының жиілігі 40 мг эноксапарин қабылдаған пациенттермен салыстырғанда 10 мг ривароксабан қабылдаған  пациенттерде салыстырмалы болды.</w:t>
      </w:r>
    </w:p>
    <w:p w14:paraId="32BD78B3" w14:textId="72249A9E" w:rsidR="00945A0C" w:rsidRPr="0054098D" w:rsidRDefault="0054098D" w:rsidP="00815981">
      <w:pPr>
        <w:spacing w:after="120"/>
        <w:rPr>
          <w:rFonts w:eastAsia="Calibri"/>
          <w:b/>
          <w:lang w:val="kk"/>
        </w:rPr>
      </w:pPr>
      <w:r w:rsidRPr="00810340">
        <w:rPr>
          <w:rFonts w:eastAsia="Calibri"/>
          <w:b/>
          <w:lang w:val="kk"/>
        </w:rPr>
        <w:t>4-кесте: III фазадағы клиникалық зерттеулердегі тиімділігі және қауіпсіздігі</w:t>
      </w:r>
    </w:p>
    <w:tbl>
      <w:tblPr>
        <w:tblW w:w="9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134"/>
        <w:gridCol w:w="992"/>
        <w:gridCol w:w="851"/>
        <w:gridCol w:w="936"/>
        <w:gridCol w:w="906"/>
        <w:gridCol w:w="851"/>
        <w:gridCol w:w="778"/>
        <w:gridCol w:w="923"/>
        <w:gridCol w:w="768"/>
      </w:tblGrid>
      <w:tr w:rsidR="00234FE7" w14:paraId="32BD78B8" w14:textId="77777777" w:rsidTr="00F406CD">
        <w:tc>
          <w:tcPr>
            <w:tcW w:w="1526" w:type="dxa"/>
            <w:shd w:val="clear" w:color="auto" w:fill="auto"/>
          </w:tcPr>
          <w:p w14:paraId="32BD78B4" w14:textId="77777777" w:rsidR="00945A0C" w:rsidRPr="0054098D" w:rsidRDefault="00945A0C" w:rsidP="00945A0C">
            <w:pPr>
              <w:ind w:left="-57" w:right="-57"/>
              <w:jc w:val="center"/>
              <w:rPr>
                <w:rFonts w:eastAsia="Calibri"/>
                <w:b/>
                <w:lang w:val="kk"/>
              </w:rPr>
            </w:pPr>
          </w:p>
        </w:tc>
        <w:tc>
          <w:tcPr>
            <w:tcW w:w="2977" w:type="dxa"/>
            <w:gridSpan w:val="3"/>
            <w:shd w:val="clear" w:color="auto" w:fill="auto"/>
          </w:tcPr>
          <w:p w14:paraId="32BD78B5" w14:textId="77777777" w:rsidR="00945A0C" w:rsidRPr="00815981" w:rsidRDefault="0054098D" w:rsidP="00945A0C">
            <w:pPr>
              <w:ind w:left="-57" w:right="-57"/>
              <w:jc w:val="center"/>
              <w:rPr>
                <w:rFonts w:eastAsia="Calibri"/>
                <w:b/>
              </w:rPr>
            </w:pPr>
            <w:r w:rsidRPr="00815981">
              <w:rPr>
                <w:rFonts w:eastAsia="Calibri"/>
                <w:b/>
                <w:lang w:val="kk"/>
              </w:rPr>
              <w:t>RECORD 1</w:t>
            </w:r>
          </w:p>
        </w:tc>
        <w:tc>
          <w:tcPr>
            <w:tcW w:w="2693" w:type="dxa"/>
            <w:gridSpan w:val="3"/>
            <w:shd w:val="clear" w:color="auto" w:fill="auto"/>
          </w:tcPr>
          <w:p w14:paraId="32BD78B6" w14:textId="77777777" w:rsidR="00945A0C" w:rsidRPr="00815981" w:rsidRDefault="0054098D" w:rsidP="00945A0C">
            <w:pPr>
              <w:ind w:left="-57" w:right="-57"/>
              <w:jc w:val="center"/>
              <w:rPr>
                <w:rFonts w:eastAsia="Calibri"/>
                <w:b/>
              </w:rPr>
            </w:pPr>
            <w:r w:rsidRPr="00815981">
              <w:rPr>
                <w:rFonts w:eastAsia="Calibri"/>
                <w:b/>
                <w:lang w:val="kk"/>
              </w:rPr>
              <w:t>RECORD 2</w:t>
            </w:r>
          </w:p>
        </w:tc>
        <w:tc>
          <w:tcPr>
            <w:tcW w:w="2469" w:type="dxa"/>
            <w:gridSpan w:val="3"/>
            <w:shd w:val="clear" w:color="auto" w:fill="auto"/>
          </w:tcPr>
          <w:p w14:paraId="32BD78B7" w14:textId="77777777" w:rsidR="00945A0C" w:rsidRPr="00815981" w:rsidRDefault="0054098D" w:rsidP="00945A0C">
            <w:pPr>
              <w:ind w:left="-57" w:right="-57"/>
              <w:jc w:val="center"/>
              <w:rPr>
                <w:rFonts w:eastAsia="Calibri"/>
                <w:b/>
              </w:rPr>
            </w:pPr>
            <w:r w:rsidRPr="00815981">
              <w:rPr>
                <w:rFonts w:eastAsia="Calibri"/>
                <w:b/>
                <w:lang w:val="kk"/>
              </w:rPr>
              <w:t>RECORD 3</w:t>
            </w:r>
          </w:p>
        </w:tc>
      </w:tr>
      <w:tr w:rsidR="00234FE7" w14:paraId="32BD78C1" w14:textId="77777777" w:rsidTr="00F406CD">
        <w:tc>
          <w:tcPr>
            <w:tcW w:w="1526" w:type="dxa"/>
            <w:shd w:val="clear" w:color="auto" w:fill="auto"/>
          </w:tcPr>
          <w:p w14:paraId="32BD78B9" w14:textId="77777777" w:rsidR="00945A0C" w:rsidRPr="00815981" w:rsidRDefault="0054098D" w:rsidP="00945A0C">
            <w:pPr>
              <w:ind w:left="-57" w:right="-57"/>
              <w:jc w:val="center"/>
              <w:rPr>
                <w:rFonts w:eastAsia="Calibri"/>
                <w:b/>
              </w:rPr>
            </w:pPr>
            <w:r w:rsidRPr="00815981">
              <w:rPr>
                <w:rFonts w:eastAsia="Calibri"/>
                <w:b/>
                <w:lang w:val="kk"/>
              </w:rPr>
              <w:t>Зерттелетін популяция</w:t>
            </w:r>
          </w:p>
        </w:tc>
        <w:tc>
          <w:tcPr>
            <w:tcW w:w="2977" w:type="dxa"/>
            <w:gridSpan w:val="3"/>
            <w:shd w:val="clear" w:color="auto" w:fill="auto"/>
          </w:tcPr>
          <w:p w14:paraId="32BD78BA" w14:textId="77777777" w:rsidR="00945A0C" w:rsidRPr="00815981" w:rsidRDefault="0054098D" w:rsidP="00945A0C">
            <w:pPr>
              <w:ind w:left="-57" w:right="-57"/>
              <w:jc w:val="center"/>
              <w:rPr>
                <w:rFonts w:eastAsia="Calibri"/>
                <w:b/>
              </w:rPr>
            </w:pPr>
            <w:r w:rsidRPr="00815981">
              <w:rPr>
                <w:rFonts w:eastAsia="Calibri"/>
                <w:b/>
                <w:lang w:val="kk"/>
              </w:rPr>
              <w:t>Ұршықбуынды жаппай эндопротездеуді өткерген 4541 пациент</w:t>
            </w:r>
          </w:p>
          <w:p w14:paraId="32BD78BB" w14:textId="77777777" w:rsidR="00945A0C" w:rsidRPr="00815981" w:rsidRDefault="0054098D" w:rsidP="00945A0C">
            <w:pPr>
              <w:ind w:left="-57" w:right="-57"/>
              <w:jc w:val="center"/>
              <w:rPr>
                <w:rFonts w:eastAsia="Calibri"/>
                <w:b/>
              </w:rPr>
            </w:pPr>
            <w:r w:rsidRPr="00815981">
              <w:rPr>
                <w:rFonts w:eastAsia="Calibri"/>
                <w:b/>
                <w:lang w:val="kk"/>
              </w:rPr>
              <w:t>(ҰБЖЭ)</w:t>
            </w:r>
          </w:p>
          <w:p w14:paraId="32BD78BC" w14:textId="77777777" w:rsidR="00945A0C" w:rsidRPr="00815981" w:rsidRDefault="00945A0C" w:rsidP="00945A0C">
            <w:pPr>
              <w:ind w:left="-57" w:right="-57"/>
              <w:jc w:val="center"/>
              <w:rPr>
                <w:rFonts w:eastAsia="Calibri"/>
                <w:b/>
              </w:rPr>
            </w:pPr>
          </w:p>
        </w:tc>
        <w:tc>
          <w:tcPr>
            <w:tcW w:w="2693" w:type="dxa"/>
            <w:gridSpan w:val="3"/>
            <w:shd w:val="clear" w:color="auto" w:fill="auto"/>
          </w:tcPr>
          <w:p w14:paraId="32BD78BD" w14:textId="77777777" w:rsidR="00945A0C" w:rsidRPr="00815981" w:rsidRDefault="0054098D" w:rsidP="00945A0C">
            <w:pPr>
              <w:ind w:left="-57" w:right="-57"/>
              <w:jc w:val="center"/>
              <w:rPr>
                <w:rFonts w:eastAsia="Calibri"/>
                <w:b/>
              </w:rPr>
            </w:pPr>
            <w:r w:rsidRPr="00815981">
              <w:rPr>
                <w:rFonts w:eastAsia="Calibri"/>
                <w:b/>
                <w:lang w:val="kk"/>
              </w:rPr>
              <w:t>Ұршықбуынды жаппай эндопротездеуді (ҰБЖЭ) өткерген 2509 пациент</w:t>
            </w:r>
          </w:p>
        </w:tc>
        <w:tc>
          <w:tcPr>
            <w:tcW w:w="2469" w:type="dxa"/>
            <w:gridSpan w:val="3"/>
            <w:shd w:val="clear" w:color="auto" w:fill="auto"/>
          </w:tcPr>
          <w:p w14:paraId="32BD78BE" w14:textId="77777777" w:rsidR="00945A0C" w:rsidRPr="00815981" w:rsidRDefault="0054098D" w:rsidP="00945A0C">
            <w:pPr>
              <w:ind w:left="-57" w:right="-57"/>
              <w:jc w:val="center"/>
              <w:rPr>
                <w:rFonts w:eastAsia="Calibri"/>
                <w:b/>
                <w:lang w:val="kk-KZ"/>
              </w:rPr>
            </w:pPr>
            <w:r w:rsidRPr="00815981">
              <w:rPr>
                <w:rFonts w:eastAsia="Calibri"/>
                <w:b/>
                <w:lang w:val="kk"/>
              </w:rPr>
              <w:t>Тізебуынды жаппай эндопротездеуді (ТБЖЭ) өткерген 2531 пациент</w:t>
            </w:r>
          </w:p>
          <w:p w14:paraId="32BD78BF" w14:textId="77777777" w:rsidR="00945A0C" w:rsidRPr="00815981" w:rsidRDefault="00945A0C" w:rsidP="00945A0C">
            <w:pPr>
              <w:ind w:left="-57" w:right="-57"/>
              <w:jc w:val="center"/>
              <w:rPr>
                <w:rFonts w:eastAsia="Calibri"/>
                <w:b/>
              </w:rPr>
            </w:pPr>
          </w:p>
          <w:p w14:paraId="32BD78C0" w14:textId="77777777" w:rsidR="00945A0C" w:rsidRPr="00815981" w:rsidRDefault="00945A0C" w:rsidP="00945A0C">
            <w:pPr>
              <w:ind w:left="-57" w:right="-57"/>
              <w:jc w:val="center"/>
              <w:rPr>
                <w:rFonts w:eastAsia="Calibri"/>
                <w:b/>
              </w:rPr>
            </w:pPr>
          </w:p>
        </w:tc>
      </w:tr>
      <w:tr w:rsidR="00234FE7" w14:paraId="32BD78D7" w14:textId="77777777" w:rsidTr="00F406CD">
        <w:tc>
          <w:tcPr>
            <w:tcW w:w="1526" w:type="dxa"/>
            <w:shd w:val="clear" w:color="auto" w:fill="auto"/>
          </w:tcPr>
          <w:p w14:paraId="32BD78C2" w14:textId="77777777" w:rsidR="00945A0C" w:rsidRPr="00815981" w:rsidRDefault="0054098D" w:rsidP="00F406CD">
            <w:pPr>
              <w:shd w:val="clear" w:color="auto" w:fill="FFFFFF"/>
              <w:spacing w:line="202" w:lineRule="exact"/>
              <w:ind w:left="-58" w:right="-58" w:hanging="84"/>
              <w:contextualSpacing/>
              <w:jc w:val="center"/>
              <w:rPr>
                <w:rFonts w:eastAsia="Calibri"/>
              </w:rPr>
            </w:pPr>
            <w:r w:rsidRPr="00815981">
              <w:rPr>
                <w:rFonts w:eastAsia="Calibri"/>
                <w:lang w:val="kk"/>
              </w:rPr>
              <w:t>Емнің дозасы және ұзақтығы</w:t>
            </w:r>
          </w:p>
        </w:tc>
        <w:tc>
          <w:tcPr>
            <w:tcW w:w="1134" w:type="dxa"/>
            <w:shd w:val="clear" w:color="auto" w:fill="auto"/>
          </w:tcPr>
          <w:p w14:paraId="32BD78C3" w14:textId="77777777" w:rsidR="00945A0C" w:rsidRPr="00815981" w:rsidRDefault="0054098D" w:rsidP="00F406CD">
            <w:pPr>
              <w:shd w:val="clear" w:color="auto" w:fill="FFFFFF"/>
              <w:spacing w:line="202" w:lineRule="exact"/>
              <w:ind w:left="-58" w:right="-58" w:firstLine="58"/>
              <w:contextualSpacing/>
              <w:jc w:val="center"/>
              <w:rPr>
                <w:rFonts w:eastAsia="Calibri"/>
              </w:rPr>
            </w:pPr>
            <w:r w:rsidRPr="00815981">
              <w:rPr>
                <w:rFonts w:eastAsia="Calibri"/>
                <w:lang w:val="kk"/>
              </w:rPr>
              <w:t>Ривароксабан 10 мг тәулігіне 1 рет</w:t>
            </w:r>
          </w:p>
          <w:p w14:paraId="32BD78C4" w14:textId="77777777" w:rsidR="00945A0C" w:rsidRPr="00815981" w:rsidRDefault="0054098D" w:rsidP="00945A0C">
            <w:pPr>
              <w:shd w:val="clear" w:color="auto" w:fill="FFFFFF"/>
              <w:spacing w:line="202" w:lineRule="exact"/>
              <w:ind w:left="-58" w:right="-58" w:hanging="180"/>
              <w:contextualSpacing/>
              <w:jc w:val="center"/>
              <w:rPr>
                <w:rFonts w:eastAsia="Calibri"/>
              </w:rPr>
            </w:pPr>
            <w:r w:rsidRPr="00815981">
              <w:rPr>
                <w:rFonts w:eastAsia="Calibri"/>
                <w:lang w:val="kk"/>
              </w:rPr>
              <w:t>35 ± 4 күн</w:t>
            </w:r>
          </w:p>
        </w:tc>
        <w:tc>
          <w:tcPr>
            <w:tcW w:w="992" w:type="dxa"/>
            <w:shd w:val="clear" w:color="auto" w:fill="auto"/>
          </w:tcPr>
          <w:p w14:paraId="32BD78C5" w14:textId="77777777" w:rsidR="00945A0C" w:rsidRPr="00815981" w:rsidRDefault="0054098D" w:rsidP="00F406CD">
            <w:pPr>
              <w:shd w:val="clear" w:color="auto" w:fill="FFFFFF"/>
              <w:spacing w:line="202" w:lineRule="exact"/>
              <w:ind w:left="-58" w:right="-58" w:hanging="44"/>
              <w:contextualSpacing/>
              <w:jc w:val="center"/>
              <w:rPr>
                <w:rFonts w:eastAsia="Calibri"/>
              </w:rPr>
            </w:pPr>
            <w:r w:rsidRPr="00815981">
              <w:rPr>
                <w:rFonts w:eastAsia="Calibri"/>
                <w:lang w:val="kk"/>
              </w:rPr>
              <w:t>Энокса-парин 40 мг</w:t>
            </w:r>
          </w:p>
          <w:p w14:paraId="32BD78C6" w14:textId="77777777" w:rsidR="00945A0C" w:rsidRPr="00815981" w:rsidRDefault="0054098D" w:rsidP="00945A0C">
            <w:pPr>
              <w:shd w:val="clear" w:color="auto" w:fill="FFFFFF"/>
              <w:spacing w:line="202" w:lineRule="exact"/>
              <w:ind w:left="-58" w:right="-58" w:hanging="180"/>
              <w:contextualSpacing/>
              <w:jc w:val="center"/>
              <w:rPr>
                <w:rFonts w:eastAsia="Calibri"/>
              </w:rPr>
            </w:pPr>
            <w:r w:rsidRPr="00815981">
              <w:rPr>
                <w:rFonts w:eastAsia="Calibri"/>
                <w:lang w:val="kk"/>
              </w:rPr>
              <w:t xml:space="preserve"> тәулігіне 1 рет</w:t>
            </w:r>
          </w:p>
          <w:p w14:paraId="32BD78C7" w14:textId="77777777" w:rsidR="00945A0C" w:rsidRPr="00815981" w:rsidRDefault="0054098D" w:rsidP="00945A0C">
            <w:pPr>
              <w:shd w:val="clear" w:color="auto" w:fill="FFFFFF"/>
              <w:spacing w:line="202" w:lineRule="exact"/>
              <w:ind w:left="-58" w:right="-58" w:hanging="180"/>
              <w:contextualSpacing/>
              <w:jc w:val="center"/>
              <w:rPr>
                <w:rFonts w:eastAsia="Calibri"/>
              </w:rPr>
            </w:pPr>
            <w:r w:rsidRPr="00815981">
              <w:rPr>
                <w:rFonts w:eastAsia="Calibri"/>
                <w:lang w:val="kk"/>
              </w:rPr>
              <w:t>35 ± 4 күн</w:t>
            </w:r>
          </w:p>
        </w:tc>
        <w:tc>
          <w:tcPr>
            <w:tcW w:w="851" w:type="dxa"/>
            <w:shd w:val="clear" w:color="auto" w:fill="auto"/>
          </w:tcPr>
          <w:p w14:paraId="32BD78C8" w14:textId="77777777" w:rsidR="00945A0C" w:rsidRPr="00815981" w:rsidRDefault="0054098D" w:rsidP="00F406CD">
            <w:pPr>
              <w:shd w:val="clear" w:color="auto" w:fill="FFFFFF"/>
              <w:spacing w:line="202" w:lineRule="exact"/>
              <w:ind w:left="-58" w:right="-58" w:hanging="103"/>
              <w:contextualSpacing/>
              <w:jc w:val="center"/>
              <w:rPr>
                <w:rFonts w:eastAsia="Calibri"/>
              </w:rPr>
            </w:pPr>
            <w:r w:rsidRPr="00815981">
              <w:rPr>
                <w:rFonts w:eastAsia="Calibri"/>
                <w:lang w:val="kk"/>
              </w:rPr>
              <w:t>P</w:t>
            </w:r>
          </w:p>
        </w:tc>
        <w:tc>
          <w:tcPr>
            <w:tcW w:w="936" w:type="dxa"/>
            <w:shd w:val="clear" w:color="auto" w:fill="auto"/>
          </w:tcPr>
          <w:p w14:paraId="32BD78C9" w14:textId="77777777" w:rsidR="00945A0C" w:rsidRPr="00815981" w:rsidRDefault="0054098D" w:rsidP="00F406CD">
            <w:pPr>
              <w:shd w:val="clear" w:color="auto" w:fill="FFFFFF"/>
              <w:spacing w:line="202" w:lineRule="exact"/>
              <w:ind w:left="-58" w:right="-58" w:hanging="103"/>
              <w:contextualSpacing/>
              <w:jc w:val="center"/>
              <w:rPr>
                <w:rFonts w:eastAsia="Calibri"/>
              </w:rPr>
            </w:pPr>
            <w:r w:rsidRPr="00815981">
              <w:rPr>
                <w:rFonts w:eastAsia="Calibri"/>
                <w:lang w:val="kk"/>
              </w:rPr>
              <w:t xml:space="preserve">Риварок-сабан 10 мг </w:t>
            </w:r>
          </w:p>
          <w:p w14:paraId="32BD78CA" w14:textId="77777777" w:rsidR="00945A0C" w:rsidRPr="00815981" w:rsidRDefault="0054098D" w:rsidP="00F406CD">
            <w:pPr>
              <w:shd w:val="clear" w:color="auto" w:fill="FFFFFF"/>
              <w:spacing w:line="202" w:lineRule="exact"/>
              <w:ind w:left="-58" w:right="-58" w:hanging="103"/>
              <w:contextualSpacing/>
              <w:jc w:val="center"/>
              <w:rPr>
                <w:rFonts w:eastAsia="Calibri"/>
              </w:rPr>
            </w:pPr>
            <w:r w:rsidRPr="00815981">
              <w:rPr>
                <w:rFonts w:eastAsia="Calibri"/>
                <w:lang w:val="kk"/>
              </w:rPr>
              <w:t>тәулігіне 1 рет</w:t>
            </w:r>
          </w:p>
          <w:p w14:paraId="32BD78CB" w14:textId="4E7C5713" w:rsidR="00945A0C" w:rsidRPr="00815981" w:rsidRDefault="0054098D" w:rsidP="00F406CD">
            <w:pPr>
              <w:shd w:val="clear" w:color="auto" w:fill="FFFFFF"/>
              <w:spacing w:line="202" w:lineRule="exact"/>
              <w:ind w:left="-58" w:right="-58" w:hanging="103"/>
              <w:contextualSpacing/>
              <w:jc w:val="center"/>
              <w:rPr>
                <w:rFonts w:eastAsia="Calibri"/>
              </w:rPr>
            </w:pPr>
            <w:r w:rsidRPr="00815981">
              <w:rPr>
                <w:rFonts w:eastAsia="Calibri"/>
                <w:lang w:val="kk"/>
              </w:rPr>
              <w:t>35 ± 4 күн</w:t>
            </w:r>
          </w:p>
        </w:tc>
        <w:tc>
          <w:tcPr>
            <w:tcW w:w="906" w:type="dxa"/>
            <w:shd w:val="clear" w:color="auto" w:fill="auto"/>
          </w:tcPr>
          <w:p w14:paraId="32BD78CC" w14:textId="77777777" w:rsidR="00945A0C" w:rsidRPr="00815981" w:rsidRDefault="0054098D" w:rsidP="00F406CD">
            <w:pPr>
              <w:shd w:val="clear" w:color="auto" w:fill="FFFFFF"/>
              <w:spacing w:line="202" w:lineRule="exact"/>
              <w:ind w:left="-58" w:right="-58" w:hanging="13"/>
              <w:contextualSpacing/>
              <w:jc w:val="center"/>
              <w:rPr>
                <w:rFonts w:eastAsia="Calibri"/>
              </w:rPr>
            </w:pPr>
            <w:r w:rsidRPr="00815981">
              <w:rPr>
                <w:rFonts w:eastAsia="Calibri"/>
                <w:lang w:val="kk"/>
              </w:rPr>
              <w:t xml:space="preserve">Энокса-парин 40 мг </w:t>
            </w:r>
          </w:p>
          <w:p w14:paraId="32BD78CD" w14:textId="77777777" w:rsidR="00945A0C" w:rsidRPr="00815981" w:rsidRDefault="0054098D" w:rsidP="00F406CD">
            <w:pPr>
              <w:shd w:val="clear" w:color="auto" w:fill="FFFFFF"/>
              <w:spacing w:line="202" w:lineRule="exact"/>
              <w:ind w:left="-58" w:right="-58" w:hanging="13"/>
              <w:contextualSpacing/>
              <w:jc w:val="center"/>
              <w:rPr>
                <w:rFonts w:eastAsia="Calibri"/>
              </w:rPr>
            </w:pPr>
            <w:r w:rsidRPr="00815981">
              <w:rPr>
                <w:rFonts w:eastAsia="Calibri"/>
                <w:lang w:val="kk"/>
              </w:rPr>
              <w:t>тәулігіне 1 рет</w:t>
            </w:r>
          </w:p>
          <w:p w14:paraId="32BD78CE" w14:textId="33471868" w:rsidR="00945A0C" w:rsidRPr="00815981" w:rsidRDefault="0054098D" w:rsidP="00F406CD">
            <w:pPr>
              <w:shd w:val="clear" w:color="auto" w:fill="FFFFFF"/>
              <w:spacing w:line="202" w:lineRule="exact"/>
              <w:ind w:left="-58" w:right="-58" w:hanging="13"/>
              <w:contextualSpacing/>
              <w:jc w:val="center"/>
              <w:rPr>
                <w:rFonts w:eastAsia="Calibri"/>
              </w:rPr>
            </w:pPr>
            <w:r w:rsidRPr="00815981">
              <w:rPr>
                <w:rFonts w:eastAsia="Calibri"/>
                <w:lang w:val="kk"/>
              </w:rPr>
              <w:t>12 ± 2 күн</w:t>
            </w:r>
          </w:p>
        </w:tc>
        <w:tc>
          <w:tcPr>
            <w:tcW w:w="851" w:type="dxa"/>
            <w:shd w:val="clear" w:color="auto" w:fill="auto"/>
          </w:tcPr>
          <w:p w14:paraId="32BD78CF" w14:textId="77777777" w:rsidR="00945A0C" w:rsidRPr="00815981" w:rsidRDefault="0054098D" w:rsidP="00945A0C">
            <w:pPr>
              <w:shd w:val="clear" w:color="auto" w:fill="FFFFFF"/>
              <w:spacing w:line="202" w:lineRule="exact"/>
              <w:ind w:left="-58" w:right="-58" w:hanging="180"/>
              <w:contextualSpacing/>
              <w:jc w:val="center"/>
              <w:rPr>
                <w:rFonts w:eastAsia="Calibri"/>
              </w:rPr>
            </w:pPr>
            <w:r w:rsidRPr="00815981">
              <w:rPr>
                <w:rFonts w:eastAsia="Calibri"/>
                <w:lang w:val="kk"/>
              </w:rPr>
              <w:t>P</w:t>
            </w:r>
          </w:p>
        </w:tc>
        <w:tc>
          <w:tcPr>
            <w:tcW w:w="778" w:type="dxa"/>
            <w:shd w:val="clear" w:color="auto" w:fill="auto"/>
          </w:tcPr>
          <w:p w14:paraId="32BD78D0" w14:textId="77777777" w:rsidR="00945A0C" w:rsidRPr="00815981" w:rsidRDefault="0054098D" w:rsidP="00F406CD">
            <w:pPr>
              <w:shd w:val="clear" w:color="auto" w:fill="FFFFFF"/>
              <w:spacing w:line="202" w:lineRule="exact"/>
              <w:ind w:left="-81" w:right="-58" w:hanging="142"/>
              <w:contextualSpacing/>
              <w:jc w:val="center"/>
              <w:rPr>
                <w:rFonts w:eastAsia="Calibri"/>
              </w:rPr>
            </w:pPr>
            <w:r w:rsidRPr="00815981">
              <w:rPr>
                <w:rFonts w:eastAsia="Calibri"/>
                <w:lang w:val="kk"/>
              </w:rPr>
              <w:t xml:space="preserve">Риварок-сабан 10 мг </w:t>
            </w:r>
          </w:p>
          <w:p w14:paraId="32BD78D1" w14:textId="77777777" w:rsidR="00945A0C" w:rsidRPr="00815981" w:rsidRDefault="0054098D" w:rsidP="00F406CD">
            <w:pPr>
              <w:shd w:val="clear" w:color="auto" w:fill="FFFFFF"/>
              <w:spacing w:line="202" w:lineRule="exact"/>
              <w:ind w:left="-81" w:right="-58" w:hanging="142"/>
              <w:contextualSpacing/>
              <w:jc w:val="center"/>
              <w:rPr>
                <w:rFonts w:eastAsia="Calibri"/>
              </w:rPr>
            </w:pPr>
            <w:r w:rsidRPr="00815981">
              <w:rPr>
                <w:rFonts w:eastAsia="Calibri"/>
                <w:lang w:val="kk"/>
              </w:rPr>
              <w:t>тәулігіне 1 рет</w:t>
            </w:r>
          </w:p>
          <w:p w14:paraId="32BD78D2" w14:textId="3EBEC106" w:rsidR="00945A0C" w:rsidRPr="00815981" w:rsidRDefault="0054098D" w:rsidP="00F406CD">
            <w:pPr>
              <w:shd w:val="clear" w:color="auto" w:fill="FFFFFF"/>
              <w:spacing w:line="202" w:lineRule="exact"/>
              <w:ind w:left="-81" w:right="-58" w:hanging="142"/>
              <w:contextualSpacing/>
              <w:jc w:val="center"/>
              <w:rPr>
                <w:rFonts w:eastAsia="Calibri"/>
              </w:rPr>
            </w:pPr>
            <w:r w:rsidRPr="00815981">
              <w:rPr>
                <w:rFonts w:eastAsia="Calibri"/>
                <w:lang w:val="kk"/>
              </w:rPr>
              <w:t>12 ± 2 күн</w:t>
            </w:r>
          </w:p>
        </w:tc>
        <w:tc>
          <w:tcPr>
            <w:tcW w:w="923" w:type="dxa"/>
            <w:shd w:val="clear" w:color="auto" w:fill="auto"/>
          </w:tcPr>
          <w:p w14:paraId="32BD78D3" w14:textId="77777777" w:rsidR="00945A0C" w:rsidRPr="00815981" w:rsidRDefault="0054098D" w:rsidP="00945A0C">
            <w:pPr>
              <w:shd w:val="clear" w:color="auto" w:fill="FFFFFF"/>
              <w:spacing w:line="202" w:lineRule="exact"/>
              <w:ind w:left="-58" w:right="-58" w:hanging="180"/>
              <w:contextualSpacing/>
              <w:jc w:val="center"/>
              <w:rPr>
                <w:rFonts w:eastAsia="Calibri"/>
              </w:rPr>
            </w:pPr>
            <w:r w:rsidRPr="00815981">
              <w:rPr>
                <w:rFonts w:eastAsia="Calibri"/>
                <w:lang w:val="kk"/>
              </w:rPr>
              <w:t>Энокса-парин 40 мг</w:t>
            </w:r>
          </w:p>
          <w:p w14:paraId="32BD78D4" w14:textId="77777777" w:rsidR="00945A0C" w:rsidRPr="00815981" w:rsidRDefault="0054098D" w:rsidP="00945A0C">
            <w:pPr>
              <w:shd w:val="clear" w:color="auto" w:fill="FFFFFF"/>
              <w:spacing w:line="202" w:lineRule="exact"/>
              <w:ind w:left="-58" w:right="-58" w:hanging="180"/>
              <w:contextualSpacing/>
              <w:jc w:val="center"/>
              <w:rPr>
                <w:rFonts w:eastAsia="Calibri"/>
              </w:rPr>
            </w:pPr>
            <w:r w:rsidRPr="00815981">
              <w:rPr>
                <w:rFonts w:eastAsia="Calibri"/>
                <w:lang w:val="kk"/>
              </w:rPr>
              <w:t xml:space="preserve"> тәулігіне 1 рет</w:t>
            </w:r>
          </w:p>
          <w:p w14:paraId="32BD78D5" w14:textId="088735AF" w:rsidR="00945A0C" w:rsidRPr="00815981" w:rsidRDefault="0054098D" w:rsidP="00F406CD">
            <w:pPr>
              <w:shd w:val="clear" w:color="auto" w:fill="FFFFFF"/>
              <w:spacing w:line="202" w:lineRule="exact"/>
              <w:ind w:left="-58" w:right="-58" w:firstLine="2"/>
              <w:contextualSpacing/>
              <w:jc w:val="center"/>
              <w:rPr>
                <w:rFonts w:eastAsia="Calibri"/>
              </w:rPr>
            </w:pPr>
            <w:r w:rsidRPr="00815981">
              <w:rPr>
                <w:rFonts w:eastAsia="Calibri"/>
                <w:lang w:val="kk"/>
              </w:rPr>
              <w:t>12 ± 2 күн</w:t>
            </w:r>
          </w:p>
        </w:tc>
        <w:tc>
          <w:tcPr>
            <w:tcW w:w="768" w:type="dxa"/>
            <w:shd w:val="clear" w:color="auto" w:fill="auto"/>
          </w:tcPr>
          <w:p w14:paraId="32BD78D6" w14:textId="77777777" w:rsidR="00945A0C" w:rsidRPr="00815981" w:rsidRDefault="0054098D" w:rsidP="00945A0C">
            <w:pPr>
              <w:shd w:val="clear" w:color="auto" w:fill="FFFFFF"/>
              <w:spacing w:line="202" w:lineRule="exact"/>
              <w:ind w:left="-58" w:right="-58" w:hanging="180"/>
              <w:contextualSpacing/>
              <w:jc w:val="center"/>
              <w:rPr>
                <w:rFonts w:eastAsia="Calibri"/>
              </w:rPr>
            </w:pPr>
            <w:r w:rsidRPr="00815981">
              <w:rPr>
                <w:rFonts w:eastAsia="Calibri"/>
                <w:lang w:val="kk"/>
              </w:rPr>
              <w:t>P</w:t>
            </w:r>
          </w:p>
        </w:tc>
      </w:tr>
      <w:tr w:rsidR="00234FE7" w14:paraId="32BD78E8" w14:textId="77777777" w:rsidTr="00F406CD">
        <w:tc>
          <w:tcPr>
            <w:tcW w:w="1526" w:type="dxa"/>
            <w:shd w:val="clear" w:color="auto" w:fill="auto"/>
          </w:tcPr>
          <w:p w14:paraId="32BD78D8" w14:textId="77777777" w:rsidR="00945A0C" w:rsidRPr="00815981" w:rsidRDefault="0054098D" w:rsidP="00945A0C">
            <w:pPr>
              <w:rPr>
                <w:rFonts w:eastAsia="Calibri"/>
              </w:rPr>
            </w:pPr>
            <w:r w:rsidRPr="00815981">
              <w:rPr>
                <w:rFonts w:eastAsia="Calibri"/>
                <w:lang w:val="kk"/>
              </w:rPr>
              <w:t>ВТЭ жағдайларының барлығы</w:t>
            </w:r>
          </w:p>
        </w:tc>
        <w:tc>
          <w:tcPr>
            <w:tcW w:w="1134" w:type="dxa"/>
            <w:shd w:val="clear" w:color="auto" w:fill="auto"/>
          </w:tcPr>
          <w:p w14:paraId="32BD78D9" w14:textId="77777777" w:rsidR="00945A0C" w:rsidRPr="00815981" w:rsidRDefault="0054098D" w:rsidP="00945A0C">
            <w:pPr>
              <w:jc w:val="center"/>
              <w:rPr>
                <w:rFonts w:eastAsia="Calibri"/>
              </w:rPr>
            </w:pPr>
            <w:r w:rsidRPr="00815981">
              <w:rPr>
                <w:rFonts w:eastAsia="Calibri"/>
                <w:lang w:val="kk"/>
              </w:rPr>
              <w:t>18</w:t>
            </w:r>
          </w:p>
          <w:p w14:paraId="32BD78DA" w14:textId="77777777" w:rsidR="00945A0C" w:rsidRPr="00815981" w:rsidRDefault="0054098D" w:rsidP="00945A0C">
            <w:pPr>
              <w:jc w:val="center"/>
              <w:rPr>
                <w:rFonts w:eastAsia="Calibri"/>
              </w:rPr>
            </w:pPr>
            <w:r w:rsidRPr="00815981">
              <w:rPr>
                <w:rFonts w:eastAsia="Calibri"/>
                <w:lang w:val="kk"/>
              </w:rPr>
              <w:t>(1,1%)</w:t>
            </w:r>
          </w:p>
        </w:tc>
        <w:tc>
          <w:tcPr>
            <w:tcW w:w="992" w:type="dxa"/>
            <w:shd w:val="clear" w:color="auto" w:fill="auto"/>
          </w:tcPr>
          <w:p w14:paraId="32BD78DB" w14:textId="77777777" w:rsidR="00945A0C" w:rsidRPr="00815981" w:rsidRDefault="0054098D" w:rsidP="00945A0C">
            <w:pPr>
              <w:jc w:val="center"/>
              <w:rPr>
                <w:rFonts w:eastAsia="Calibri"/>
              </w:rPr>
            </w:pPr>
            <w:r w:rsidRPr="00815981">
              <w:rPr>
                <w:rFonts w:eastAsia="Calibri"/>
                <w:lang w:val="kk"/>
              </w:rPr>
              <w:t>58</w:t>
            </w:r>
          </w:p>
          <w:p w14:paraId="32BD78DC" w14:textId="77777777" w:rsidR="00945A0C" w:rsidRPr="00815981" w:rsidRDefault="0054098D" w:rsidP="00945A0C">
            <w:pPr>
              <w:jc w:val="center"/>
              <w:rPr>
                <w:rFonts w:eastAsia="Calibri"/>
              </w:rPr>
            </w:pPr>
            <w:r w:rsidRPr="00815981">
              <w:rPr>
                <w:rFonts w:eastAsia="Calibri"/>
                <w:lang w:val="kk"/>
              </w:rPr>
              <w:t>(3,7%)</w:t>
            </w:r>
          </w:p>
        </w:tc>
        <w:tc>
          <w:tcPr>
            <w:tcW w:w="851" w:type="dxa"/>
            <w:shd w:val="clear" w:color="auto" w:fill="auto"/>
          </w:tcPr>
          <w:p w14:paraId="32BD78DD" w14:textId="77777777" w:rsidR="00945A0C" w:rsidRPr="00815981" w:rsidRDefault="0054098D" w:rsidP="00945A0C">
            <w:pPr>
              <w:jc w:val="center"/>
              <w:rPr>
                <w:rFonts w:eastAsia="Calibri"/>
              </w:rPr>
            </w:pPr>
            <w:r w:rsidRPr="00815981">
              <w:rPr>
                <w:rFonts w:eastAsia="Calibri"/>
                <w:lang w:val="kk"/>
              </w:rPr>
              <w:t>&lt;0,001</w:t>
            </w:r>
          </w:p>
        </w:tc>
        <w:tc>
          <w:tcPr>
            <w:tcW w:w="936" w:type="dxa"/>
            <w:shd w:val="clear" w:color="auto" w:fill="auto"/>
          </w:tcPr>
          <w:p w14:paraId="32BD78DE" w14:textId="77777777" w:rsidR="00945A0C" w:rsidRPr="00815981" w:rsidRDefault="0054098D" w:rsidP="00945A0C">
            <w:pPr>
              <w:jc w:val="center"/>
              <w:rPr>
                <w:rFonts w:eastAsia="Calibri"/>
              </w:rPr>
            </w:pPr>
            <w:r w:rsidRPr="00815981">
              <w:rPr>
                <w:rFonts w:eastAsia="Calibri"/>
                <w:lang w:val="kk"/>
              </w:rPr>
              <w:t>17</w:t>
            </w:r>
          </w:p>
          <w:p w14:paraId="32BD78DF" w14:textId="77777777" w:rsidR="00945A0C" w:rsidRPr="00815981" w:rsidRDefault="0054098D" w:rsidP="00945A0C">
            <w:pPr>
              <w:jc w:val="center"/>
              <w:rPr>
                <w:rFonts w:eastAsia="Calibri"/>
              </w:rPr>
            </w:pPr>
            <w:r w:rsidRPr="00815981">
              <w:rPr>
                <w:rFonts w:eastAsia="Calibri"/>
                <w:lang w:val="kk"/>
              </w:rPr>
              <w:t>(2,0%)</w:t>
            </w:r>
          </w:p>
        </w:tc>
        <w:tc>
          <w:tcPr>
            <w:tcW w:w="906" w:type="dxa"/>
            <w:shd w:val="clear" w:color="auto" w:fill="auto"/>
          </w:tcPr>
          <w:p w14:paraId="32BD78E0" w14:textId="77777777" w:rsidR="00945A0C" w:rsidRPr="00815981" w:rsidRDefault="0054098D" w:rsidP="00945A0C">
            <w:pPr>
              <w:jc w:val="center"/>
              <w:rPr>
                <w:rFonts w:eastAsia="Calibri"/>
              </w:rPr>
            </w:pPr>
            <w:r w:rsidRPr="00815981">
              <w:rPr>
                <w:rFonts w:eastAsia="Calibri"/>
                <w:lang w:val="kk"/>
              </w:rPr>
              <w:t>81</w:t>
            </w:r>
          </w:p>
          <w:p w14:paraId="32BD78E1" w14:textId="77777777" w:rsidR="00945A0C" w:rsidRPr="00815981" w:rsidRDefault="0054098D" w:rsidP="00945A0C">
            <w:pPr>
              <w:jc w:val="center"/>
              <w:rPr>
                <w:rFonts w:eastAsia="Calibri"/>
              </w:rPr>
            </w:pPr>
            <w:r w:rsidRPr="00815981">
              <w:rPr>
                <w:rFonts w:eastAsia="Calibri"/>
                <w:lang w:val="kk"/>
              </w:rPr>
              <w:t>(9,3%)</w:t>
            </w:r>
          </w:p>
        </w:tc>
        <w:tc>
          <w:tcPr>
            <w:tcW w:w="851" w:type="dxa"/>
            <w:shd w:val="clear" w:color="auto" w:fill="auto"/>
          </w:tcPr>
          <w:p w14:paraId="32BD78E2" w14:textId="77777777" w:rsidR="00945A0C" w:rsidRPr="00815981" w:rsidRDefault="0054098D" w:rsidP="00945A0C">
            <w:pPr>
              <w:jc w:val="center"/>
              <w:rPr>
                <w:rFonts w:eastAsia="Calibri"/>
              </w:rPr>
            </w:pPr>
            <w:r w:rsidRPr="00815981">
              <w:rPr>
                <w:rFonts w:eastAsia="Calibri"/>
                <w:lang w:val="kk"/>
              </w:rPr>
              <w:t>&lt;0,001</w:t>
            </w:r>
          </w:p>
        </w:tc>
        <w:tc>
          <w:tcPr>
            <w:tcW w:w="778" w:type="dxa"/>
            <w:shd w:val="clear" w:color="auto" w:fill="auto"/>
          </w:tcPr>
          <w:p w14:paraId="32BD78E3" w14:textId="77777777" w:rsidR="00945A0C" w:rsidRPr="00815981" w:rsidRDefault="0054098D" w:rsidP="00945A0C">
            <w:pPr>
              <w:jc w:val="center"/>
              <w:rPr>
                <w:rFonts w:eastAsia="Calibri"/>
              </w:rPr>
            </w:pPr>
            <w:r w:rsidRPr="00815981">
              <w:rPr>
                <w:rFonts w:eastAsia="Calibri"/>
                <w:lang w:val="kk"/>
              </w:rPr>
              <w:t>79</w:t>
            </w:r>
          </w:p>
          <w:p w14:paraId="32BD78E4" w14:textId="77777777" w:rsidR="00945A0C" w:rsidRPr="00815981" w:rsidRDefault="0054098D" w:rsidP="00945A0C">
            <w:pPr>
              <w:jc w:val="center"/>
              <w:rPr>
                <w:rFonts w:eastAsia="Calibri"/>
              </w:rPr>
            </w:pPr>
            <w:r w:rsidRPr="00815981">
              <w:rPr>
                <w:rFonts w:eastAsia="Calibri"/>
                <w:lang w:val="kk"/>
              </w:rPr>
              <w:t>(9,6%)</w:t>
            </w:r>
          </w:p>
        </w:tc>
        <w:tc>
          <w:tcPr>
            <w:tcW w:w="923" w:type="dxa"/>
            <w:shd w:val="clear" w:color="auto" w:fill="auto"/>
          </w:tcPr>
          <w:p w14:paraId="32BD78E5" w14:textId="77777777" w:rsidR="00945A0C" w:rsidRPr="00815981" w:rsidRDefault="0054098D" w:rsidP="00945A0C">
            <w:pPr>
              <w:jc w:val="center"/>
              <w:rPr>
                <w:rFonts w:eastAsia="Calibri"/>
              </w:rPr>
            </w:pPr>
            <w:r w:rsidRPr="00815981">
              <w:rPr>
                <w:rFonts w:eastAsia="Calibri"/>
                <w:lang w:val="kk"/>
              </w:rPr>
              <w:t>166</w:t>
            </w:r>
          </w:p>
          <w:p w14:paraId="32BD78E6" w14:textId="77777777" w:rsidR="00945A0C" w:rsidRPr="00815981" w:rsidRDefault="0054098D" w:rsidP="00945A0C">
            <w:pPr>
              <w:jc w:val="center"/>
              <w:rPr>
                <w:rFonts w:eastAsia="Calibri"/>
              </w:rPr>
            </w:pPr>
            <w:r w:rsidRPr="00815981">
              <w:rPr>
                <w:rFonts w:eastAsia="Calibri"/>
                <w:lang w:val="kk"/>
              </w:rPr>
              <w:t>(18,9%)</w:t>
            </w:r>
          </w:p>
        </w:tc>
        <w:tc>
          <w:tcPr>
            <w:tcW w:w="768" w:type="dxa"/>
            <w:shd w:val="clear" w:color="auto" w:fill="auto"/>
          </w:tcPr>
          <w:p w14:paraId="32BD78E7" w14:textId="77777777" w:rsidR="00945A0C" w:rsidRPr="00815981" w:rsidRDefault="0054098D" w:rsidP="00945A0C">
            <w:pPr>
              <w:jc w:val="center"/>
              <w:rPr>
                <w:rFonts w:eastAsia="Calibri"/>
              </w:rPr>
            </w:pPr>
            <w:r w:rsidRPr="00815981">
              <w:rPr>
                <w:rFonts w:eastAsia="Calibri"/>
                <w:lang w:val="kk"/>
              </w:rPr>
              <w:t>&lt;0,001</w:t>
            </w:r>
          </w:p>
        </w:tc>
      </w:tr>
      <w:tr w:rsidR="00234FE7" w14:paraId="32BD7904" w14:textId="77777777" w:rsidTr="00F406CD">
        <w:tc>
          <w:tcPr>
            <w:tcW w:w="1526" w:type="dxa"/>
            <w:shd w:val="clear" w:color="auto" w:fill="auto"/>
          </w:tcPr>
          <w:p w14:paraId="32BD78F4" w14:textId="77777777" w:rsidR="00945A0C" w:rsidRPr="00815981" w:rsidRDefault="0054098D" w:rsidP="00945A0C">
            <w:pPr>
              <w:rPr>
                <w:rFonts w:eastAsia="Calibri"/>
              </w:rPr>
            </w:pPr>
            <w:r w:rsidRPr="00815981">
              <w:rPr>
                <w:rFonts w:eastAsia="Calibri"/>
                <w:lang w:val="kk"/>
              </w:rPr>
              <w:t>Ауыр ВТЭ жағдайларының жиілігі</w:t>
            </w:r>
          </w:p>
        </w:tc>
        <w:tc>
          <w:tcPr>
            <w:tcW w:w="1134" w:type="dxa"/>
            <w:shd w:val="clear" w:color="auto" w:fill="auto"/>
          </w:tcPr>
          <w:p w14:paraId="32BD78F5" w14:textId="77777777" w:rsidR="00945A0C" w:rsidRPr="00815981" w:rsidRDefault="0054098D" w:rsidP="00945A0C">
            <w:pPr>
              <w:jc w:val="center"/>
              <w:rPr>
                <w:rFonts w:eastAsia="Calibri"/>
              </w:rPr>
            </w:pPr>
            <w:r w:rsidRPr="00815981">
              <w:rPr>
                <w:rFonts w:eastAsia="Calibri"/>
                <w:lang w:val="kk"/>
              </w:rPr>
              <w:t>4</w:t>
            </w:r>
          </w:p>
          <w:p w14:paraId="32BD78F6" w14:textId="77777777" w:rsidR="00945A0C" w:rsidRPr="00815981" w:rsidRDefault="0054098D" w:rsidP="00945A0C">
            <w:pPr>
              <w:jc w:val="center"/>
              <w:rPr>
                <w:rFonts w:eastAsia="Calibri"/>
              </w:rPr>
            </w:pPr>
            <w:r w:rsidRPr="00815981">
              <w:rPr>
                <w:rFonts w:eastAsia="Calibri"/>
                <w:lang w:val="kk"/>
              </w:rPr>
              <w:t>(0,2%)</w:t>
            </w:r>
          </w:p>
        </w:tc>
        <w:tc>
          <w:tcPr>
            <w:tcW w:w="992" w:type="dxa"/>
            <w:shd w:val="clear" w:color="auto" w:fill="auto"/>
          </w:tcPr>
          <w:p w14:paraId="32BD78F7" w14:textId="77777777" w:rsidR="00945A0C" w:rsidRPr="00815981" w:rsidRDefault="0054098D" w:rsidP="00945A0C">
            <w:pPr>
              <w:jc w:val="center"/>
              <w:rPr>
                <w:rFonts w:eastAsia="Calibri"/>
              </w:rPr>
            </w:pPr>
            <w:r w:rsidRPr="00815981">
              <w:rPr>
                <w:rFonts w:eastAsia="Calibri"/>
                <w:lang w:val="kk"/>
              </w:rPr>
              <w:t>33</w:t>
            </w:r>
          </w:p>
          <w:p w14:paraId="32BD78F8" w14:textId="77777777" w:rsidR="00945A0C" w:rsidRPr="00815981" w:rsidRDefault="0054098D" w:rsidP="00945A0C">
            <w:pPr>
              <w:jc w:val="center"/>
              <w:rPr>
                <w:rFonts w:eastAsia="Calibri"/>
              </w:rPr>
            </w:pPr>
            <w:r w:rsidRPr="00815981">
              <w:rPr>
                <w:rFonts w:eastAsia="Calibri"/>
                <w:lang w:val="kk"/>
              </w:rPr>
              <w:t>(2,0%)</w:t>
            </w:r>
          </w:p>
        </w:tc>
        <w:tc>
          <w:tcPr>
            <w:tcW w:w="851" w:type="dxa"/>
            <w:shd w:val="clear" w:color="auto" w:fill="auto"/>
          </w:tcPr>
          <w:p w14:paraId="32BD78F9" w14:textId="77777777" w:rsidR="00945A0C" w:rsidRPr="00815981" w:rsidRDefault="0054098D" w:rsidP="00945A0C">
            <w:pPr>
              <w:jc w:val="center"/>
              <w:rPr>
                <w:rFonts w:eastAsia="Calibri"/>
              </w:rPr>
            </w:pPr>
            <w:r w:rsidRPr="00815981">
              <w:rPr>
                <w:rFonts w:eastAsia="Calibri"/>
                <w:lang w:val="kk"/>
              </w:rPr>
              <w:t>&lt;0,001</w:t>
            </w:r>
          </w:p>
        </w:tc>
        <w:tc>
          <w:tcPr>
            <w:tcW w:w="936" w:type="dxa"/>
            <w:shd w:val="clear" w:color="auto" w:fill="auto"/>
          </w:tcPr>
          <w:p w14:paraId="32BD78FA" w14:textId="77777777" w:rsidR="00945A0C" w:rsidRPr="00815981" w:rsidRDefault="0054098D" w:rsidP="00945A0C">
            <w:pPr>
              <w:jc w:val="center"/>
              <w:rPr>
                <w:rFonts w:eastAsia="Calibri"/>
              </w:rPr>
            </w:pPr>
            <w:r w:rsidRPr="00815981">
              <w:rPr>
                <w:rFonts w:eastAsia="Calibri"/>
                <w:lang w:val="kk"/>
              </w:rPr>
              <w:t>6</w:t>
            </w:r>
          </w:p>
          <w:p w14:paraId="32BD78FB" w14:textId="77777777" w:rsidR="00945A0C" w:rsidRPr="00815981" w:rsidRDefault="0054098D" w:rsidP="00945A0C">
            <w:pPr>
              <w:jc w:val="center"/>
              <w:rPr>
                <w:rFonts w:eastAsia="Calibri"/>
              </w:rPr>
            </w:pPr>
            <w:r w:rsidRPr="00815981">
              <w:rPr>
                <w:rFonts w:eastAsia="Calibri"/>
                <w:lang w:val="kk"/>
              </w:rPr>
              <w:t>(0,6%)</w:t>
            </w:r>
          </w:p>
        </w:tc>
        <w:tc>
          <w:tcPr>
            <w:tcW w:w="906" w:type="dxa"/>
            <w:shd w:val="clear" w:color="auto" w:fill="auto"/>
          </w:tcPr>
          <w:p w14:paraId="32BD78FC" w14:textId="77777777" w:rsidR="00945A0C" w:rsidRPr="00815981" w:rsidRDefault="0054098D" w:rsidP="00945A0C">
            <w:pPr>
              <w:jc w:val="center"/>
              <w:rPr>
                <w:rFonts w:eastAsia="Calibri"/>
              </w:rPr>
            </w:pPr>
            <w:r w:rsidRPr="00815981">
              <w:rPr>
                <w:rFonts w:eastAsia="Calibri"/>
                <w:lang w:val="kk"/>
              </w:rPr>
              <w:t>49</w:t>
            </w:r>
          </w:p>
          <w:p w14:paraId="32BD78FD" w14:textId="77777777" w:rsidR="00945A0C" w:rsidRPr="00815981" w:rsidRDefault="0054098D" w:rsidP="00945A0C">
            <w:pPr>
              <w:jc w:val="center"/>
              <w:rPr>
                <w:rFonts w:eastAsia="Calibri"/>
              </w:rPr>
            </w:pPr>
            <w:r w:rsidRPr="00815981">
              <w:rPr>
                <w:rFonts w:eastAsia="Calibri"/>
                <w:lang w:val="kk"/>
              </w:rPr>
              <w:t>(5,1%)</w:t>
            </w:r>
          </w:p>
        </w:tc>
        <w:tc>
          <w:tcPr>
            <w:tcW w:w="851" w:type="dxa"/>
            <w:shd w:val="clear" w:color="auto" w:fill="auto"/>
          </w:tcPr>
          <w:p w14:paraId="32BD78FE" w14:textId="77777777" w:rsidR="00945A0C" w:rsidRPr="00815981" w:rsidRDefault="0054098D" w:rsidP="00945A0C">
            <w:pPr>
              <w:jc w:val="center"/>
              <w:rPr>
                <w:rFonts w:eastAsia="Calibri"/>
              </w:rPr>
            </w:pPr>
            <w:r w:rsidRPr="00815981">
              <w:rPr>
                <w:rFonts w:eastAsia="Calibri"/>
                <w:lang w:val="kk"/>
              </w:rPr>
              <w:t>&lt;0,001</w:t>
            </w:r>
          </w:p>
        </w:tc>
        <w:tc>
          <w:tcPr>
            <w:tcW w:w="778" w:type="dxa"/>
            <w:shd w:val="clear" w:color="auto" w:fill="auto"/>
          </w:tcPr>
          <w:p w14:paraId="32BD78FF" w14:textId="77777777" w:rsidR="00945A0C" w:rsidRPr="00815981" w:rsidRDefault="0054098D" w:rsidP="00945A0C">
            <w:pPr>
              <w:jc w:val="center"/>
              <w:rPr>
                <w:rFonts w:eastAsia="Calibri"/>
              </w:rPr>
            </w:pPr>
            <w:r w:rsidRPr="00815981">
              <w:rPr>
                <w:rFonts w:eastAsia="Calibri"/>
                <w:lang w:val="kk"/>
              </w:rPr>
              <w:t>9</w:t>
            </w:r>
          </w:p>
          <w:p w14:paraId="32BD7900" w14:textId="77777777" w:rsidR="00945A0C" w:rsidRPr="00815981" w:rsidRDefault="0054098D" w:rsidP="00945A0C">
            <w:pPr>
              <w:jc w:val="center"/>
              <w:rPr>
                <w:rFonts w:eastAsia="Calibri"/>
              </w:rPr>
            </w:pPr>
            <w:r w:rsidRPr="00815981">
              <w:rPr>
                <w:rFonts w:eastAsia="Calibri"/>
                <w:lang w:val="kk"/>
              </w:rPr>
              <w:t>(1,0%)</w:t>
            </w:r>
          </w:p>
        </w:tc>
        <w:tc>
          <w:tcPr>
            <w:tcW w:w="923" w:type="dxa"/>
            <w:shd w:val="clear" w:color="auto" w:fill="auto"/>
          </w:tcPr>
          <w:p w14:paraId="32BD7901" w14:textId="77777777" w:rsidR="00945A0C" w:rsidRPr="00815981" w:rsidRDefault="0054098D" w:rsidP="00945A0C">
            <w:pPr>
              <w:jc w:val="center"/>
              <w:rPr>
                <w:rFonts w:eastAsia="Calibri"/>
              </w:rPr>
            </w:pPr>
            <w:r w:rsidRPr="00815981">
              <w:rPr>
                <w:rFonts w:eastAsia="Calibri"/>
                <w:lang w:val="kk"/>
              </w:rPr>
              <w:t>24</w:t>
            </w:r>
          </w:p>
          <w:p w14:paraId="32BD7902" w14:textId="77777777" w:rsidR="00945A0C" w:rsidRPr="00815981" w:rsidRDefault="0054098D" w:rsidP="00945A0C">
            <w:pPr>
              <w:jc w:val="center"/>
              <w:rPr>
                <w:rFonts w:eastAsia="Calibri"/>
              </w:rPr>
            </w:pPr>
            <w:r w:rsidRPr="00815981">
              <w:rPr>
                <w:rFonts w:eastAsia="Calibri"/>
                <w:lang w:val="kk"/>
              </w:rPr>
              <w:t>(2,6%)</w:t>
            </w:r>
          </w:p>
        </w:tc>
        <w:tc>
          <w:tcPr>
            <w:tcW w:w="768" w:type="dxa"/>
            <w:shd w:val="clear" w:color="auto" w:fill="auto"/>
          </w:tcPr>
          <w:p w14:paraId="32BD7903" w14:textId="77777777" w:rsidR="00945A0C" w:rsidRPr="00815981" w:rsidRDefault="0054098D" w:rsidP="00945A0C">
            <w:pPr>
              <w:jc w:val="center"/>
              <w:rPr>
                <w:rFonts w:eastAsia="Calibri"/>
              </w:rPr>
            </w:pPr>
            <w:r w:rsidRPr="00815981">
              <w:rPr>
                <w:rFonts w:eastAsia="Calibri"/>
                <w:lang w:val="kk"/>
              </w:rPr>
              <w:t>0,01</w:t>
            </w:r>
          </w:p>
        </w:tc>
      </w:tr>
      <w:tr w:rsidR="00234FE7" w14:paraId="32BD7915" w14:textId="77777777" w:rsidTr="00F406CD">
        <w:tc>
          <w:tcPr>
            <w:tcW w:w="1526" w:type="dxa"/>
            <w:shd w:val="clear" w:color="auto" w:fill="auto"/>
          </w:tcPr>
          <w:p w14:paraId="32BD7905" w14:textId="77777777" w:rsidR="00945A0C" w:rsidRPr="00815981" w:rsidRDefault="0054098D" w:rsidP="00945A0C">
            <w:pPr>
              <w:rPr>
                <w:rFonts w:eastAsia="Calibri"/>
              </w:rPr>
            </w:pPr>
            <w:r w:rsidRPr="00815981">
              <w:rPr>
                <w:rFonts w:eastAsia="Calibri"/>
                <w:lang w:val="kk"/>
              </w:rPr>
              <w:t>Симптомдық ВТЭ</w:t>
            </w:r>
          </w:p>
        </w:tc>
        <w:tc>
          <w:tcPr>
            <w:tcW w:w="1134" w:type="dxa"/>
            <w:shd w:val="clear" w:color="auto" w:fill="auto"/>
          </w:tcPr>
          <w:p w14:paraId="32BD7906" w14:textId="77777777" w:rsidR="00945A0C" w:rsidRPr="00815981" w:rsidRDefault="0054098D" w:rsidP="00945A0C">
            <w:pPr>
              <w:jc w:val="center"/>
              <w:rPr>
                <w:rFonts w:eastAsia="Calibri"/>
              </w:rPr>
            </w:pPr>
            <w:r w:rsidRPr="00815981">
              <w:rPr>
                <w:rFonts w:eastAsia="Calibri"/>
                <w:lang w:val="kk"/>
              </w:rPr>
              <w:t>6</w:t>
            </w:r>
          </w:p>
          <w:p w14:paraId="32BD7907" w14:textId="77777777" w:rsidR="00945A0C" w:rsidRPr="00815981" w:rsidRDefault="0054098D" w:rsidP="00945A0C">
            <w:pPr>
              <w:jc w:val="center"/>
              <w:rPr>
                <w:rFonts w:eastAsia="Calibri"/>
              </w:rPr>
            </w:pPr>
            <w:r w:rsidRPr="00815981">
              <w:rPr>
                <w:rFonts w:eastAsia="Calibri"/>
                <w:lang w:val="kk"/>
              </w:rPr>
              <w:t>(0,4%)</w:t>
            </w:r>
          </w:p>
        </w:tc>
        <w:tc>
          <w:tcPr>
            <w:tcW w:w="992" w:type="dxa"/>
            <w:shd w:val="clear" w:color="auto" w:fill="auto"/>
          </w:tcPr>
          <w:p w14:paraId="32BD7908" w14:textId="77777777" w:rsidR="00945A0C" w:rsidRPr="00815981" w:rsidRDefault="0054098D" w:rsidP="00945A0C">
            <w:pPr>
              <w:jc w:val="center"/>
              <w:rPr>
                <w:rFonts w:eastAsia="Calibri"/>
              </w:rPr>
            </w:pPr>
            <w:r w:rsidRPr="00815981">
              <w:rPr>
                <w:rFonts w:eastAsia="Calibri"/>
                <w:lang w:val="kk"/>
              </w:rPr>
              <w:t>11</w:t>
            </w:r>
          </w:p>
          <w:p w14:paraId="32BD7909" w14:textId="77777777" w:rsidR="00945A0C" w:rsidRPr="00815981" w:rsidRDefault="0054098D" w:rsidP="00945A0C">
            <w:pPr>
              <w:jc w:val="center"/>
              <w:rPr>
                <w:rFonts w:eastAsia="Calibri"/>
              </w:rPr>
            </w:pPr>
            <w:r w:rsidRPr="00815981">
              <w:rPr>
                <w:rFonts w:eastAsia="Calibri"/>
                <w:lang w:val="kk"/>
              </w:rPr>
              <w:t>(0,7%)</w:t>
            </w:r>
          </w:p>
        </w:tc>
        <w:tc>
          <w:tcPr>
            <w:tcW w:w="851" w:type="dxa"/>
            <w:shd w:val="clear" w:color="auto" w:fill="auto"/>
          </w:tcPr>
          <w:p w14:paraId="32BD790A" w14:textId="77777777" w:rsidR="00945A0C" w:rsidRPr="00815981" w:rsidRDefault="00945A0C" w:rsidP="00945A0C">
            <w:pPr>
              <w:jc w:val="center"/>
            </w:pPr>
          </w:p>
        </w:tc>
        <w:tc>
          <w:tcPr>
            <w:tcW w:w="936" w:type="dxa"/>
            <w:shd w:val="clear" w:color="auto" w:fill="auto"/>
          </w:tcPr>
          <w:p w14:paraId="32BD790B" w14:textId="77777777" w:rsidR="00945A0C" w:rsidRPr="00815981" w:rsidRDefault="0054098D" w:rsidP="00945A0C">
            <w:pPr>
              <w:jc w:val="center"/>
              <w:rPr>
                <w:rFonts w:eastAsia="Calibri"/>
              </w:rPr>
            </w:pPr>
            <w:r w:rsidRPr="00815981">
              <w:rPr>
                <w:rFonts w:eastAsia="Calibri"/>
                <w:lang w:val="kk"/>
              </w:rPr>
              <w:t>3</w:t>
            </w:r>
          </w:p>
          <w:p w14:paraId="32BD790C" w14:textId="77777777" w:rsidR="00945A0C" w:rsidRPr="00815981" w:rsidRDefault="0054098D" w:rsidP="00945A0C">
            <w:pPr>
              <w:jc w:val="center"/>
              <w:rPr>
                <w:rFonts w:eastAsia="Calibri"/>
              </w:rPr>
            </w:pPr>
            <w:r w:rsidRPr="00815981">
              <w:rPr>
                <w:rFonts w:eastAsia="Calibri"/>
                <w:lang w:val="kk"/>
              </w:rPr>
              <w:t>(0,4%)</w:t>
            </w:r>
          </w:p>
        </w:tc>
        <w:tc>
          <w:tcPr>
            <w:tcW w:w="906" w:type="dxa"/>
            <w:shd w:val="clear" w:color="auto" w:fill="auto"/>
          </w:tcPr>
          <w:p w14:paraId="32BD790D" w14:textId="77777777" w:rsidR="00945A0C" w:rsidRPr="00815981" w:rsidRDefault="0054098D" w:rsidP="00945A0C">
            <w:pPr>
              <w:jc w:val="center"/>
              <w:rPr>
                <w:rFonts w:eastAsia="Calibri"/>
              </w:rPr>
            </w:pPr>
            <w:r w:rsidRPr="00815981">
              <w:rPr>
                <w:rFonts w:eastAsia="Calibri"/>
                <w:lang w:val="kk"/>
              </w:rPr>
              <w:t>15</w:t>
            </w:r>
          </w:p>
          <w:p w14:paraId="32BD790E" w14:textId="77777777" w:rsidR="00945A0C" w:rsidRPr="00815981" w:rsidRDefault="0054098D" w:rsidP="00945A0C">
            <w:pPr>
              <w:jc w:val="center"/>
              <w:rPr>
                <w:rFonts w:eastAsia="Calibri"/>
              </w:rPr>
            </w:pPr>
            <w:r w:rsidRPr="00815981">
              <w:rPr>
                <w:rFonts w:eastAsia="Calibri"/>
                <w:lang w:val="kk"/>
              </w:rPr>
              <w:t>(1,7%)</w:t>
            </w:r>
          </w:p>
        </w:tc>
        <w:tc>
          <w:tcPr>
            <w:tcW w:w="851" w:type="dxa"/>
            <w:shd w:val="clear" w:color="auto" w:fill="auto"/>
          </w:tcPr>
          <w:p w14:paraId="32BD790F" w14:textId="77777777" w:rsidR="00945A0C" w:rsidRPr="00815981" w:rsidRDefault="00945A0C" w:rsidP="00945A0C">
            <w:pPr>
              <w:jc w:val="center"/>
            </w:pPr>
          </w:p>
        </w:tc>
        <w:tc>
          <w:tcPr>
            <w:tcW w:w="778" w:type="dxa"/>
            <w:shd w:val="clear" w:color="auto" w:fill="auto"/>
          </w:tcPr>
          <w:p w14:paraId="32BD7910" w14:textId="77777777" w:rsidR="00945A0C" w:rsidRPr="00815981" w:rsidRDefault="0054098D" w:rsidP="00945A0C">
            <w:pPr>
              <w:jc w:val="center"/>
              <w:rPr>
                <w:rFonts w:eastAsia="Calibri"/>
              </w:rPr>
            </w:pPr>
            <w:r w:rsidRPr="00815981">
              <w:rPr>
                <w:rFonts w:eastAsia="Calibri"/>
                <w:lang w:val="kk"/>
              </w:rPr>
              <w:t>8</w:t>
            </w:r>
          </w:p>
          <w:p w14:paraId="32BD7911" w14:textId="77777777" w:rsidR="00945A0C" w:rsidRPr="00815981" w:rsidRDefault="0054098D" w:rsidP="00945A0C">
            <w:pPr>
              <w:jc w:val="center"/>
              <w:rPr>
                <w:rFonts w:eastAsia="Calibri"/>
              </w:rPr>
            </w:pPr>
            <w:r w:rsidRPr="00815981">
              <w:rPr>
                <w:rFonts w:eastAsia="Calibri"/>
                <w:lang w:val="kk"/>
              </w:rPr>
              <w:t>(1,0%)</w:t>
            </w:r>
          </w:p>
        </w:tc>
        <w:tc>
          <w:tcPr>
            <w:tcW w:w="923" w:type="dxa"/>
            <w:shd w:val="clear" w:color="auto" w:fill="auto"/>
          </w:tcPr>
          <w:p w14:paraId="32BD7912" w14:textId="77777777" w:rsidR="00945A0C" w:rsidRPr="00815981" w:rsidRDefault="0054098D" w:rsidP="00945A0C">
            <w:pPr>
              <w:jc w:val="center"/>
              <w:rPr>
                <w:rFonts w:eastAsia="Calibri"/>
              </w:rPr>
            </w:pPr>
            <w:r w:rsidRPr="00815981">
              <w:rPr>
                <w:rFonts w:eastAsia="Calibri"/>
                <w:lang w:val="kk"/>
              </w:rPr>
              <w:t>24</w:t>
            </w:r>
          </w:p>
          <w:p w14:paraId="32BD7913" w14:textId="77777777" w:rsidR="00945A0C" w:rsidRPr="00815981" w:rsidRDefault="0054098D" w:rsidP="00945A0C">
            <w:pPr>
              <w:jc w:val="center"/>
              <w:rPr>
                <w:rFonts w:eastAsia="Calibri"/>
              </w:rPr>
            </w:pPr>
            <w:r w:rsidRPr="00815981">
              <w:rPr>
                <w:rFonts w:eastAsia="Calibri"/>
                <w:lang w:val="kk"/>
              </w:rPr>
              <w:t>(2,7%)</w:t>
            </w:r>
          </w:p>
        </w:tc>
        <w:tc>
          <w:tcPr>
            <w:tcW w:w="768" w:type="dxa"/>
            <w:shd w:val="clear" w:color="auto" w:fill="auto"/>
          </w:tcPr>
          <w:p w14:paraId="32BD7914" w14:textId="77777777" w:rsidR="00945A0C" w:rsidRPr="00815981" w:rsidRDefault="00945A0C" w:rsidP="00945A0C">
            <w:pPr>
              <w:jc w:val="center"/>
            </w:pPr>
          </w:p>
        </w:tc>
      </w:tr>
      <w:tr w:rsidR="00234FE7" w14:paraId="32BD7931" w14:textId="77777777" w:rsidTr="00F406CD">
        <w:tc>
          <w:tcPr>
            <w:tcW w:w="1526" w:type="dxa"/>
            <w:shd w:val="clear" w:color="auto" w:fill="auto"/>
          </w:tcPr>
          <w:p w14:paraId="32BD7921" w14:textId="77777777" w:rsidR="00945A0C" w:rsidRPr="00815981" w:rsidRDefault="0054098D" w:rsidP="00945A0C">
            <w:pPr>
              <w:rPr>
                <w:rFonts w:eastAsia="Calibri"/>
              </w:rPr>
            </w:pPr>
            <w:r w:rsidRPr="00815981">
              <w:rPr>
                <w:rFonts w:eastAsia="Calibri"/>
                <w:lang w:val="kk"/>
              </w:rPr>
              <w:t>Үлкен қан кетулер</w:t>
            </w:r>
          </w:p>
        </w:tc>
        <w:tc>
          <w:tcPr>
            <w:tcW w:w="1134" w:type="dxa"/>
            <w:shd w:val="clear" w:color="auto" w:fill="auto"/>
          </w:tcPr>
          <w:p w14:paraId="32BD7922" w14:textId="77777777" w:rsidR="00945A0C" w:rsidRPr="00815981" w:rsidRDefault="0054098D" w:rsidP="00945A0C">
            <w:pPr>
              <w:jc w:val="center"/>
              <w:rPr>
                <w:rFonts w:eastAsia="Calibri"/>
              </w:rPr>
            </w:pPr>
            <w:r w:rsidRPr="00815981">
              <w:rPr>
                <w:rFonts w:eastAsia="Calibri"/>
                <w:lang w:val="kk"/>
              </w:rPr>
              <w:t>6</w:t>
            </w:r>
          </w:p>
          <w:p w14:paraId="32BD7923" w14:textId="77777777" w:rsidR="00945A0C" w:rsidRPr="00815981" w:rsidRDefault="0054098D" w:rsidP="00945A0C">
            <w:pPr>
              <w:jc w:val="center"/>
              <w:rPr>
                <w:rFonts w:eastAsia="Calibri"/>
              </w:rPr>
            </w:pPr>
            <w:r w:rsidRPr="00815981">
              <w:rPr>
                <w:rFonts w:eastAsia="Calibri"/>
                <w:lang w:val="kk"/>
              </w:rPr>
              <w:t>(0,3%)</w:t>
            </w:r>
          </w:p>
        </w:tc>
        <w:tc>
          <w:tcPr>
            <w:tcW w:w="992" w:type="dxa"/>
            <w:shd w:val="clear" w:color="auto" w:fill="auto"/>
          </w:tcPr>
          <w:p w14:paraId="32BD7924" w14:textId="77777777" w:rsidR="00945A0C" w:rsidRPr="00815981" w:rsidRDefault="0054098D" w:rsidP="00945A0C">
            <w:pPr>
              <w:jc w:val="center"/>
              <w:rPr>
                <w:rFonts w:eastAsia="Calibri"/>
              </w:rPr>
            </w:pPr>
            <w:r w:rsidRPr="00815981">
              <w:rPr>
                <w:rFonts w:eastAsia="Calibri"/>
                <w:lang w:val="kk"/>
              </w:rPr>
              <w:t>2</w:t>
            </w:r>
          </w:p>
          <w:p w14:paraId="32BD7925" w14:textId="77777777" w:rsidR="00945A0C" w:rsidRPr="00815981" w:rsidRDefault="0054098D" w:rsidP="00945A0C">
            <w:pPr>
              <w:jc w:val="center"/>
              <w:rPr>
                <w:rFonts w:eastAsia="Calibri"/>
              </w:rPr>
            </w:pPr>
            <w:r w:rsidRPr="00815981">
              <w:rPr>
                <w:rFonts w:eastAsia="Calibri"/>
                <w:lang w:val="kk"/>
              </w:rPr>
              <w:t>(0,1%)</w:t>
            </w:r>
          </w:p>
        </w:tc>
        <w:tc>
          <w:tcPr>
            <w:tcW w:w="851" w:type="dxa"/>
            <w:shd w:val="clear" w:color="auto" w:fill="auto"/>
          </w:tcPr>
          <w:p w14:paraId="32BD7926" w14:textId="77777777" w:rsidR="00945A0C" w:rsidRPr="00815981" w:rsidRDefault="00945A0C" w:rsidP="00945A0C">
            <w:pPr>
              <w:jc w:val="center"/>
            </w:pPr>
          </w:p>
        </w:tc>
        <w:tc>
          <w:tcPr>
            <w:tcW w:w="936" w:type="dxa"/>
            <w:shd w:val="clear" w:color="auto" w:fill="auto"/>
          </w:tcPr>
          <w:p w14:paraId="32BD7927" w14:textId="77777777" w:rsidR="00945A0C" w:rsidRPr="00815981" w:rsidRDefault="0054098D" w:rsidP="00945A0C">
            <w:pPr>
              <w:jc w:val="center"/>
              <w:rPr>
                <w:rFonts w:eastAsia="Calibri"/>
              </w:rPr>
            </w:pPr>
            <w:r w:rsidRPr="00815981">
              <w:rPr>
                <w:rFonts w:eastAsia="Calibri"/>
                <w:lang w:val="kk"/>
              </w:rPr>
              <w:t>1</w:t>
            </w:r>
          </w:p>
          <w:p w14:paraId="32BD7928" w14:textId="77777777" w:rsidR="00945A0C" w:rsidRPr="00815981" w:rsidRDefault="0054098D" w:rsidP="00945A0C">
            <w:pPr>
              <w:jc w:val="center"/>
              <w:rPr>
                <w:rFonts w:eastAsia="Calibri"/>
              </w:rPr>
            </w:pPr>
            <w:r w:rsidRPr="00815981">
              <w:rPr>
                <w:rFonts w:eastAsia="Calibri"/>
                <w:lang w:val="kk"/>
              </w:rPr>
              <w:t>(0,1%)</w:t>
            </w:r>
          </w:p>
        </w:tc>
        <w:tc>
          <w:tcPr>
            <w:tcW w:w="906" w:type="dxa"/>
            <w:shd w:val="clear" w:color="auto" w:fill="auto"/>
          </w:tcPr>
          <w:p w14:paraId="32BD7929" w14:textId="77777777" w:rsidR="00945A0C" w:rsidRPr="00815981" w:rsidRDefault="0054098D" w:rsidP="00945A0C">
            <w:pPr>
              <w:jc w:val="center"/>
              <w:rPr>
                <w:rFonts w:eastAsia="Calibri"/>
              </w:rPr>
            </w:pPr>
            <w:r w:rsidRPr="00815981">
              <w:rPr>
                <w:rFonts w:eastAsia="Calibri"/>
                <w:lang w:val="kk"/>
              </w:rPr>
              <w:t>1</w:t>
            </w:r>
          </w:p>
          <w:p w14:paraId="32BD792A" w14:textId="77777777" w:rsidR="00945A0C" w:rsidRPr="00815981" w:rsidRDefault="0054098D" w:rsidP="00945A0C">
            <w:pPr>
              <w:jc w:val="center"/>
              <w:rPr>
                <w:rFonts w:eastAsia="Calibri"/>
              </w:rPr>
            </w:pPr>
            <w:r w:rsidRPr="00815981">
              <w:rPr>
                <w:rFonts w:eastAsia="Calibri"/>
                <w:lang w:val="kk"/>
              </w:rPr>
              <w:t>(0,1%)</w:t>
            </w:r>
          </w:p>
        </w:tc>
        <w:tc>
          <w:tcPr>
            <w:tcW w:w="851" w:type="dxa"/>
            <w:shd w:val="clear" w:color="auto" w:fill="auto"/>
          </w:tcPr>
          <w:p w14:paraId="32BD792B" w14:textId="77777777" w:rsidR="00945A0C" w:rsidRPr="00815981" w:rsidRDefault="00945A0C" w:rsidP="00945A0C">
            <w:pPr>
              <w:jc w:val="center"/>
            </w:pPr>
          </w:p>
        </w:tc>
        <w:tc>
          <w:tcPr>
            <w:tcW w:w="778" w:type="dxa"/>
            <w:shd w:val="clear" w:color="auto" w:fill="auto"/>
          </w:tcPr>
          <w:p w14:paraId="32BD792C" w14:textId="77777777" w:rsidR="00945A0C" w:rsidRPr="00815981" w:rsidRDefault="0054098D" w:rsidP="00945A0C">
            <w:pPr>
              <w:jc w:val="center"/>
              <w:rPr>
                <w:rFonts w:eastAsia="Calibri"/>
              </w:rPr>
            </w:pPr>
            <w:r w:rsidRPr="00815981">
              <w:rPr>
                <w:rFonts w:eastAsia="Calibri"/>
                <w:lang w:val="kk"/>
              </w:rPr>
              <w:t>7</w:t>
            </w:r>
          </w:p>
          <w:p w14:paraId="32BD792D" w14:textId="77777777" w:rsidR="00945A0C" w:rsidRPr="00815981" w:rsidRDefault="0054098D" w:rsidP="00945A0C">
            <w:pPr>
              <w:jc w:val="center"/>
              <w:rPr>
                <w:rFonts w:eastAsia="Calibri"/>
              </w:rPr>
            </w:pPr>
            <w:r w:rsidRPr="00815981">
              <w:rPr>
                <w:rFonts w:eastAsia="Calibri"/>
                <w:lang w:val="kk"/>
              </w:rPr>
              <w:t>(0,6%)</w:t>
            </w:r>
          </w:p>
        </w:tc>
        <w:tc>
          <w:tcPr>
            <w:tcW w:w="923" w:type="dxa"/>
            <w:shd w:val="clear" w:color="auto" w:fill="auto"/>
          </w:tcPr>
          <w:p w14:paraId="32BD792E" w14:textId="77777777" w:rsidR="00945A0C" w:rsidRPr="00815981" w:rsidRDefault="0054098D" w:rsidP="00945A0C">
            <w:pPr>
              <w:jc w:val="center"/>
              <w:rPr>
                <w:rFonts w:eastAsia="Calibri"/>
              </w:rPr>
            </w:pPr>
            <w:r w:rsidRPr="00815981">
              <w:rPr>
                <w:rFonts w:eastAsia="Calibri"/>
                <w:lang w:val="kk"/>
              </w:rPr>
              <w:t>6</w:t>
            </w:r>
          </w:p>
          <w:p w14:paraId="32BD792F" w14:textId="77777777" w:rsidR="00945A0C" w:rsidRPr="00815981" w:rsidRDefault="0054098D" w:rsidP="00945A0C">
            <w:pPr>
              <w:jc w:val="center"/>
              <w:rPr>
                <w:rFonts w:eastAsia="Calibri"/>
              </w:rPr>
            </w:pPr>
            <w:r w:rsidRPr="00815981">
              <w:rPr>
                <w:rFonts w:eastAsia="Calibri"/>
                <w:lang w:val="kk"/>
              </w:rPr>
              <w:t>(0,5%)</w:t>
            </w:r>
          </w:p>
        </w:tc>
        <w:tc>
          <w:tcPr>
            <w:tcW w:w="768" w:type="dxa"/>
            <w:shd w:val="clear" w:color="auto" w:fill="auto"/>
          </w:tcPr>
          <w:p w14:paraId="32BD7930" w14:textId="77777777" w:rsidR="00945A0C" w:rsidRPr="00815981" w:rsidRDefault="00945A0C" w:rsidP="00945A0C">
            <w:pPr>
              <w:jc w:val="center"/>
            </w:pPr>
          </w:p>
        </w:tc>
      </w:tr>
    </w:tbl>
    <w:p w14:paraId="32BD7933" w14:textId="3AA5D30E" w:rsidR="00945A0C" w:rsidRPr="00810340" w:rsidRDefault="0054098D" w:rsidP="006E3B90">
      <w:pPr>
        <w:jc w:val="both"/>
        <w:rPr>
          <w:rFonts w:eastAsia="Calibri"/>
        </w:rPr>
      </w:pPr>
      <w:r w:rsidRPr="00810340">
        <w:rPr>
          <w:rFonts w:eastAsia="Calibri"/>
          <w:lang w:val="kk"/>
        </w:rPr>
        <w:t>III фазадағы зерттеу нәтижелерінің жиынтық талдауы тәулігіне бір рет 40 мг эноксапаринмен салыстырғанда тәулігіне бір рет 10 мг ривароксабанды қабылдау кезінде ВТЭ жағдайларының, ауыр ВТЭ және симптомдық ВТЭ жағдайларының жалпы санының азаюына қатысты жекелеген зерттеулерде алынған нәтижелерді растайды.</w:t>
      </w:r>
    </w:p>
    <w:p w14:paraId="32BD7935" w14:textId="4543AE30" w:rsidR="00945A0C" w:rsidRPr="0054098D" w:rsidRDefault="0054098D" w:rsidP="006E3B90">
      <w:pPr>
        <w:tabs>
          <w:tab w:val="center" w:pos="4153"/>
          <w:tab w:val="right" w:pos="8306"/>
        </w:tabs>
        <w:jc w:val="both"/>
        <w:rPr>
          <w:lang w:val="kk"/>
        </w:rPr>
      </w:pPr>
      <w:r w:rsidRPr="00810340">
        <w:rPr>
          <w:lang w:val="kk"/>
        </w:rPr>
        <w:t>III фазадағы RECORD бағдарламасына қосымша, тіркеуден кейінгі интервенциялық емес ашық когорталық зерттеу (XAMOS) 17 413 пациенттің қатысуымен жүргізілді, оларға ұршықбуынға немесе тізебуынға ауқымды ортопедиялық хирургиялық операция жасалды, онда ривароксабанды нақты клиникалық практика жағдайында тромбоздың басқа стандартты фармакологиялық профилактикасымен салыстырды. Симптомдық ВТЭ ривароксабан тобындағы (n=8778) 57 (0,6%) пациенттерде және стандартты емдеу тобындағы (n=8635; ҚҚ 0,63; 95% СА 0,43-0,91) 88 (1,0%) пациенттерде байқалды; қауіпсіздік популяциясы). Үлкен қан кетулер ривароксабан және стандартты емдеу топтарындағы тиісінше 35 (0,4%) және 29 (0,3%) пациентте байқалды (ҚҚ 1,10; 95% СА 0,67-</w:t>
      </w:r>
      <w:r w:rsidRPr="00810340">
        <w:rPr>
          <w:lang w:val="kk"/>
        </w:rPr>
        <w:lastRenderedPageBreak/>
        <w:t xml:space="preserve">1,80). Осылайша, алынған мәліметтер негізгі рандомизацияланған зерттеулердің нәтижелерін растады. </w:t>
      </w:r>
    </w:p>
    <w:p w14:paraId="32BD7936" w14:textId="77777777" w:rsidR="00945A0C" w:rsidRPr="0054098D" w:rsidRDefault="0054098D" w:rsidP="00945A0C">
      <w:pPr>
        <w:rPr>
          <w:i/>
          <w:lang w:val="kk"/>
        </w:rPr>
      </w:pPr>
      <w:r w:rsidRPr="00810340">
        <w:rPr>
          <w:i/>
          <w:lang w:val="kk" w:bidi="ru-RU"/>
        </w:rPr>
        <w:t>ТВТ және ӨАТЭ емдеу және ТВТ және ӨАТЭ қайталануының профилактикасы</w:t>
      </w:r>
    </w:p>
    <w:p w14:paraId="32BD7937" w14:textId="627A0BFF" w:rsidR="00945A0C" w:rsidRPr="0054098D" w:rsidRDefault="0054098D" w:rsidP="00945A0C">
      <w:pPr>
        <w:autoSpaceDE w:val="0"/>
        <w:autoSpaceDN w:val="0"/>
        <w:adjustRightInd w:val="0"/>
        <w:spacing w:line="280" w:lineRule="atLeast"/>
        <w:jc w:val="both"/>
        <w:rPr>
          <w:color w:val="000000"/>
          <w:lang w:val="kk"/>
        </w:rPr>
      </w:pPr>
      <w:r w:rsidRPr="00810340">
        <w:rPr>
          <w:color w:val="000000"/>
          <w:lang w:val="kk" w:bidi="ru-RU"/>
        </w:rPr>
        <w:t>Ривароксабанға арналған клиникалық бағдарлама ривароксабанның ТВТ мен ӨАТЭ бастапқы және ұзартылған емінің тиімділігін көрсету және қайталануларының профилактикасы үшін әзірленді.</w:t>
      </w:r>
    </w:p>
    <w:p w14:paraId="32BD7938" w14:textId="77777777" w:rsidR="00945A0C" w:rsidRPr="0054098D" w:rsidRDefault="0054098D" w:rsidP="00945A0C">
      <w:pPr>
        <w:autoSpaceDE w:val="0"/>
        <w:autoSpaceDN w:val="0"/>
        <w:adjustRightInd w:val="0"/>
        <w:spacing w:line="280" w:lineRule="atLeast"/>
        <w:jc w:val="both"/>
        <w:rPr>
          <w:color w:val="000000"/>
          <w:lang w:val="kk"/>
        </w:rPr>
      </w:pPr>
      <w:r w:rsidRPr="00810340">
        <w:rPr>
          <w:color w:val="000000"/>
          <w:lang w:val="kk" w:bidi="ru-RU"/>
        </w:rPr>
        <w:t>III фазадағы төрт рандомизацияланған клиникалық зерттеуге 12 800-ден астам пациент қатысты (Einstein DVT, Einstein PE, Einstein Extension және Einstein Choice); сонымен қатар, Einstein DVT және Einstein PE зерттеулеріне жиынтық талдау жасалды. Барлық үш зерттеуде емдеудің жалпы жиынтық ұзақтығы 21 айдан аспады.</w:t>
      </w:r>
    </w:p>
    <w:p w14:paraId="32BD7939" w14:textId="77777777" w:rsidR="00945A0C" w:rsidRPr="0054098D" w:rsidRDefault="0054098D" w:rsidP="00945A0C">
      <w:pPr>
        <w:autoSpaceDE w:val="0"/>
        <w:autoSpaceDN w:val="0"/>
        <w:adjustRightInd w:val="0"/>
        <w:spacing w:line="280" w:lineRule="atLeast"/>
        <w:jc w:val="both"/>
        <w:rPr>
          <w:color w:val="000000"/>
          <w:lang w:val="kk"/>
        </w:rPr>
      </w:pPr>
      <w:r w:rsidRPr="00810340">
        <w:rPr>
          <w:color w:val="000000"/>
          <w:lang w:val="kk" w:bidi="ru-RU"/>
        </w:rPr>
        <w:t>Einstein DVT зерттеуіне ТВТ емдеу және ТВТ және ӨАТЭ қайталануларының профилактикасы мақсатында жедел ТВТ бар 3 449 пациент қосылды (ӨАТЭ симптомдары байқалған пациенттер осы зерттеуден шығарылды). Емдеу ұзақтығы зерттеушінің клиникалық бағалауына байланысты 3, 6 немесе 12 айды құрады.</w:t>
      </w:r>
    </w:p>
    <w:p w14:paraId="32BD793A" w14:textId="77777777" w:rsidR="00945A0C" w:rsidRPr="0054098D" w:rsidRDefault="0054098D" w:rsidP="00945A0C">
      <w:pPr>
        <w:autoSpaceDE w:val="0"/>
        <w:autoSpaceDN w:val="0"/>
        <w:adjustRightInd w:val="0"/>
        <w:spacing w:line="280" w:lineRule="atLeast"/>
        <w:jc w:val="both"/>
        <w:rPr>
          <w:color w:val="000000"/>
          <w:lang w:val="kk"/>
        </w:rPr>
      </w:pPr>
      <w:r w:rsidRPr="00810340">
        <w:rPr>
          <w:color w:val="000000"/>
          <w:lang w:val="kk" w:bidi="ru-RU"/>
        </w:rPr>
        <w:t>Жедел ТВТ емдеудің алғашқы үш аптасында пациенттер күніне екі рет 15 мг ривароксабан қабылдады, содан кейін дозасы күніне бір рет 20 мг-ге өзгертілді.</w:t>
      </w:r>
    </w:p>
    <w:p w14:paraId="32BD793B" w14:textId="77777777" w:rsidR="00945A0C" w:rsidRPr="0054098D" w:rsidRDefault="0054098D" w:rsidP="00945A0C">
      <w:pPr>
        <w:autoSpaceDE w:val="0"/>
        <w:autoSpaceDN w:val="0"/>
        <w:adjustRightInd w:val="0"/>
        <w:spacing w:line="280" w:lineRule="atLeast"/>
        <w:jc w:val="both"/>
        <w:rPr>
          <w:color w:val="000000"/>
          <w:lang w:val="kk"/>
        </w:rPr>
      </w:pPr>
      <w:r w:rsidRPr="00810340">
        <w:rPr>
          <w:color w:val="000000"/>
          <w:lang w:val="kk" w:bidi="ru-RU"/>
        </w:rPr>
        <w:t>Einstein PE зерттеуіне ӨАТЭ емдеу және ТВТ және ӨАТЭ қайталануларының профилактикасы мақсатында жедел ӨАТЭ бар 4 832 пациент қосылды. Емдеу ұзақтығы зерттеушінің клиникалық бағалауына байланысты 3, 6 немесе 12 айды құрады.</w:t>
      </w:r>
    </w:p>
    <w:p w14:paraId="32BD793C" w14:textId="77777777" w:rsidR="00945A0C" w:rsidRPr="0054098D" w:rsidRDefault="0054098D" w:rsidP="00945A0C">
      <w:pPr>
        <w:autoSpaceDE w:val="0"/>
        <w:autoSpaceDN w:val="0"/>
        <w:adjustRightInd w:val="0"/>
        <w:spacing w:line="280" w:lineRule="atLeast"/>
        <w:jc w:val="both"/>
        <w:rPr>
          <w:color w:val="000000"/>
          <w:lang w:val="kk"/>
        </w:rPr>
      </w:pPr>
      <w:r w:rsidRPr="00810340">
        <w:rPr>
          <w:color w:val="000000"/>
          <w:lang w:val="kk" w:bidi="ru-RU"/>
        </w:rPr>
        <w:t>Жедел ӨАТЭ емдеуді бастау кезінде пациенттер үш апта бойы күніне екі рет 15 мг ривароксабанды қабылдады, содан кейін дозасы күніне бір рет 20 мг-ге өзгертілді.</w:t>
      </w:r>
    </w:p>
    <w:p w14:paraId="32BD793D" w14:textId="6F3CD580" w:rsidR="00945A0C" w:rsidRPr="0054098D" w:rsidRDefault="0054098D" w:rsidP="00945A0C">
      <w:pPr>
        <w:autoSpaceDE w:val="0"/>
        <w:autoSpaceDN w:val="0"/>
        <w:adjustRightInd w:val="0"/>
        <w:spacing w:line="280" w:lineRule="atLeast"/>
        <w:jc w:val="both"/>
        <w:rPr>
          <w:color w:val="000000"/>
          <w:lang w:val="kk"/>
        </w:rPr>
      </w:pPr>
      <w:r w:rsidRPr="00810340">
        <w:rPr>
          <w:color w:val="000000"/>
          <w:lang w:val="kk" w:bidi="ru-RU"/>
        </w:rPr>
        <w:t>Einstein DVT және Einstein PE екі зерттеуінде ривароксабанның әртүрлі режимдері эноксапаринмен салыстырылды, оны ПУ/ХҚҚ көрсеткіштері емдік диапазонға жеткенге дейін (≥ 2,0) К дәрумені антагонисін қабылдаумен бірге кемінде 5 күн қабылдады. Содан кейін емдеу К дәруменінің антагонисі арқылы жалғасты, оның дозасы ПУ/ХҚҚ мәндері емдік шектерде (2,0-ден 3,0-ге дейін) сақталатындай етіп түзетілді.</w:t>
      </w:r>
    </w:p>
    <w:p w14:paraId="32BD793E" w14:textId="040CB6C2" w:rsidR="00945A0C" w:rsidRPr="0054098D" w:rsidRDefault="0054098D" w:rsidP="00945A0C">
      <w:pPr>
        <w:autoSpaceDE w:val="0"/>
        <w:autoSpaceDN w:val="0"/>
        <w:adjustRightInd w:val="0"/>
        <w:spacing w:line="280" w:lineRule="atLeast"/>
        <w:jc w:val="both"/>
        <w:rPr>
          <w:color w:val="000000"/>
          <w:lang w:val="kk"/>
        </w:rPr>
      </w:pPr>
      <w:r w:rsidRPr="00810340">
        <w:rPr>
          <w:color w:val="000000"/>
          <w:lang w:val="kk" w:bidi="ru-RU"/>
        </w:rPr>
        <w:t>Einstein Extension зерттеуіне ТВТ және ӨАТЭ қайталануының профилактикасы үшін 1 197 пациент енгізілді. Зерттеушінің клиникалық бағалауына байланысты 6-12 айдан бастап веналық  тромбоэмболияны емдеу курсынан бұрын өткен пациенттерде емдеу ұзақтығы қосымша 6-12 айды құрады. 20 мг ривароксабан плацебомен салыстырылды.</w:t>
      </w:r>
    </w:p>
    <w:p w14:paraId="32BD793F" w14:textId="77777777" w:rsidR="00945A0C" w:rsidRPr="0054098D" w:rsidRDefault="0054098D" w:rsidP="00945A0C">
      <w:pPr>
        <w:autoSpaceDE w:val="0"/>
        <w:autoSpaceDN w:val="0"/>
        <w:adjustRightInd w:val="0"/>
        <w:spacing w:line="280" w:lineRule="atLeast"/>
        <w:jc w:val="both"/>
        <w:rPr>
          <w:color w:val="000000"/>
          <w:lang w:val="kk"/>
        </w:rPr>
      </w:pPr>
      <w:r w:rsidRPr="00810340">
        <w:rPr>
          <w:color w:val="000000"/>
          <w:lang w:val="kk" w:bidi="ru-RU"/>
        </w:rPr>
        <w:t>Einstein DVT, PE және Extension зерттеулерінде бірдей алдын-ала анықталған тиімділігінің бастапқы және екінші реттік ақырғы нүктелері пайдаланылды. Тиімділігінің бастапқы ақырғы нүктесі ТВТ қайталануларының жиынтық жиілігі немесе өлімге әкелетін немесе өлімге әкелмейтін ӨАТЭ ретінде анықталған ТВТ симптомдық қайталануы болды. Тиімділігінің екіншілік ақырғы нүктесі кез келген себептерге байланысты ТВТ қайталануларының, өлімге әкелмейтін ӨАТЭ және өлім-жітімнің жиынтық жиілігі ретінде анықталды.</w:t>
      </w:r>
    </w:p>
    <w:p w14:paraId="32BD7940" w14:textId="5263148B" w:rsidR="00945A0C" w:rsidRPr="0054098D" w:rsidRDefault="0054098D" w:rsidP="00945A0C">
      <w:pPr>
        <w:autoSpaceDE w:val="0"/>
        <w:autoSpaceDN w:val="0"/>
        <w:adjustRightInd w:val="0"/>
        <w:spacing w:line="280" w:lineRule="atLeast"/>
        <w:jc w:val="both"/>
        <w:rPr>
          <w:color w:val="000000"/>
          <w:lang w:val="kk"/>
        </w:rPr>
      </w:pPr>
      <w:r w:rsidRPr="00810340">
        <w:rPr>
          <w:color w:val="000000"/>
          <w:lang w:val="kk" w:bidi="ru-RU"/>
        </w:rPr>
        <w:t>Einstein Choice зерттеуіне бұрын 6-12 ай бойы антикоагулянттық ем қабылдаған симптомдық ТВТ және/немесе ӨАТЭ эпизоды расталған пациенттерде өлімге әкелетін ӨАТЭ немесе өлімге әкелмейтін симптомдық ТВТ немесе ӨАТЭ профилактикасы үшін 3 396 пациент қатысты. Антикоагулянттық емдеуді жалғастыруға көрсетілімдері бар пациенттер зерттеуден шығарылды. Емнің ұзақтығы рандомизацияның жеке күніне байланысты 12 айға дейінді құрады (орташа мәні - 351 күн). Күніне бір рет 20 мг ривароксабанды және күніне бір рет 10 мг ривароксабанды қабылдау күніне бір рет 100 мг ацетилсалицил қышқылын қабылдаумен салыстырылды.</w:t>
      </w:r>
    </w:p>
    <w:p w14:paraId="32BD7941" w14:textId="77777777" w:rsidR="00945A0C" w:rsidRPr="0054098D" w:rsidRDefault="0054098D" w:rsidP="00945A0C">
      <w:pPr>
        <w:autoSpaceDE w:val="0"/>
        <w:autoSpaceDN w:val="0"/>
        <w:adjustRightInd w:val="0"/>
        <w:spacing w:line="280" w:lineRule="atLeast"/>
        <w:jc w:val="both"/>
        <w:rPr>
          <w:color w:val="000000"/>
          <w:lang w:val="kk"/>
        </w:rPr>
      </w:pPr>
      <w:r w:rsidRPr="00810340">
        <w:rPr>
          <w:color w:val="000000"/>
          <w:lang w:val="kk" w:bidi="ru-RU"/>
        </w:rPr>
        <w:t>Тиімділігінің бастапқы ақырғы нүктесі ТВТ қайталануларының жиынтық жиілігі немесе өлімге әкелетін немесе өлімге әкелмейтін ӨАТЭ ретінде анықталған ТВТ симптомдық қайталануы болды.</w:t>
      </w:r>
    </w:p>
    <w:p w14:paraId="32BD7942" w14:textId="66019189" w:rsidR="00945A0C" w:rsidRPr="0054098D" w:rsidRDefault="0054098D" w:rsidP="00945A0C">
      <w:pPr>
        <w:autoSpaceDE w:val="0"/>
        <w:autoSpaceDN w:val="0"/>
        <w:adjustRightInd w:val="0"/>
        <w:spacing w:line="280" w:lineRule="atLeast"/>
        <w:jc w:val="both"/>
        <w:rPr>
          <w:color w:val="000000"/>
          <w:lang w:val="kk"/>
        </w:rPr>
      </w:pPr>
      <w:bookmarkStart w:id="15" w:name="_Hlk19894685"/>
      <w:r w:rsidRPr="00810340">
        <w:rPr>
          <w:color w:val="000000"/>
          <w:lang w:val="kk" w:bidi="ru-RU"/>
        </w:rPr>
        <w:t xml:space="preserve">Einstein DVT зерттеуінде </w:t>
      </w:r>
      <w:bookmarkEnd w:id="15"/>
      <w:r w:rsidRPr="00810340">
        <w:rPr>
          <w:color w:val="000000"/>
          <w:lang w:val="kk" w:bidi="ru-RU"/>
        </w:rPr>
        <w:t xml:space="preserve">(5-кестені қараңыз) ривароксабан тиімділігінің бастапқы көрсеткіші бойынша эноксапарин/КДА біріктірілімінен кем түспеді (p &lt;0,0001 (тиімділігі кем емес зерттеу); қауіптер арақатынасы: 0,680 (0,443–1,042), p=0,076 (басымдылықты зерттеу). Алдын ала белгіленген таза клиникалық пайданы талдау нәтижелері (тиімділігінің </w:t>
      </w:r>
      <w:r w:rsidRPr="00810340">
        <w:rPr>
          <w:color w:val="000000"/>
          <w:lang w:val="kk" w:bidi="ru-RU"/>
        </w:rPr>
        <w:lastRenderedPageBreak/>
        <w:t>бастапқы ақырғы нүктесі плюс үлкен қан кету жағдайлары) қауіптер қатынасы 0,67 (95% сенімділік аралығы: 0,47–0,95), номиналды мәні p=0,027) ривароксабанның пайдасына болды. ХҚҚ мәндерінің емдік диапазонда болу уақыты орташа емдеу ұзақтығы 189 күн болғанда 60,3 % уақытты және емдеу ұзақтығы тиісінше 3, 6 және 12 ай болғанда 55,4%, 60,1% және 62,8 % құрады. Эноксапаринмен/КДА емдеу тобында бірдей мөлшердегі терцилдерде ЕДК орташа орталығының деңгейі (ХҚҚ 2,0-ден 3,0-ге дейінгі емдік диапазонда болу уақыты кезеңі) мен ТВТ қайталану жиілігі (өзара әрекеттесуі үшін P=0,932) арасында нақты байланыс байқалған жоқ. Орталықтан ең жоғарғы терциль шегінде варфаринмен салыстырғанда ривароксабанды қолдану кезіндегі қауіптер қатынасы 0,69 құрады (95% сенімділік аралығы: 0,35–1,35).</w:t>
      </w:r>
    </w:p>
    <w:p w14:paraId="32BD7943" w14:textId="77777777" w:rsidR="00945A0C" w:rsidRPr="0054098D" w:rsidRDefault="0054098D" w:rsidP="00945A0C">
      <w:pPr>
        <w:autoSpaceDE w:val="0"/>
        <w:autoSpaceDN w:val="0"/>
        <w:adjustRightInd w:val="0"/>
        <w:spacing w:line="280" w:lineRule="atLeast"/>
        <w:jc w:val="both"/>
        <w:rPr>
          <w:color w:val="000000"/>
          <w:lang w:val="kk"/>
        </w:rPr>
      </w:pPr>
      <w:r w:rsidRPr="00810340">
        <w:rPr>
          <w:color w:val="000000"/>
          <w:lang w:val="kk" w:bidi="ru-RU"/>
        </w:rPr>
        <w:t>Қауіпсіздігінің бастапқы ақырғы нүктесі оқиғаларының туындау жиілігі (үлкен немесе кіші клиникалық маңызды қан кетулер), сондай-ақ қауіпсіздігінің екіншілік ақырғы нүктесінің жиілігі (үлкен қан кетулер) емдеудің екі тобында да салыстырмалы болды.</w:t>
      </w:r>
    </w:p>
    <w:p w14:paraId="32BD7945" w14:textId="77777777" w:rsidR="00945A0C" w:rsidRPr="006153DC" w:rsidRDefault="0054098D" w:rsidP="00BD2F5B">
      <w:pPr>
        <w:keepNext/>
        <w:jc w:val="both"/>
        <w:outlineLvl w:val="0"/>
        <w:rPr>
          <w:rFonts w:ascii="Times New Roman(K)" w:hAnsi="Times New Roman(K)"/>
          <w:b/>
          <w:bCs/>
          <w:lang w:val="uk-UA"/>
        </w:rPr>
      </w:pPr>
      <w:r w:rsidRPr="006153DC">
        <w:rPr>
          <w:rFonts w:ascii="Times New Roman(K)" w:hAnsi="Times New Roman(K)"/>
          <w:b/>
          <w:bCs/>
          <w:lang w:val="kk" w:bidi="ru-RU"/>
        </w:rPr>
        <w:t>5-кесте. III фазадағы Einstein DVT клиникалық зерттеуіндегі тиімділігі және қауіпсіздігі</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85" w:type="dxa"/>
          <w:right w:w="85" w:type="dxa"/>
        </w:tblCellMar>
        <w:tblLook w:val="01E0" w:firstRow="1" w:lastRow="1" w:firstColumn="1" w:lastColumn="1" w:noHBand="0" w:noVBand="0"/>
      </w:tblPr>
      <w:tblGrid>
        <w:gridCol w:w="3511"/>
        <w:gridCol w:w="3258"/>
        <w:gridCol w:w="3039"/>
      </w:tblGrid>
      <w:tr w:rsidR="00234FE7" w14:paraId="32BD7949" w14:textId="77777777" w:rsidTr="00945A0C">
        <w:tc>
          <w:tcPr>
            <w:tcW w:w="1790" w:type="pct"/>
            <w:shd w:val="clear" w:color="auto" w:fill="auto"/>
          </w:tcPr>
          <w:p w14:paraId="32BD7946" w14:textId="77777777" w:rsidR="00945A0C" w:rsidRPr="006153DC" w:rsidRDefault="0054098D" w:rsidP="00945A0C">
            <w:pPr>
              <w:widowControl w:val="0"/>
              <w:autoSpaceDE w:val="0"/>
              <w:autoSpaceDN w:val="0"/>
              <w:adjustRightInd w:val="0"/>
              <w:rPr>
                <w:b/>
              </w:rPr>
            </w:pPr>
            <w:r w:rsidRPr="006153DC">
              <w:rPr>
                <w:rFonts w:eastAsia="Calibri"/>
                <w:b/>
                <w:lang w:val="kk"/>
              </w:rPr>
              <w:t>Зерттелетін популяция</w:t>
            </w:r>
          </w:p>
        </w:tc>
        <w:tc>
          <w:tcPr>
            <w:tcW w:w="3210" w:type="pct"/>
            <w:gridSpan w:val="2"/>
            <w:shd w:val="clear" w:color="auto" w:fill="auto"/>
          </w:tcPr>
          <w:p w14:paraId="32BD7947" w14:textId="77777777" w:rsidR="00945A0C" w:rsidRPr="006153DC" w:rsidRDefault="0054098D" w:rsidP="00945A0C">
            <w:pPr>
              <w:widowControl w:val="0"/>
              <w:autoSpaceDE w:val="0"/>
              <w:autoSpaceDN w:val="0"/>
              <w:adjustRightInd w:val="0"/>
              <w:rPr>
                <w:b/>
                <w:lang w:bidi="ru-RU"/>
              </w:rPr>
            </w:pPr>
            <w:r w:rsidRPr="006153DC">
              <w:rPr>
                <w:b/>
                <w:lang w:val="kk" w:bidi="ru-RU"/>
              </w:rPr>
              <w:t>Терең веналардың симптомдық жедел тромбозы бар 3 449 пациент</w:t>
            </w:r>
          </w:p>
          <w:p w14:paraId="32BD7948" w14:textId="77777777" w:rsidR="00945A0C" w:rsidRPr="006153DC" w:rsidRDefault="00945A0C" w:rsidP="00945A0C">
            <w:pPr>
              <w:widowControl w:val="0"/>
              <w:autoSpaceDE w:val="0"/>
              <w:autoSpaceDN w:val="0"/>
              <w:adjustRightInd w:val="0"/>
              <w:rPr>
                <w:b/>
              </w:rPr>
            </w:pPr>
          </w:p>
        </w:tc>
      </w:tr>
      <w:tr w:rsidR="00234FE7" w14:paraId="32BD794D" w14:textId="77777777" w:rsidTr="00945A0C">
        <w:tc>
          <w:tcPr>
            <w:tcW w:w="1790" w:type="pct"/>
            <w:shd w:val="clear" w:color="auto" w:fill="auto"/>
          </w:tcPr>
          <w:p w14:paraId="32BD794A" w14:textId="77777777" w:rsidR="00945A0C" w:rsidRPr="006153DC" w:rsidRDefault="0054098D" w:rsidP="00945A0C">
            <w:pPr>
              <w:widowControl w:val="0"/>
              <w:autoSpaceDE w:val="0"/>
              <w:autoSpaceDN w:val="0"/>
              <w:adjustRightInd w:val="0"/>
            </w:pPr>
            <w:r w:rsidRPr="006153DC">
              <w:rPr>
                <w:lang w:val="kk" w:bidi="ru-RU"/>
              </w:rPr>
              <w:t>Емі, дозалауы және ұзақтығы</w:t>
            </w:r>
          </w:p>
        </w:tc>
        <w:tc>
          <w:tcPr>
            <w:tcW w:w="1661" w:type="pct"/>
            <w:shd w:val="clear" w:color="auto" w:fill="auto"/>
          </w:tcPr>
          <w:p w14:paraId="54F7135E" w14:textId="77777777" w:rsidR="00BD2F5B" w:rsidRDefault="0054098D" w:rsidP="00945A0C">
            <w:pPr>
              <w:widowControl w:val="0"/>
              <w:autoSpaceDE w:val="0"/>
              <w:autoSpaceDN w:val="0"/>
              <w:adjustRightInd w:val="0"/>
              <w:rPr>
                <w:vertAlign w:val="superscript"/>
                <w:lang w:bidi="ru-RU"/>
              </w:rPr>
            </w:pPr>
            <w:r w:rsidRPr="006153DC">
              <w:rPr>
                <w:lang w:val="kk" w:bidi="ru-RU"/>
              </w:rPr>
              <w:t xml:space="preserve">Ривароксабан </w:t>
            </w:r>
            <w:r w:rsidR="00945A0C" w:rsidRPr="006153DC">
              <w:rPr>
                <w:vertAlign w:val="superscript"/>
                <w:lang w:val="kk" w:bidi="ru-RU"/>
              </w:rPr>
              <w:t>а)</w:t>
            </w:r>
          </w:p>
          <w:p w14:paraId="7FD9F6A2" w14:textId="77777777" w:rsidR="00812CB1" w:rsidRDefault="0054098D" w:rsidP="00945A0C">
            <w:pPr>
              <w:widowControl w:val="0"/>
              <w:autoSpaceDE w:val="0"/>
              <w:autoSpaceDN w:val="0"/>
              <w:adjustRightInd w:val="0"/>
              <w:rPr>
                <w:lang w:bidi="ru-RU"/>
              </w:rPr>
            </w:pPr>
            <w:r w:rsidRPr="006153DC">
              <w:rPr>
                <w:lang w:val="kk" w:bidi="ru-RU"/>
              </w:rPr>
              <w:t xml:space="preserve">3, 6 немесе 12 ай </w:t>
            </w:r>
          </w:p>
          <w:p w14:paraId="32BD794B" w14:textId="497A9CB0" w:rsidR="00945A0C" w:rsidRPr="006153DC" w:rsidRDefault="0054098D" w:rsidP="00945A0C">
            <w:pPr>
              <w:widowControl w:val="0"/>
              <w:autoSpaceDE w:val="0"/>
              <w:autoSpaceDN w:val="0"/>
              <w:adjustRightInd w:val="0"/>
            </w:pPr>
            <w:r w:rsidRPr="006153DC">
              <w:rPr>
                <w:lang w:val="kk" w:bidi="ru-RU"/>
              </w:rPr>
              <w:t>N=1,731</w:t>
            </w:r>
          </w:p>
        </w:tc>
        <w:tc>
          <w:tcPr>
            <w:tcW w:w="1549" w:type="pct"/>
            <w:shd w:val="clear" w:color="auto" w:fill="auto"/>
          </w:tcPr>
          <w:p w14:paraId="43D2535B" w14:textId="77777777" w:rsidR="00BD2F5B" w:rsidRDefault="0054098D" w:rsidP="00945A0C">
            <w:pPr>
              <w:widowControl w:val="0"/>
              <w:autoSpaceDE w:val="0"/>
              <w:autoSpaceDN w:val="0"/>
              <w:adjustRightInd w:val="0"/>
              <w:rPr>
                <w:vertAlign w:val="superscript"/>
                <w:lang w:bidi="ru-RU"/>
              </w:rPr>
            </w:pPr>
            <w:r w:rsidRPr="006153DC">
              <w:rPr>
                <w:lang w:val="kk" w:bidi="ru-RU"/>
              </w:rPr>
              <w:t>Эноксапарин/КДА</w:t>
            </w:r>
            <w:r w:rsidRPr="006153DC">
              <w:rPr>
                <w:vertAlign w:val="superscript"/>
                <w:lang w:val="kk" w:bidi="ru-RU"/>
              </w:rPr>
              <w:t>b)</w:t>
            </w:r>
          </w:p>
          <w:p w14:paraId="32BD794C" w14:textId="7630A90D" w:rsidR="00945A0C" w:rsidRPr="006153DC" w:rsidRDefault="0054098D" w:rsidP="00945A0C">
            <w:pPr>
              <w:widowControl w:val="0"/>
              <w:autoSpaceDE w:val="0"/>
              <w:autoSpaceDN w:val="0"/>
              <w:adjustRightInd w:val="0"/>
            </w:pPr>
            <w:r w:rsidRPr="006153DC">
              <w:rPr>
                <w:lang w:val="kk" w:bidi="ru-RU"/>
              </w:rPr>
              <w:t>3, 6 немесе 12 ай N=1,718</w:t>
            </w:r>
          </w:p>
        </w:tc>
      </w:tr>
      <w:tr w:rsidR="00234FE7" w14:paraId="32BD7951" w14:textId="77777777" w:rsidTr="00945A0C">
        <w:tc>
          <w:tcPr>
            <w:tcW w:w="1790" w:type="pct"/>
            <w:shd w:val="clear" w:color="auto" w:fill="auto"/>
          </w:tcPr>
          <w:p w14:paraId="32BD794E" w14:textId="77777777" w:rsidR="00945A0C" w:rsidRPr="006153DC" w:rsidRDefault="0054098D" w:rsidP="00945A0C">
            <w:pPr>
              <w:widowControl w:val="0"/>
              <w:autoSpaceDE w:val="0"/>
              <w:autoSpaceDN w:val="0"/>
              <w:adjustRightInd w:val="0"/>
            </w:pPr>
            <w:r w:rsidRPr="006153DC">
              <w:rPr>
                <w:lang w:val="kk" w:bidi="ru-RU"/>
              </w:rPr>
              <w:t>Симптомдық қайталанатын ВТЭ*</w:t>
            </w:r>
          </w:p>
        </w:tc>
        <w:tc>
          <w:tcPr>
            <w:tcW w:w="1661" w:type="pct"/>
            <w:shd w:val="clear" w:color="auto" w:fill="auto"/>
          </w:tcPr>
          <w:p w14:paraId="02D14AD2" w14:textId="77777777" w:rsidR="001B38FB" w:rsidRDefault="0054098D" w:rsidP="00945A0C">
            <w:pPr>
              <w:widowControl w:val="0"/>
              <w:autoSpaceDE w:val="0"/>
              <w:autoSpaceDN w:val="0"/>
              <w:adjustRightInd w:val="0"/>
              <w:rPr>
                <w:lang w:bidi="ru-RU"/>
              </w:rPr>
            </w:pPr>
            <w:r w:rsidRPr="006153DC">
              <w:rPr>
                <w:lang w:val="kk" w:bidi="ru-RU"/>
              </w:rPr>
              <w:t xml:space="preserve">36 </w:t>
            </w:r>
          </w:p>
          <w:p w14:paraId="32BD794F" w14:textId="31B18893" w:rsidR="00945A0C" w:rsidRPr="006153DC" w:rsidRDefault="0054098D" w:rsidP="00945A0C">
            <w:pPr>
              <w:widowControl w:val="0"/>
              <w:autoSpaceDE w:val="0"/>
              <w:autoSpaceDN w:val="0"/>
              <w:adjustRightInd w:val="0"/>
            </w:pPr>
            <w:r w:rsidRPr="006153DC">
              <w:rPr>
                <w:lang w:val="kk" w:bidi="ru-RU"/>
              </w:rPr>
              <w:t>(2,1%)</w:t>
            </w:r>
          </w:p>
        </w:tc>
        <w:tc>
          <w:tcPr>
            <w:tcW w:w="1549" w:type="pct"/>
            <w:shd w:val="clear" w:color="auto" w:fill="auto"/>
          </w:tcPr>
          <w:p w14:paraId="76428442" w14:textId="77777777" w:rsidR="001B38FB" w:rsidRDefault="0054098D" w:rsidP="00945A0C">
            <w:pPr>
              <w:widowControl w:val="0"/>
              <w:autoSpaceDE w:val="0"/>
              <w:autoSpaceDN w:val="0"/>
              <w:adjustRightInd w:val="0"/>
              <w:rPr>
                <w:lang w:bidi="ru-RU"/>
              </w:rPr>
            </w:pPr>
            <w:r w:rsidRPr="006153DC">
              <w:rPr>
                <w:lang w:val="kk" w:bidi="ru-RU"/>
              </w:rPr>
              <w:t xml:space="preserve">51 </w:t>
            </w:r>
          </w:p>
          <w:p w14:paraId="32BD7950" w14:textId="322FFE7B" w:rsidR="00945A0C" w:rsidRPr="006153DC" w:rsidRDefault="0054098D" w:rsidP="00945A0C">
            <w:pPr>
              <w:widowControl w:val="0"/>
              <w:autoSpaceDE w:val="0"/>
              <w:autoSpaceDN w:val="0"/>
              <w:adjustRightInd w:val="0"/>
            </w:pPr>
            <w:r w:rsidRPr="006153DC">
              <w:rPr>
                <w:lang w:val="kk" w:bidi="ru-RU"/>
              </w:rPr>
              <w:t>(3,0%)</w:t>
            </w:r>
          </w:p>
        </w:tc>
      </w:tr>
      <w:tr w:rsidR="00234FE7" w14:paraId="32BD7955" w14:textId="77777777" w:rsidTr="00945A0C">
        <w:tc>
          <w:tcPr>
            <w:tcW w:w="1790" w:type="pct"/>
            <w:shd w:val="clear" w:color="auto" w:fill="auto"/>
          </w:tcPr>
          <w:p w14:paraId="32BD7952" w14:textId="77777777" w:rsidR="00945A0C" w:rsidRPr="006153DC" w:rsidRDefault="0054098D" w:rsidP="00945A0C">
            <w:pPr>
              <w:widowControl w:val="0"/>
              <w:autoSpaceDE w:val="0"/>
              <w:autoSpaceDN w:val="0"/>
              <w:adjustRightInd w:val="0"/>
            </w:pPr>
            <w:r w:rsidRPr="006153DC">
              <w:rPr>
                <w:lang w:val="kk" w:bidi="ru-RU"/>
              </w:rPr>
              <w:t>Симптомдық қайталанатын ӨАТЭ</w:t>
            </w:r>
          </w:p>
        </w:tc>
        <w:tc>
          <w:tcPr>
            <w:tcW w:w="1661" w:type="pct"/>
            <w:shd w:val="clear" w:color="auto" w:fill="auto"/>
          </w:tcPr>
          <w:p w14:paraId="003660AB" w14:textId="77777777" w:rsidR="001B38FB" w:rsidRDefault="0054098D" w:rsidP="00945A0C">
            <w:pPr>
              <w:widowControl w:val="0"/>
              <w:autoSpaceDE w:val="0"/>
              <w:autoSpaceDN w:val="0"/>
              <w:adjustRightInd w:val="0"/>
              <w:rPr>
                <w:lang w:bidi="ru-RU"/>
              </w:rPr>
            </w:pPr>
            <w:r w:rsidRPr="006153DC">
              <w:rPr>
                <w:lang w:val="kk" w:bidi="ru-RU"/>
              </w:rPr>
              <w:t xml:space="preserve">20 </w:t>
            </w:r>
          </w:p>
          <w:p w14:paraId="32BD7953" w14:textId="5FDEC4F2" w:rsidR="00945A0C" w:rsidRPr="006153DC" w:rsidRDefault="0054098D" w:rsidP="00945A0C">
            <w:pPr>
              <w:widowControl w:val="0"/>
              <w:autoSpaceDE w:val="0"/>
              <w:autoSpaceDN w:val="0"/>
              <w:adjustRightInd w:val="0"/>
            </w:pPr>
            <w:r w:rsidRPr="006153DC">
              <w:rPr>
                <w:lang w:val="kk" w:bidi="ru-RU"/>
              </w:rPr>
              <w:t>(1,2%)</w:t>
            </w:r>
          </w:p>
        </w:tc>
        <w:tc>
          <w:tcPr>
            <w:tcW w:w="1549" w:type="pct"/>
            <w:shd w:val="clear" w:color="auto" w:fill="auto"/>
          </w:tcPr>
          <w:p w14:paraId="470D2F5C" w14:textId="77777777" w:rsidR="001B38FB" w:rsidRDefault="0054098D" w:rsidP="00945A0C">
            <w:pPr>
              <w:widowControl w:val="0"/>
              <w:autoSpaceDE w:val="0"/>
              <w:autoSpaceDN w:val="0"/>
              <w:adjustRightInd w:val="0"/>
              <w:rPr>
                <w:lang w:bidi="ru-RU"/>
              </w:rPr>
            </w:pPr>
            <w:r w:rsidRPr="006153DC">
              <w:rPr>
                <w:lang w:val="kk" w:bidi="ru-RU"/>
              </w:rPr>
              <w:t xml:space="preserve">18 </w:t>
            </w:r>
          </w:p>
          <w:p w14:paraId="32BD7954" w14:textId="70D8C512" w:rsidR="00945A0C" w:rsidRPr="006153DC" w:rsidRDefault="0054098D" w:rsidP="00945A0C">
            <w:pPr>
              <w:widowControl w:val="0"/>
              <w:autoSpaceDE w:val="0"/>
              <w:autoSpaceDN w:val="0"/>
              <w:adjustRightInd w:val="0"/>
            </w:pPr>
            <w:r w:rsidRPr="006153DC">
              <w:rPr>
                <w:lang w:val="kk" w:bidi="ru-RU"/>
              </w:rPr>
              <w:t>(1,0%)</w:t>
            </w:r>
          </w:p>
        </w:tc>
      </w:tr>
      <w:tr w:rsidR="00234FE7" w14:paraId="32BD7959" w14:textId="77777777" w:rsidTr="00945A0C">
        <w:tc>
          <w:tcPr>
            <w:tcW w:w="1790" w:type="pct"/>
            <w:shd w:val="clear" w:color="auto" w:fill="auto"/>
          </w:tcPr>
          <w:p w14:paraId="32BD7956" w14:textId="77777777" w:rsidR="00945A0C" w:rsidRPr="006153DC" w:rsidRDefault="0054098D" w:rsidP="00945A0C">
            <w:pPr>
              <w:widowControl w:val="0"/>
              <w:autoSpaceDE w:val="0"/>
              <w:autoSpaceDN w:val="0"/>
              <w:adjustRightInd w:val="0"/>
            </w:pPr>
            <w:r w:rsidRPr="006153DC">
              <w:rPr>
                <w:lang w:val="kk" w:bidi="ru-RU"/>
              </w:rPr>
              <w:t>Симптомдық қайталанатын ТВТ</w:t>
            </w:r>
          </w:p>
        </w:tc>
        <w:tc>
          <w:tcPr>
            <w:tcW w:w="1661" w:type="pct"/>
            <w:shd w:val="clear" w:color="auto" w:fill="auto"/>
          </w:tcPr>
          <w:p w14:paraId="17918AA8" w14:textId="77777777" w:rsidR="001B38FB" w:rsidRDefault="0054098D" w:rsidP="00945A0C">
            <w:pPr>
              <w:widowControl w:val="0"/>
              <w:autoSpaceDE w:val="0"/>
              <w:autoSpaceDN w:val="0"/>
              <w:adjustRightInd w:val="0"/>
              <w:rPr>
                <w:lang w:bidi="ru-RU"/>
              </w:rPr>
            </w:pPr>
            <w:r w:rsidRPr="006153DC">
              <w:rPr>
                <w:lang w:val="kk" w:bidi="ru-RU"/>
              </w:rPr>
              <w:t xml:space="preserve">14 </w:t>
            </w:r>
          </w:p>
          <w:p w14:paraId="32BD7957" w14:textId="4127310D" w:rsidR="00945A0C" w:rsidRPr="006153DC" w:rsidRDefault="0054098D" w:rsidP="00945A0C">
            <w:pPr>
              <w:widowControl w:val="0"/>
              <w:autoSpaceDE w:val="0"/>
              <w:autoSpaceDN w:val="0"/>
              <w:adjustRightInd w:val="0"/>
            </w:pPr>
            <w:r w:rsidRPr="006153DC">
              <w:rPr>
                <w:lang w:val="kk" w:bidi="ru-RU"/>
              </w:rPr>
              <w:t>(0,8%)</w:t>
            </w:r>
          </w:p>
        </w:tc>
        <w:tc>
          <w:tcPr>
            <w:tcW w:w="1549" w:type="pct"/>
            <w:shd w:val="clear" w:color="auto" w:fill="auto"/>
          </w:tcPr>
          <w:p w14:paraId="016105DE" w14:textId="77777777" w:rsidR="001B38FB" w:rsidRDefault="0054098D" w:rsidP="00945A0C">
            <w:pPr>
              <w:widowControl w:val="0"/>
              <w:autoSpaceDE w:val="0"/>
              <w:autoSpaceDN w:val="0"/>
              <w:adjustRightInd w:val="0"/>
              <w:rPr>
                <w:lang w:bidi="ru-RU"/>
              </w:rPr>
            </w:pPr>
            <w:r w:rsidRPr="006153DC">
              <w:rPr>
                <w:lang w:val="kk" w:bidi="ru-RU"/>
              </w:rPr>
              <w:t xml:space="preserve">28 </w:t>
            </w:r>
          </w:p>
          <w:p w14:paraId="32BD7958" w14:textId="4581031B" w:rsidR="00945A0C" w:rsidRPr="006153DC" w:rsidRDefault="0054098D" w:rsidP="00945A0C">
            <w:pPr>
              <w:widowControl w:val="0"/>
              <w:autoSpaceDE w:val="0"/>
              <w:autoSpaceDN w:val="0"/>
              <w:adjustRightInd w:val="0"/>
            </w:pPr>
            <w:r w:rsidRPr="006153DC">
              <w:rPr>
                <w:lang w:val="kk" w:bidi="ru-RU"/>
              </w:rPr>
              <w:t>(1,6%)</w:t>
            </w:r>
          </w:p>
        </w:tc>
      </w:tr>
      <w:tr w:rsidR="00234FE7" w14:paraId="32BD795E" w14:textId="77777777" w:rsidTr="00945A0C">
        <w:tc>
          <w:tcPr>
            <w:tcW w:w="1790" w:type="pct"/>
            <w:shd w:val="clear" w:color="auto" w:fill="auto"/>
          </w:tcPr>
          <w:p w14:paraId="32BD795A" w14:textId="77777777" w:rsidR="00945A0C" w:rsidRPr="006153DC" w:rsidRDefault="0054098D" w:rsidP="00945A0C">
            <w:pPr>
              <w:widowControl w:val="0"/>
              <w:autoSpaceDE w:val="0"/>
              <w:autoSpaceDN w:val="0"/>
              <w:adjustRightInd w:val="0"/>
            </w:pPr>
            <w:r w:rsidRPr="006153DC">
              <w:rPr>
                <w:lang w:val="kk" w:bidi="ru-RU"/>
              </w:rPr>
              <w:t>Симптомдық ӨАТЭ және ТВТ</w:t>
            </w:r>
          </w:p>
        </w:tc>
        <w:tc>
          <w:tcPr>
            <w:tcW w:w="1661" w:type="pct"/>
            <w:shd w:val="clear" w:color="auto" w:fill="auto"/>
          </w:tcPr>
          <w:p w14:paraId="32BD795B" w14:textId="77777777" w:rsidR="00945A0C" w:rsidRPr="006153DC" w:rsidRDefault="0054098D" w:rsidP="00945A0C">
            <w:pPr>
              <w:widowControl w:val="0"/>
              <w:autoSpaceDE w:val="0"/>
              <w:autoSpaceDN w:val="0"/>
              <w:adjustRightInd w:val="0"/>
            </w:pPr>
            <w:r w:rsidRPr="006153DC">
              <w:rPr>
                <w:lang w:val="kk" w:bidi="ru-RU"/>
              </w:rPr>
              <w:t>1</w:t>
            </w:r>
          </w:p>
          <w:p w14:paraId="32BD795C" w14:textId="77777777" w:rsidR="00945A0C" w:rsidRPr="006153DC" w:rsidRDefault="0054098D" w:rsidP="00945A0C">
            <w:pPr>
              <w:widowControl w:val="0"/>
              <w:autoSpaceDE w:val="0"/>
              <w:autoSpaceDN w:val="0"/>
              <w:adjustRightInd w:val="0"/>
            </w:pPr>
            <w:r w:rsidRPr="006153DC">
              <w:rPr>
                <w:lang w:val="kk" w:bidi="ru-RU"/>
              </w:rPr>
              <w:t>(0,1 %)</w:t>
            </w:r>
          </w:p>
        </w:tc>
        <w:tc>
          <w:tcPr>
            <w:tcW w:w="1549" w:type="pct"/>
            <w:shd w:val="clear" w:color="auto" w:fill="auto"/>
          </w:tcPr>
          <w:p w14:paraId="32BD795D" w14:textId="77777777" w:rsidR="00945A0C" w:rsidRPr="006153DC" w:rsidRDefault="0054098D" w:rsidP="00945A0C">
            <w:pPr>
              <w:widowControl w:val="0"/>
              <w:autoSpaceDE w:val="0"/>
              <w:autoSpaceDN w:val="0"/>
              <w:adjustRightInd w:val="0"/>
            </w:pPr>
            <w:r w:rsidRPr="006153DC">
              <w:rPr>
                <w:lang w:val="kk" w:bidi="ru-RU"/>
              </w:rPr>
              <w:t>0</w:t>
            </w:r>
          </w:p>
        </w:tc>
      </w:tr>
      <w:tr w:rsidR="00234FE7" w14:paraId="32BD7964" w14:textId="77777777" w:rsidTr="00945A0C">
        <w:tc>
          <w:tcPr>
            <w:tcW w:w="1790" w:type="pct"/>
            <w:shd w:val="clear" w:color="auto" w:fill="auto"/>
          </w:tcPr>
          <w:p w14:paraId="32BD795F" w14:textId="77777777" w:rsidR="00945A0C" w:rsidRPr="006153DC" w:rsidRDefault="0054098D" w:rsidP="00945A0C">
            <w:pPr>
              <w:widowControl w:val="0"/>
              <w:autoSpaceDE w:val="0"/>
              <w:autoSpaceDN w:val="0"/>
              <w:adjustRightInd w:val="0"/>
            </w:pPr>
            <w:r w:rsidRPr="006153DC">
              <w:rPr>
                <w:lang w:val="kk" w:bidi="ru-RU"/>
              </w:rPr>
              <w:t>Өлімге әкелетін ӨАТЭ/өлім, оның себебі ӨАТЭ болып табылады</w:t>
            </w:r>
          </w:p>
        </w:tc>
        <w:tc>
          <w:tcPr>
            <w:tcW w:w="1661" w:type="pct"/>
            <w:shd w:val="clear" w:color="auto" w:fill="auto"/>
          </w:tcPr>
          <w:p w14:paraId="32BD7960" w14:textId="77777777" w:rsidR="00945A0C" w:rsidRPr="006153DC" w:rsidRDefault="0054098D" w:rsidP="00945A0C">
            <w:pPr>
              <w:widowControl w:val="0"/>
              <w:autoSpaceDE w:val="0"/>
              <w:autoSpaceDN w:val="0"/>
              <w:adjustRightInd w:val="0"/>
            </w:pPr>
            <w:r w:rsidRPr="006153DC">
              <w:rPr>
                <w:lang w:val="kk" w:bidi="ru-RU"/>
              </w:rPr>
              <w:t>4</w:t>
            </w:r>
          </w:p>
          <w:p w14:paraId="32BD7961" w14:textId="77777777" w:rsidR="00945A0C" w:rsidRPr="006153DC" w:rsidRDefault="0054098D" w:rsidP="00945A0C">
            <w:pPr>
              <w:widowControl w:val="0"/>
              <w:autoSpaceDE w:val="0"/>
              <w:autoSpaceDN w:val="0"/>
              <w:adjustRightInd w:val="0"/>
            </w:pPr>
            <w:r w:rsidRPr="006153DC">
              <w:rPr>
                <w:lang w:val="kk" w:bidi="ru-RU"/>
              </w:rPr>
              <w:t>(0,2 %)</w:t>
            </w:r>
          </w:p>
        </w:tc>
        <w:tc>
          <w:tcPr>
            <w:tcW w:w="1549" w:type="pct"/>
            <w:shd w:val="clear" w:color="auto" w:fill="auto"/>
          </w:tcPr>
          <w:p w14:paraId="32BD7962" w14:textId="77777777" w:rsidR="00945A0C" w:rsidRPr="006153DC" w:rsidRDefault="0054098D" w:rsidP="00945A0C">
            <w:pPr>
              <w:widowControl w:val="0"/>
              <w:autoSpaceDE w:val="0"/>
              <w:autoSpaceDN w:val="0"/>
              <w:adjustRightInd w:val="0"/>
            </w:pPr>
            <w:r w:rsidRPr="006153DC">
              <w:rPr>
                <w:lang w:val="kk" w:bidi="ru-RU"/>
              </w:rPr>
              <w:t>6</w:t>
            </w:r>
          </w:p>
          <w:p w14:paraId="32BD7963" w14:textId="77777777" w:rsidR="00945A0C" w:rsidRPr="006153DC" w:rsidRDefault="0054098D" w:rsidP="00945A0C">
            <w:pPr>
              <w:widowControl w:val="0"/>
              <w:autoSpaceDE w:val="0"/>
              <w:autoSpaceDN w:val="0"/>
              <w:adjustRightInd w:val="0"/>
            </w:pPr>
            <w:r w:rsidRPr="006153DC">
              <w:rPr>
                <w:lang w:val="kk" w:bidi="ru-RU"/>
              </w:rPr>
              <w:t>(0,3 %)</w:t>
            </w:r>
          </w:p>
        </w:tc>
      </w:tr>
      <w:tr w:rsidR="00234FE7" w14:paraId="32BD7968" w14:textId="77777777" w:rsidTr="00945A0C">
        <w:tc>
          <w:tcPr>
            <w:tcW w:w="1790" w:type="pct"/>
            <w:shd w:val="clear" w:color="auto" w:fill="auto"/>
          </w:tcPr>
          <w:p w14:paraId="32BD7965" w14:textId="77777777" w:rsidR="00945A0C" w:rsidRPr="006153DC" w:rsidRDefault="0054098D" w:rsidP="00945A0C">
            <w:pPr>
              <w:widowControl w:val="0"/>
              <w:autoSpaceDE w:val="0"/>
              <w:autoSpaceDN w:val="0"/>
              <w:adjustRightInd w:val="0"/>
            </w:pPr>
            <w:r w:rsidRPr="006153DC">
              <w:rPr>
                <w:lang w:val="kk" w:bidi="ru-RU"/>
              </w:rPr>
              <w:t>Үлкен немесе кіші клиникалық маңызы бар қан кетулер</w:t>
            </w:r>
          </w:p>
        </w:tc>
        <w:tc>
          <w:tcPr>
            <w:tcW w:w="1661" w:type="pct"/>
            <w:shd w:val="clear" w:color="auto" w:fill="auto"/>
          </w:tcPr>
          <w:p w14:paraId="3F3059C3" w14:textId="77777777" w:rsidR="001B38FB" w:rsidRDefault="0054098D" w:rsidP="00945A0C">
            <w:pPr>
              <w:widowControl w:val="0"/>
              <w:autoSpaceDE w:val="0"/>
              <w:autoSpaceDN w:val="0"/>
              <w:adjustRightInd w:val="0"/>
              <w:rPr>
                <w:lang w:bidi="ru-RU"/>
              </w:rPr>
            </w:pPr>
            <w:r w:rsidRPr="006153DC">
              <w:rPr>
                <w:lang w:val="kk" w:bidi="ru-RU"/>
              </w:rPr>
              <w:t xml:space="preserve">139 </w:t>
            </w:r>
          </w:p>
          <w:p w14:paraId="32BD7966" w14:textId="022ACE13" w:rsidR="00945A0C" w:rsidRPr="006153DC" w:rsidRDefault="0054098D" w:rsidP="00945A0C">
            <w:pPr>
              <w:widowControl w:val="0"/>
              <w:autoSpaceDE w:val="0"/>
              <w:autoSpaceDN w:val="0"/>
              <w:adjustRightInd w:val="0"/>
            </w:pPr>
            <w:r w:rsidRPr="006153DC">
              <w:rPr>
                <w:lang w:val="kk" w:bidi="ru-RU"/>
              </w:rPr>
              <w:t>(8,1%)</w:t>
            </w:r>
          </w:p>
        </w:tc>
        <w:tc>
          <w:tcPr>
            <w:tcW w:w="1549" w:type="pct"/>
            <w:shd w:val="clear" w:color="auto" w:fill="auto"/>
          </w:tcPr>
          <w:p w14:paraId="6EE9FBCA" w14:textId="77777777" w:rsidR="001B38FB" w:rsidRDefault="0054098D" w:rsidP="00945A0C">
            <w:pPr>
              <w:widowControl w:val="0"/>
              <w:autoSpaceDE w:val="0"/>
              <w:autoSpaceDN w:val="0"/>
              <w:adjustRightInd w:val="0"/>
              <w:rPr>
                <w:lang w:bidi="ru-RU"/>
              </w:rPr>
            </w:pPr>
            <w:r w:rsidRPr="006153DC">
              <w:rPr>
                <w:lang w:val="kk" w:bidi="ru-RU"/>
              </w:rPr>
              <w:t xml:space="preserve">138 </w:t>
            </w:r>
          </w:p>
          <w:p w14:paraId="32BD7967" w14:textId="3CF06F48" w:rsidR="00945A0C" w:rsidRPr="006153DC" w:rsidRDefault="0054098D" w:rsidP="00945A0C">
            <w:pPr>
              <w:widowControl w:val="0"/>
              <w:autoSpaceDE w:val="0"/>
              <w:autoSpaceDN w:val="0"/>
              <w:adjustRightInd w:val="0"/>
            </w:pPr>
            <w:r w:rsidRPr="006153DC">
              <w:rPr>
                <w:lang w:val="kk" w:bidi="ru-RU"/>
              </w:rPr>
              <w:t>(8,1%)</w:t>
            </w:r>
          </w:p>
        </w:tc>
      </w:tr>
      <w:tr w:rsidR="00234FE7" w14:paraId="32BD796C" w14:textId="77777777" w:rsidTr="00945A0C">
        <w:tc>
          <w:tcPr>
            <w:tcW w:w="1790" w:type="pct"/>
            <w:shd w:val="clear" w:color="auto" w:fill="auto"/>
          </w:tcPr>
          <w:p w14:paraId="32BD7969" w14:textId="77777777" w:rsidR="00945A0C" w:rsidRPr="006153DC" w:rsidRDefault="0054098D" w:rsidP="00945A0C">
            <w:pPr>
              <w:widowControl w:val="0"/>
              <w:autoSpaceDE w:val="0"/>
              <w:autoSpaceDN w:val="0"/>
              <w:adjustRightInd w:val="0"/>
            </w:pPr>
            <w:r w:rsidRPr="006153DC">
              <w:rPr>
                <w:lang w:val="kk" w:bidi="ru-RU"/>
              </w:rPr>
              <w:t>Үлкен қан кету жағдайлары</w:t>
            </w:r>
          </w:p>
        </w:tc>
        <w:tc>
          <w:tcPr>
            <w:tcW w:w="1661" w:type="pct"/>
            <w:shd w:val="clear" w:color="auto" w:fill="auto"/>
          </w:tcPr>
          <w:p w14:paraId="7BBD373D" w14:textId="77777777" w:rsidR="001B38FB" w:rsidRDefault="0054098D" w:rsidP="00945A0C">
            <w:pPr>
              <w:widowControl w:val="0"/>
              <w:autoSpaceDE w:val="0"/>
              <w:autoSpaceDN w:val="0"/>
              <w:adjustRightInd w:val="0"/>
              <w:rPr>
                <w:lang w:bidi="ru-RU"/>
              </w:rPr>
            </w:pPr>
            <w:r w:rsidRPr="006153DC">
              <w:rPr>
                <w:lang w:val="kk" w:bidi="ru-RU"/>
              </w:rPr>
              <w:t>14</w:t>
            </w:r>
          </w:p>
          <w:p w14:paraId="32BD796A" w14:textId="24FD134D" w:rsidR="00945A0C" w:rsidRPr="006153DC" w:rsidRDefault="0054098D" w:rsidP="00945A0C">
            <w:pPr>
              <w:widowControl w:val="0"/>
              <w:autoSpaceDE w:val="0"/>
              <w:autoSpaceDN w:val="0"/>
              <w:adjustRightInd w:val="0"/>
            </w:pPr>
            <w:r w:rsidRPr="006153DC">
              <w:rPr>
                <w:lang w:val="kk" w:bidi="ru-RU"/>
              </w:rPr>
              <w:t>(0,8%)</w:t>
            </w:r>
          </w:p>
        </w:tc>
        <w:tc>
          <w:tcPr>
            <w:tcW w:w="1549" w:type="pct"/>
            <w:shd w:val="clear" w:color="auto" w:fill="auto"/>
          </w:tcPr>
          <w:p w14:paraId="1DD9FD3E" w14:textId="77777777" w:rsidR="001B38FB" w:rsidRDefault="0054098D" w:rsidP="00945A0C">
            <w:pPr>
              <w:widowControl w:val="0"/>
              <w:autoSpaceDE w:val="0"/>
              <w:autoSpaceDN w:val="0"/>
              <w:adjustRightInd w:val="0"/>
              <w:rPr>
                <w:lang w:bidi="ru-RU"/>
              </w:rPr>
            </w:pPr>
            <w:r w:rsidRPr="006153DC">
              <w:rPr>
                <w:lang w:val="kk" w:bidi="ru-RU"/>
              </w:rPr>
              <w:t xml:space="preserve">20 </w:t>
            </w:r>
          </w:p>
          <w:p w14:paraId="32BD796B" w14:textId="1BDA396E" w:rsidR="00945A0C" w:rsidRPr="006153DC" w:rsidRDefault="0054098D" w:rsidP="00945A0C">
            <w:pPr>
              <w:widowControl w:val="0"/>
              <w:autoSpaceDE w:val="0"/>
              <w:autoSpaceDN w:val="0"/>
              <w:adjustRightInd w:val="0"/>
            </w:pPr>
            <w:r w:rsidRPr="006153DC">
              <w:rPr>
                <w:lang w:val="kk" w:bidi="ru-RU"/>
              </w:rPr>
              <w:t>(1,2%)</w:t>
            </w:r>
          </w:p>
        </w:tc>
      </w:tr>
    </w:tbl>
    <w:p w14:paraId="32BD796D" w14:textId="77777777" w:rsidR="00945A0C" w:rsidRPr="006153DC" w:rsidRDefault="0054098D" w:rsidP="00113198">
      <w:pPr>
        <w:widowControl w:val="0"/>
        <w:numPr>
          <w:ilvl w:val="2"/>
          <w:numId w:val="36"/>
        </w:numPr>
        <w:autoSpaceDE w:val="0"/>
        <w:autoSpaceDN w:val="0"/>
        <w:ind w:left="426" w:hanging="426"/>
        <w:jc w:val="both"/>
      </w:pPr>
      <w:r w:rsidRPr="006153DC">
        <w:rPr>
          <w:lang w:val="kk" w:bidi="ru-RU"/>
        </w:rPr>
        <w:t>Ривароксабан үш апта бойы тәулігіне екі рет 15 мг, содан кейін тәулігіне бір рет 20 мг</w:t>
      </w:r>
    </w:p>
    <w:p w14:paraId="32BD796E" w14:textId="77777777" w:rsidR="00945A0C" w:rsidRPr="006153DC" w:rsidRDefault="0054098D" w:rsidP="00113198">
      <w:pPr>
        <w:widowControl w:val="0"/>
        <w:numPr>
          <w:ilvl w:val="2"/>
          <w:numId w:val="36"/>
        </w:numPr>
        <w:autoSpaceDE w:val="0"/>
        <w:autoSpaceDN w:val="0"/>
        <w:ind w:left="426" w:hanging="426"/>
        <w:jc w:val="both"/>
      </w:pPr>
      <w:r w:rsidRPr="006153DC">
        <w:rPr>
          <w:lang w:val="kk" w:bidi="ru-RU"/>
        </w:rPr>
        <w:t>Эноксапарин КДА ішінара бір мезгілде қабылдау арқылы кемінде 5 күн</w:t>
      </w:r>
    </w:p>
    <w:p w14:paraId="32BD7970" w14:textId="4ED4E38D" w:rsidR="00945A0C" w:rsidRPr="006153DC" w:rsidRDefault="0054098D" w:rsidP="001B38FB">
      <w:pPr>
        <w:autoSpaceDE w:val="0"/>
        <w:autoSpaceDN w:val="0"/>
        <w:adjustRightInd w:val="0"/>
        <w:ind w:left="426" w:hanging="426"/>
        <w:jc w:val="both"/>
        <w:rPr>
          <w:color w:val="000000"/>
        </w:rPr>
      </w:pPr>
      <w:r w:rsidRPr="006153DC">
        <w:rPr>
          <w:b/>
          <w:color w:val="000000"/>
          <w:lang w:val="kk" w:bidi="ru-RU"/>
        </w:rPr>
        <w:t>*</w:t>
      </w:r>
      <w:r w:rsidRPr="006153DC">
        <w:rPr>
          <w:b/>
          <w:color w:val="000000"/>
          <w:lang w:val="kk" w:bidi="ru-RU"/>
        </w:rPr>
        <w:tab/>
      </w:r>
      <w:r w:rsidRPr="006153DC">
        <w:rPr>
          <w:color w:val="000000"/>
          <w:lang w:val="kk" w:bidi="ru-RU"/>
        </w:rPr>
        <w:t>p &lt;0,0001 (белгілі бір 2,0 қауіптер қатынасымен салыстырғанда тиімділігі төмен емес); қауіптер қатынасы: 0,680 (0,443-1,042), p=0,076 (артықшылық)</w:t>
      </w:r>
    </w:p>
    <w:p w14:paraId="32BD7971" w14:textId="3584ED66" w:rsidR="00945A0C" w:rsidRPr="0054098D" w:rsidRDefault="0054098D" w:rsidP="00113198">
      <w:pPr>
        <w:autoSpaceDE w:val="0"/>
        <w:autoSpaceDN w:val="0"/>
        <w:adjustRightInd w:val="0"/>
        <w:jc w:val="both"/>
        <w:rPr>
          <w:color w:val="000000"/>
          <w:lang w:val="kk" w:bidi="ru-RU"/>
        </w:rPr>
      </w:pPr>
      <w:r w:rsidRPr="006153DC">
        <w:rPr>
          <w:color w:val="000000"/>
          <w:lang w:val="kk" w:bidi="ru-RU"/>
        </w:rPr>
        <w:t xml:space="preserve">Einstein PE зерттеуінде (6-кестені қараңыз) ривароксабан эноксапарин/КДА (p&lt;0,0026 (тиімділігі кем емес зерттеу); қауіптер қатынасы: 1,123 (0,749-1,684)) біріктірілімі тиімділігінің бастапқы көрсеткіші бойынша кем түспеді. Алдын ала берілген таза клиникалық пайданы талдау нәтижелері (тиімділігінің бастапқы ақырғы нүктесі плюс үлкен қан кету жағдайлары) қауіптер қатынасы =0,849 ((95% сенімділік аралығы: 0,633–1,139), номиналды мәні p=0,275) хабарланды. ХҚҚ мәндерінің емдік диапазонда болу уақыты орташа емдеу ұзақтығы 215 күн болғанда 63 % уақытты және емдеу ұзақтығы тиісінше 3, 6 және 12 ай болғанда 57%, 62% және 65 % құрады. Эноксапаринмен/КДА емдеу тобында бірдей мөлшердегі терцилдерде ЕДК орташа орталығының деңгейі (ХҚҚ 2,0-ден 3,0-ге дейінгі емдік диапазонда болу уақыты кезеңі) мен ТВТ қайталану жиілігі (өзара әрекеттесуі үшін р=0,082) арасында нақты байланыс анықталған жоқ. Орталықтан ең жоғарғы терцилде </w:t>
      </w:r>
      <w:r w:rsidRPr="006153DC">
        <w:rPr>
          <w:color w:val="000000"/>
          <w:lang w:val="kk" w:bidi="ru-RU"/>
        </w:rPr>
        <w:lastRenderedPageBreak/>
        <w:t>варфаринмен салыстырғанда ривароксабанды қолдану қауіптерінің қатынасы 0,642 құрады (95% сенімділік аралығы: 0,277–1,484).</w:t>
      </w:r>
    </w:p>
    <w:p w14:paraId="32BD7974" w14:textId="0AD2A784" w:rsidR="00945A0C" w:rsidRPr="0054098D" w:rsidRDefault="0054098D" w:rsidP="00962CF5">
      <w:pPr>
        <w:autoSpaceDE w:val="0"/>
        <w:autoSpaceDN w:val="0"/>
        <w:adjustRightInd w:val="0"/>
        <w:spacing w:line="280" w:lineRule="atLeast"/>
        <w:jc w:val="both"/>
        <w:rPr>
          <w:color w:val="000000"/>
          <w:lang w:val="kk"/>
        </w:rPr>
      </w:pPr>
      <w:r w:rsidRPr="006153DC">
        <w:rPr>
          <w:color w:val="000000"/>
          <w:lang w:val="kk" w:bidi="ru-RU"/>
        </w:rPr>
        <w:t>Эноксапаринмен/КДА-мен (11,4% (274/2405) емделіп жатқан топқа қарағанда, қауіпсіздігінің бастапқы ақырғы нүктесі оқиғаларының (үлкен немесе кіші клиникалық маңызды қан кетулер) туындау жиілігі ривароксабанмен емдеу тобында (10,3 % (249/2412)) статистикалық маңызды емес болды. Қауіптер қатынасы 0,493 құрады (95% сенімділік аралығы: 0,308–0,789).</w:t>
      </w:r>
    </w:p>
    <w:p w14:paraId="32BD7975" w14:textId="77777777" w:rsidR="00945A0C" w:rsidRPr="006153DC" w:rsidRDefault="0054098D" w:rsidP="00593835">
      <w:pPr>
        <w:keepNext/>
        <w:jc w:val="both"/>
        <w:outlineLvl w:val="0"/>
        <w:rPr>
          <w:rFonts w:ascii="Times New Roman(K)" w:hAnsi="Times New Roman(K)"/>
          <w:b/>
          <w:bCs/>
          <w:lang w:val="uk-UA"/>
        </w:rPr>
      </w:pPr>
      <w:r w:rsidRPr="006153DC">
        <w:rPr>
          <w:rFonts w:ascii="Times New Roman(K)" w:hAnsi="Times New Roman(K)"/>
          <w:b/>
          <w:bCs/>
          <w:lang w:val="kk" w:bidi="ru-RU"/>
        </w:rPr>
        <w:t>6-кесте. III фазадағы Einstein PE клиникалық зерттеуіндегі тиімділігі және қауіпсіздігі</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85" w:type="dxa"/>
          <w:right w:w="85" w:type="dxa"/>
        </w:tblCellMar>
        <w:tblLook w:val="01E0" w:firstRow="1" w:lastRow="1" w:firstColumn="1" w:lastColumn="1" w:noHBand="0" w:noVBand="0"/>
      </w:tblPr>
      <w:tblGrid>
        <w:gridCol w:w="3511"/>
        <w:gridCol w:w="3258"/>
        <w:gridCol w:w="3039"/>
      </w:tblGrid>
      <w:tr w:rsidR="00234FE7" w14:paraId="32BD7978" w14:textId="77777777" w:rsidTr="00945A0C">
        <w:tc>
          <w:tcPr>
            <w:tcW w:w="1790" w:type="pct"/>
            <w:shd w:val="clear" w:color="auto" w:fill="auto"/>
          </w:tcPr>
          <w:p w14:paraId="32BD7976" w14:textId="77777777" w:rsidR="00945A0C" w:rsidRPr="006153DC" w:rsidRDefault="0054098D" w:rsidP="00945A0C">
            <w:pPr>
              <w:widowControl w:val="0"/>
              <w:autoSpaceDE w:val="0"/>
              <w:autoSpaceDN w:val="0"/>
              <w:adjustRightInd w:val="0"/>
              <w:rPr>
                <w:b/>
              </w:rPr>
            </w:pPr>
            <w:r w:rsidRPr="006153DC">
              <w:rPr>
                <w:rFonts w:eastAsia="Calibri"/>
                <w:b/>
                <w:lang w:val="kk"/>
              </w:rPr>
              <w:t>Зерттелетін популяция</w:t>
            </w:r>
          </w:p>
        </w:tc>
        <w:tc>
          <w:tcPr>
            <w:tcW w:w="3210" w:type="pct"/>
            <w:gridSpan w:val="2"/>
            <w:shd w:val="clear" w:color="auto" w:fill="auto"/>
          </w:tcPr>
          <w:p w14:paraId="32BD7977" w14:textId="77777777" w:rsidR="00945A0C" w:rsidRPr="006153DC" w:rsidRDefault="0054098D" w:rsidP="00945A0C">
            <w:pPr>
              <w:widowControl w:val="0"/>
              <w:autoSpaceDE w:val="0"/>
              <w:autoSpaceDN w:val="0"/>
              <w:adjustRightInd w:val="0"/>
              <w:rPr>
                <w:b/>
              </w:rPr>
            </w:pPr>
            <w:r w:rsidRPr="006153DC">
              <w:rPr>
                <w:b/>
                <w:lang w:val="kk" w:bidi="ru-RU"/>
              </w:rPr>
              <w:t>Жедел симптомдық ӨАТЭ бар 4 832 пациент</w:t>
            </w:r>
          </w:p>
        </w:tc>
      </w:tr>
      <w:tr w:rsidR="00234FE7" w14:paraId="32BD7981" w14:textId="77777777" w:rsidTr="00945A0C">
        <w:tc>
          <w:tcPr>
            <w:tcW w:w="1790" w:type="pct"/>
            <w:shd w:val="clear" w:color="auto" w:fill="auto"/>
          </w:tcPr>
          <w:p w14:paraId="32BD7979" w14:textId="77777777" w:rsidR="00945A0C" w:rsidRPr="006153DC" w:rsidRDefault="00945A0C" w:rsidP="00945A0C">
            <w:pPr>
              <w:widowControl w:val="0"/>
              <w:autoSpaceDE w:val="0"/>
              <w:autoSpaceDN w:val="0"/>
              <w:adjustRightInd w:val="0"/>
              <w:rPr>
                <w:b/>
              </w:rPr>
            </w:pPr>
          </w:p>
          <w:p w14:paraId="32BD797A" w14:textId="77777777" w:rsidR="00945A0C" w:rsidRPr="006153DC" w:rsidRDefault="0054098D" w:rsidP="00945A0C">
            <w:pPr>
              <w:widowControl w:val="0"/>
              <w:autoSpaceDE w:val="0"/>
              <w:autoSpaceDN w:val="0"/>
              <w:adjustRightInd w:val="0"/>
            </w:pPr>
            <w:r w:rsidRPr="006153DC">
              <w:rPr>
                <w:lang w:val="kk" w:bidi="ru-RU"/>
              </w:rPr>
              <w:t>Емі, дозалауы және ұзақтығы</w:t>
            </w:r>
          </w:p>
        </w:tc>
        <w:tc>
          <w:tcPr>
            <w:tcW w:w="1661" w:type="pct"/>
            <w:shd w:val="clear" w:color="auto" w:fill="auto"/>
          </w:tcPr>
          <w:p w14:paraId="32BD797B" w14:textId="303C05F6" w:rsidR="00945A0C" w:rsidRPr="006153DC" w:rsidRDefault="0054098D" w:rsidP="00945A0C">
            <w:pPr>
              <w:widowControl w:val="0"/>
              <w:autoSpaceDE w:val="0"/>
              <w:autoSpaceDN w:val="0"/>
              <w:adjustRightInd w:val="0"/>
            </w:pPr>
            <w:r w:rsidRPr="006153DC">
              <w:rPr>
                <w:lang w:val="kk" w:bidi="ru-RU"/>
              </w:rPr>
              <w:t xml:space="preserve">Ривароксабан </w:t>
            </w:r>
            <w:r w:rsidRPr="006153DC">
              <w:rPr>
                <w:vertAlign w:val="superscript"/>
                <w:lang w:val="kk" w:bidi="ru-RU"/>
              </w:rPr>
              <w:t>а)</w:t>
            </w:r>
          </w:p>
          <w:p w14:paraId="32BD797C" w14:textId="77777777" w:rsidR="00945A0C" w:rsidRPr="006153DC" w:rsidRDefault="0054098D" w:rsidP="00945A0C">
            <w:pPr>
              <w:widowControl w:val="0"/>
              <w:autoSpaceDE w:val="0"/>
              <w:autoSpaceDN w:val="0"/>
              <w:adjustRightInd w:val="0"/>
            </w:pPr>
            <w:r w:rsidRPr="006153DC">
              <w:rPr>
                <w:lang w:val="kk" w:bidi="ru-RU"/>
              </w:rPr>
              <w:t>3, 6 немесе 12 ай</w:t>
            </w:r>
          </w:p>
          <w:p w14:paraId="32BD797D" w14:textId="77777777" w:rsidR="00945A0C" w:rsidRPr="006153DC" w:rsidRDefault="0054098D" w:rsidP="00945A0C">
            <w:pPr>
              <w:widowControl w:val="0"/>
              <w:autoSpaceDE w:val="0"/>
              <w:autoSpaceDN w:val="0"/>
              <w:adjustRightInd w:val="0"/>
            </w:pPr>
            <w:r w:rsidRPr="006153DC">
              <w:rPr>
                <w:lang w:val="kk" w:bidi="ru-RU"/>
              </w:rPr>
              <w:t>N=2,419</w:t>
            </w:r>
          </w:p>
        </w:tc>
        <w:tc>
          <w:tcPr>
            <w:tcW w:w="1549" w:type="pct"/>
            <w:shd w:val="clear" w:color="auto" w:fill="auto"/>
          </w:tcPr>
          <w:p w14:paraId="32BD797E" w14:textId="77777777" w:rsidR="00945A0C" w:rsidRPr="006153DC" w:rsidRDefault="0054098D" w:rsidP="00945A0C">
            <w:pPr>
              <w:widowControl w:val="0"/>
              <w:autoSpaceDE w:val="0"/>
              <w:autoSpaceDN w:val="0"/>
              <w:adjustRightInd w:val="0"/>
              <w:rPr>
                <w:vertAlign w:val="superscript"/>
              </w:rPr>
            </w:pPr>
            <w:r w:rsidRPr="006153DC">
              <w:rPr>
                <w:lang w:val="kk" w:bidi="ru-RU"/>
              </w:rPr>
              <w:t>Эноксапарин/КДА</w:t>
            </w:r>
            <w:r w:rsidRPr="006153DC">
              <w:rPr>
                <w:vertAlign w:val="superscript"/>
                <w:lang w:val="kk" w:bidi="ru-RU"/>
              </w:rPr>
              <w:t>b)</w:t>
            </w:r>
          </w:p>
          <w:p w14:paraId="32BD797F" w14:textId="77777777" w:rsidR="00945A0C" w:rsidRPr="006153DC" w:rsidRDefault="0054098D" w:rsidP="00945A0C">
            <w:pPr>
              <w:widowControl w:val="0"/>
              <w:autoSpaceDE w:val="0"/>
              <w:autoSpaceDN w:val="0"/>
              <w:adjustRightInd w:val="0"/>
            </w:pPr>
            <w:r w:rsidRPr="006153DC">
              <w:rPr>
                <w:lang w:val="kk" w:bidi="ru-RU"/>
              </w:rPr>
              <w:t>3, 6 немесе 12 ай</w:t>
            </w:r>
          </w:p>
          <w:p w14:paraId="32BD7980" w14:textId="77777777" w:rsidR="00945A0C" w:rsidRPr="006153DC" w:rsidRDefault="0054098D" w:rsidP="00945A0C">
            <w:pPr>
              <w:widowControl w:val="0"/>
              <w:autoSpaceDE w:val="0"/>
              <w:autoSpaceDN w:val="0"/>
              <w:adjustRightInd w:val="0"/>
            </w:pPr>
            <w:r w:rsidRPr="006153DC">
              <w:rPr>
                <w:lang w:val="kk" w:bidi="ru-RU"/>
              </w:rPr>
              <w:t>N=2,413</w:t>
            </w:r>
          </w:p>
        </w:tc>
      </w:tr>
      <w:tr w:rsidR="00234FE7" w14:paraId="32BD7985" w14:textId="77777777" w:rsidTr="00945A0C">
        <w:tc>
          <w:tcPr>
            <w:tcW w:w="1790" w:type="pct"/>
            <w:shd w:val="clear" w:color="auto" w:fill="auto"/>
          </w:tcPr>
          <w:p w14:paraId="32BD7982" w14:textId="77777777" w:rsidR="00945A0C" w:rsidRPr="006153DC" w:rsidRDefault="0054098D" w:rsidP="00945A0C">
            <w:pPr>
              <w:widowControl w:val="0"/>
              <w:autoSpaceDE w:val="0"/>
              <w:autoSpaceDN w:val="0"/>
              <w:adjustRightInd w:val="0"/>
            </w:pPr>
            <w:r w:rsidRPr="006153DC">
              <w:rPr>
                <w:lang w:val="kk" w:bidi="ru-RU"/>
              </w:rPr>
              <w:t>Симптомдық қайталанатын ВТЭ*</w:t>
            </w:r>
          </w:p>
        </w:tc>
        <w:tc>
          <w:tcPr>
            <w:tcW w:w="1661" w:type="pct"/>
            <w:shd w:val="clear" w:color="auto" w:fill="auto"/>
          </w:tcPr>
          <w:p w14:paraId="32BD7983" w14:textId="77777777" w:rsidR="00945A0C" w:rsidRPr="006153DC" w:rsidRDefault="0054098D" w:rsidP="00945A0C">
            <w:pPr>
              <w:widowControl w:val="0"/>
              <w:autoSpaceDE w:val="0"/>
              <w:autoSpaceDN w:val="0"/>
              <w:adjustRightInd w:val="0"/>
            </w:pPr>
            <w:r w:rsidRPr="006153DC">
              <w:rPr>
                <w:lang w:val="kk" w:bidi="ru-RU"/>
              </w:rPr>
              <w:t>50 (2,1%)</w:t>
            </w:r>
          </w:p>
        </w:tc>
        <w:tc>
          <w:tcPr>
            <w:tcW w:w="1549" w:type="pct"/>
            <w:shd w:val="clear" w:color="auto" w:fill="auto"/>
          </w:tcPr>
          <w:p w14:paraId="32BD7984" w14:textId="77777777" w:rsidR="00945A0C" w:rsidRPr="006153DC" w:rsidRDefault="0054098D" w:rsidP="00945A0C">
            <w:pPr>
              <w:widowControl w:val="0"/>
              <w:autoSpaceDE w:val="0"/>
              <w:autoSpaceDN w:val="0"/>
              <w:adjustRightInd w:val="0"/>
            </w:pPr>
            <w:r w:rsidRPr="006153DC">
              <w:rPr>
                <w:lang w:val="kk" w:bidi="ru-RU"/>
              </w:rPr>
              <w:t>44 (1,8%)</w:t>
            </w:r>
          </w:p>
        </w:tc>
      </w:tr>
      <w:tr w:rsidR="00234FE7" w14:paraId="32BD7989" w14:textId="77777777" w:rsidTr="00945A0C">
        <w:tc>
          <w:tcPr>
            <w:tcW w:w="1790" w:type="pct"/>
            <w:shd w:val="clear" w:color="auto" w:fill="auto"/>
          </w:tcPr>
          <w:p w14:paraId="32BD7986" w14:textId="77777777" w:rsidR="00945A0C" w:rsidRPr="006153DC" w:rsidRDefault="0054098D" w:rsidP="00945A0C">
            <w:pPr>
              <w:widowControl w:val="0"/>
              <w:autoSpaceDE w:val="0"/>
              <w:autoSpaceDN w:val="0"/>
              <w:adjustRightInd w:val="0"/>
            </w:pPr>
            <w:r w:rsidRPr="006153DC">
              <w:rPr>
                <w:lang w:val="kk" w:bidi="ru-RU"/>
              </w:rPr>
              <w:t>Симптомдық қайталанатын ӨАТЭ</w:t>
            </w:r>
          </w:p>
        </w:tc>
        <w:tc>
          <w:tcPr>
            <w:tcW w:w="1661" w:type="pct"/>
            <w:shd w:val="clear" w:color="auto" w:fill="auto"/>
          </w:tcPr>
          <w:p w14:paraId="32BD7987" w14:textId="77777777" w:rsidR="00945A0C" w:rsidRPr="006153DC" w:rsidRDefault="0054098D" w:rsidP="00945A0C">
            <w:pPr>
              <w:widowControl w:val="0"/>
              <w:autoSpaceDE w:val="0"/>
              <w:autoSpaceDN w:val="0"/>
              <w:adjustRightInd w:val="0"/>
            </w:pPr>
            <w:r w:rsidRPr="006153DC">
              <w:rPr>
                <w:lang w:val="kk" w:bidi="ru-RU"/>
              </w:rPr>
              <w:t>23 (1,0%)</w:t>
            </w:r>
          </w:p>
        </w:tc>
        <w:tc>
          <w:tcPr>
            <w:tcW w:w="1549" w:type="pct"/>
            <w:shd w:val="clear" w:color="auto" w:fill="auto"/>
          </w:tcPr>
          <w:p w14:paraId="32BD7988" w14:textId="77777777" w:rsidR="00945A0C" w:rsidRPr="006153DC" w:rsidRDefault="0054098D" w:rsidP="00945A0C">
            <w:pPr>
              <w:widowControl w:val="0"/>
              <w:autoSpaceDE w:val="0"/>
              <w:autoSpaceDN w:val="0"/>
              <w:adjustRightInd w:val="0"/>
            </w:pPr>
            <w:r w:rsidRPr="006153DC">
              <w:rPr>
                <w:lang w:val="kk" w:bidi="ru-RU"/>
              </w:rPr>
              <w:t>20 (0,8%)</w:t>
            </w:r>
          </w:p>
        </w:tc>
      </w:tr>
      <w:tr w:rsidR="00234FE7" w14:paraId="32BD798D" w14:textId="77777777" w:rsidTr="00945A0C">
        <w:tc>
          <w:tcPr>
            <w:tcW w:w="1790" w:type="pct"/>
            <w:shd w:val="clear" w:color="auto" w:fill="auto"/>
          </w:tcPr>
          <w:p w14:paraId="32BD798A" w14:textId="77777777" w:rsidR="00945A0C" w:rsidRPr="006153DC" w:rsidRDefault="0054098D" w:rsidP="00945A0C">
            <w:pPr>
              <w:widowControl w:val="0"/>
              <w:autoSpaceDE w:val="0"/>
              <w:autoSpaceDN w:val="0"/>
              <w:adjustRightInd w:val="0"/>
            </w:pPr>
            <w:r w:rsidRPr="006153DC">
              <w:rPr>
                <w:lang w:val="kk" w:bidi="ru-RU"/>
              </w:rPr>
              <w:t>Симптомдық қайталанатын ТВТ</w:t>
            </w:r>
          </w:p>
        </w:tc>
        <w:tc>
          <w:tcPr>
            <w:tcW w:w="1661" w:type="pct"/>
            <w:shd w:val="clear" w:color="auto" w:fill="auto"/>
          </w:tcPr>
          <w:p w14:paraId="32BD798B" w14:textId="77777777" w:rsidR="00945A0C" w:rsidRPr="006153DC" w:rsidRDefault="0054098D" w:rsidP="00945A0C">
            <w:pPr>
              <w:widowControl w:val="0"/>
              <w:autoSpaceDE w:val="0"/>
              <w:autoSpaceDN w:val="0"/>
              <w:adjustRightInd w:val="0"/>
            </w:pPr>
            <w:r w:rsidRPr="006153DC">
              <w:rPr>
                <w:lang w:val="kk" w:bidi="ru-RU"/>
              </w:rPr>
              <w:t>18 (0,7%)</w:t>
            </w:r>
          </w:p>
        </w:tc>
        <w:tc>
          <w:tcPr>
            <w:tcW w:w="1549" w:type="pct"/>
            <w:shd w:val="clear" w:color="auto" w:fill="auto"/>
          </w:tcPr>
          <w:p w14:paraId="32BD798C" w14:textId="77777777" w:rsidR="00945A0C" w:rsidRPr="006153DC" w:rsidRDefault="0054098D" w:rsidP="00945A0C">
            <w:pPr>
              <w:widowControl w:val="0"/>
              <w:autoSpaceDE w:val="0"/>
              <w:autoSpaceDN w:val="0"/>
              <w:adjustRightInd w:val="0"/>
            </w:pPr>
            <w:r w:rsidRPr="006153DC">
              <w:rPr>
                <w:lang w:val="kk" w:bidi="ru-RU"/>
              </w:rPr>
              <w:t>17 (0,7%)</w:t>
            </w:r>
          </w:p>
        </w:tc>
      </w:tr>
      <w:tr w:rsidR="00234FE7" w14:paraId="32BD7991" w14:textId="77777777" w:rsidTr="00945A0C">
        <w:tc>
          <w:tcPr>
            <w:tcW w:w="1790" w:type="pct"/>
            <w:shd w:val="clear" w:color="auto" w:fill="auto"/>
          </w:tcPr>
          <w:p w14:paraId="32BD798E" w14:textId="77777777" w:rsidR="00945A0C" w:rsidRPr="006153DC" w:rsidRDefault="0054098D" w:rsidP="00945A0C">
            <w:pPr>
              <w:widowControl w:val="0"/>
              <w:autoSpaceDE w:val="0"/>
              <w:autoSpaceDN w:val="0"/>
              <w:adjustRightInd w:val="0"/>
            </w:pPr>
            <w:r w:rsidRPr="006153DC">
              <w:rPr>
                <w:lang w:val="kk" w:bidi="ru-RU"/>
              </w:rPr>
              <w:t>Симптомдық ӨАТЭ және ТВТ</w:t>
            </w:r>
          </w:p>
        </w:tc>
        <w:tc>
          <w:tcPr>
            <w:tcW w:w="1661" w:type="pct"/>
            <w:shd w:val="clear" w:color="auto" w:fill="auto"/>
          </w:tcPr>
          <w:p w14:paraId="32BD798F" w14:textId="77777777" w:rsidR="00945A0C" w:rsidRPr="006153DC" w:rsidRDefault="0054098D" w:rsidP="00945A0C">
            <w:pPr>
              <w:widowControl w:val="0"/>
              <w:autoSpaceDE w:val="0"/>
              <w:autoSpaceDN w:val="0"/>
              <w:adjustRightInd w:val="0"/>
            </w:pPr>
            <w:r w:rsidRPr="006153DC">
              <w:rPr>
                <w:lang w:val="kk" w:bidi="ru-RU"/>
              </w:rPr>
              <w:t>0</w:t>
            </w:r>
          </w:p>
        </w:tc>
        <w:tc>
          <w:tcPr>
            <w:tcW w:w="1549" w:type="pct"/>
            <w:shd w:val="clear" w:color="auto" w:fill="auto"/>
          </w:tcPr>
          <w:p w14:paraId="32BD7990" w14:textId="77777777" w:rsidR="00945A0C" w:rsidRPr="006153DC" w:rsidRDefault="0054098D" w:rsidP="00945A0C">
            <w:pPr>
              <w:widowControl w:val="0"/>
              <w:autoSpaceDE w:val="0"/>
              <w:autoSpaceDN w:val="0"/>
              <w:adjustRightInd w:val="0"/>
            </w:pPr>
            <w:r w:rsidRPr="006153DC">
              <w:rPr>
                <w:lang w:val="kk" w:bidi="ru-RU"/>
              </w:rPr>
              <w:t>2 (&lt;0,1%)</w:t>
            </w:r>
          </w:p>
        </w:tc>
      </w:tr>
      <w:tr w:rsidR="00234FE7" w14:paraId="32BD7995" w14:textId="77777777" w:rsidTr="00945A0C">
        <w:tc>
          <w:tcPr>
            <w:tcW w:w="1790" w:type="pct"/>
            <w:shd w:val="clear" w:color="auto" w:fill="auto"/>
          </w:tcPr>
          <w:p w14:paraId="32BD7992" w14:textId="77777777" w:rsidR="00945A0C" w:rsidRPr="006153DC" w:rsidRDefault="0054098D" w:rsidP="00945A0C">
            <w:pPr>
              <w:widowControl w:val="0"/>
              <w:autoSpaceDE w:val="0"/>
              <w:autoSpaceDN w:val="0"/>
              <w:adjustRightInd w:val="0"/>
            </w:pPr>
            <w:r w:rsidRPr="006153DC">
              <w:rPr>
                <w:lang w:val="kk" w:bidi="ru-RU"/>
              </w:rPr>
              <w:t>Өлімге әкелетін ӨАТЭ/өлім, оның себебі ӨАТЭ болып табылады</w:t>
            </w:r>
          </w:p>
        </w:tc>
        <w:tc>
          <w:tcPr>
            <w:tcW w:w="1661" w:type="pct"/>
            <w:shd w:val="clear" w:color="auto" w:fill="auto"/>
          </w:tcPr>
          <w:p w14:paraId="32BD7993" w14:textId="77777777" w:rsidR="00945A0C" w:rsidRPr="006153DC" w:rsidRDefault="0054098D" w:rsidP="00945A0C">
            <w:pPr>
              <w:widowControl w:val="0"/>
              <w:autoSpaceDE w:val="0"/>
              <w:autoSpaceDN w:val="0"/>
              <w:adjustRightInd w:val="0"/>
            </w:pPr>
            <w:r w:rsidRPr="006153DC">
              <w:rPr>
                <w:lang w:val="kk" w:bidi="ru-RU"/>
              </w:rPr>
              <w:t>11 (0,5%)</w:t>
            </w:r>
          </w:p>
        </w:tc>
        <w:tc>
          <w:tcPr>
            <w:tcW w:w="1549" w:type="pct"/>
            <w:shd w:val="clear" w:color="auto" w:fill="auto"/>
          </w:tcPr>
          <w:p w14:paraId="32BD7994" w14:textId="77777777" w:rsidR="00945A0C" w:rsidRPr="006153DC" w:rsidRDefault="0054098D" w:rsidP="00945A0C">
            <w:pPr>
              <w:widowControl w:val="0"/>
              <w:autoSpaceDE w:val="0"/>
              <w:autoSpaceDN w:val="0"/>
              <w:adjustRightInd w:val="0"/>
            </w:pPr>
            <w:r w:rsidRPr="006153DC">
              <w:rPr>
                <w:lang w:val="kk" w:bidi="ru-RU"/>
              </w:rPr>
              <w:t>7 (0,3%)</w:t>
            </w:r>
          </w:p>
        </w:tc>
      </w:tr>
      <w:tr w:rsidR="00234FE7" w14:paraId="32BD7999" w14:textId="77777777" w:rsidTr="00945A0C">
        <w:tc>
          <w:tcPr>
            <w:tcW w:w="1790" w:type="pct"/>
            <w:shd w:val="clear" w:color="auto" w:fill="auto"/>
          </w:tcPr>
          <w:p w14:paraId="32BD7996" w14:textId="77777777" w:rsidR="00945A0C" w:rsidRPr="006153DC" w:rsidRDefault="0054098D" w:rsidP="00945A0C">
            <w:pPr>
              <w:widowControl w:val="0"/>
              <w:autoSpaceDE w:val="0"/>
              <w:autoSpaceDN w:val="0"/>
              <w:adjustRightInd w:val="0"/>
            </w:pPr>
            <w:r w:rsidRPr="006153DC">
              <w:rPr>
                <w:lang w:val="kk" w:bidi="ru-RU"/>
              </w:rPr>
              <w:t>Үлкен немесе кіші клиникалық маңызы бар қан кетулер</w:t>
            </w:r>
          </w:p>
        </w:tc>
        <w:tc>
          <w:tcPr>
            <w:tcW w:w="1661" w:type="pct"/>
            <w:shd w:val="clear" w:color="auto" w:fill="auto"/>
          </w:tcPr>
          <w:p w14:paraId="32BD7997" w14:textId="77777777" w:rsidR="00945A0C" w:rsidRPr="006153DC" w:rsidRDefault="0054098D" w:rsidP="00945A0C">
            <w:pPr>
              <w:widowControl w:val="0"/>
              <w:autoSpaceDE w:val="0"/>
              <w:autoSpaceDN w:val="0"/>
              <w:adjustRightInd w:val="0"/>
            </w:pPr>
            <w:r w:rsidRPr="006153DC">
              <w:rPr>
                <w:lang w:val="kk" w:bidi="ru-RU"/>
              </w:rPr>
              <w:t>249 (10,3%)</w:t>
            </w:r>
          </w:p>
        </w:tc>
        <w:tc>
          <w:tcPr>
            <w:tcW w:w="1549" w:type="pct"/>
            <w:shd w:val="clear" w:color="auto" w:fill="auto"/>
          </w:tcPr>
          <w:p w14:paraId="32BD7998" w14:textId="77777777" w:rsidR="00945A0C" w:rsidRPr="006153DC" w:rsidRDefault="0054098D" w:rsidP="00945A0C">
            <w:pPr>
              <w:widowControl w:val="0"/>
              <w:autoSpaceDE w:val="0"/>
              <w:autoSpaceDN w:val="0"/>
              <w:adjustRightInd w:val="0"/>
            </w:pPr>
            <w:r w:rsidRPr="006153DC">
              <w:rPr>
                <w:lang w:val="kk" w:bidi="ru-RU"/>
              </w:rPr>
              <w:t>274 (11,4%)</w:t>
            </w:r>
          </w:p>
        </w:tc>
      </w:tr>
      <w:tr w:rsidR="00234FE7" w14:paraId="32BD799D" w14:textId="77777777" w:rsidTr="00945A0C">
        <w:tc>
          <w:tcPr>
            <w:tcW w:w="1790" w:type="pct"/>
            <w:shd w:val="clear" w:color="auto" w:fill="auto"/>
          </w:tcPr>
          <w:p w14:paraId="32BD799A" w14:textId="77777777" w:rsidR="00945A0C" w:rsidRPr="006153DC" w:rsidRDefault="0054098D" w:rsidP="00945A0C">
            <w:pPr>
              <w:widowControl w:val="0"/>
              <w:autoSpaceDE w:val="0"/>
              <w:autoSpaceDN w:val="0"/>
              <w:adjustRightInd w:val="0"/>
            </w:pPr>
            <w:r w:rsidRPr="006153DC">
              <w:rPr>
                <w:lang w:val="kk" w:bidi="ru-RU"/>
              </w:rPr>
              <w:t>Үлкен қан кету жағдайлары</w:t>
            </w:r>
          </w:p>
        </w:tc>
        <w:tc>
          <w:tcPr>
            <w:tcW w:w="1661" w:type="pct"/>
            <w:shd w:val="clear" w:color="auto" w:fill="auto"/>
          </w:tcPr>
          <w:p w14:paraId="32BD799B" w14:textId="77777777" w:rsidR="00945A0C" w:rsidRPr="006153DC" w:rsidRDefault="0054098D" w:rsidP="00945A0C">
            <w:pPr>
              <w:widowControl w:val="0"/>
              <w:autoSpaceDE w:val="0"/>
              <w:autoSpaceDN w:val="0"/>
              <w:adjustRightInd w:val="0"/>
            </w:pPr>
            <w:r w:rsidRPr="006153DC">
              <w:rPr>
                <w:lang w:val="kk" w:bidi="ru-RU"/>
              </w:rPr>
              <w:t>26 (1,1%)</w:t>
            </w:r>
          </w:p>
        </w:tc>
        <w:tc>
          <w:tcPr>
            <w:tcW w:w="1549" w:type="pct"/>
            <w:shd w:val="clear" w:color="auto" w:fill="auto"/>
          </w:tcPr>
          <w:p w14:paraId="32BD799C" w14:textId="77777777" w:rsidR="00945A0C" w:rsidRPr="006153DC" w:rsidRDefault="0054098D" w:rsidP="00945A0C">
            <w:pPr>
              <w:widowControl w:val="0"/>
              <w:autoSpaceDE w:val="0"/>
              <w:autoSpaceDN w:val="0"/>
              <w:adjustRightInd w:val="0"/>
            </w:pPr>
            <w:r w:rsidRPr="006153DC">
              <w:rPr>
                <w:lang w:val="kk" w:bidi="ru-RU"/>
              </w:rPr>
              <w:t>52 (2,2%)</w:t>
            </w:r>
          </w:p>
        </w:tc>
      </w:tr>
    </w:tbl>
    <w:p w14:paraId="32BD799E" w14:textId="77777777" w:rsidR="00945A0C" w:rsidRPr="006153DC" w:rsidRDefault="0054098D" w:rsidP="00945A0C">
      <w:pPr>
        <w:widowControl w:val="0"/>
        <w:numPr>
          <w:ilvl w:val="0"/>
          <w:numId w:val="35"/>
        </w:numPr>
        <w:autoSpaceDE w:val="0"/>
        <w:autoSpaceDN w:val="0"/>
        <w:ind w:left="284" w:hanging="284"/>
        <w:jc w:val="both"/>
      </w:pPr>
      <w:r w:rsidRPr="006153DC">
        <w:rPr>
          <w:lang w:val="kk" w:bidi="ru-RU"/>
        </w:rPr>
        <w:t>Ривароксабан үш апта бойы тәулігіне екі рет 15 мг, содан кейін тәулігіне бір рет 20 мг</w:t>
      </w:r>
    </w:p>
    <w:p w14:paraId="32BD799F" w14:textId="77777777" w:rsidR="00945A0C" w:rsidRPr="006153DC" w:rsidRDefault="0054098D" w:rsidP="00945A0C">
      <w:pPr>
        <w:widowControl w:val="0"/>
        <w:numPr>
          <w:ilvl w:val="0"/>
          <w:numId w:val="35"/>
        </w:numPr>
        <w:autoSpaceDE w:val="0"/>
        <w:autoSpaceDN w:val="0"/>
        <w:ind w:left="284" w:hanging="284"/>
        <w:jc w:val="both"/>
      </w:pPr>
      <w:r w:rsidRPr="006153DC">
        <w:rPr>
          <w:lang w:val="kk" w:bidi="ru-RU"/>
        </w:rPr>
        <w:t>Эноксапарин КДА ішінара бір мезгілде қабылдау арқылы кемінде 5 күн</w:t>
      </w:r>
    </w:p>
    <w:p w14:paraId="32BD79A1" w14:textId="4E712DB2" w:rsidR="00945A0C" w:rsidRPr="006153DC" w:rsidRDefault="0054098D" w:rsidP="00593835">
      <w:pPr>
        <w:autoSpaceDE w:val="0"/>
        <w:autoSpaceDN w:val="0"/>
        <w:adjustRightInd w:val="0"/>
        <w:spacing w:line="280" w:lineRule="atLeast"/>
        <w:ind w:left="284" w:hanging="284"/>
        <w:jc w:val="both"/>
        <w:rPr>
          <w:color w:val="000000"/>
        </w:rPr>
      </w:pPr>
      <w:r w:rsidRPr="006153DC">
        <w:rPr>
          <w:color w:val="000000"/>
          <w:lang w:val="kk" w:bidi="ru-RU"/>
        </w:rPr>
        <w:t>*</w:t>
      </w:r>
      <w:r w:rsidRPr="006153DC">
        <w:rPr>
          <w:color w:val="000000"/>
          <w:lang w:val="kk" w:bidi="ru-RU"/>
        </w:rPr>
        <w:tab/>
        <w:t>p &lt;0,0026 (белгілі бір қауіптер қатынасымен салыстырғанда тиімділігі кем емес 2,0); қауіптер қатынасы: 1,123 (0,749–1,684)</w:t>
      </w:r>
    </w:p>
    <w:p w14:paraId="58FD4F6A" w14:textId="08DC8B4C" w:rsidR="00593835" w:rsidRPr="006153DC" w:rsidRDefault="0054098D" w:rsidP="00945A0C">
      <w:pPr>
        <w:autoSpaceDE w:val="0"/>
        <w:autoSpaceDN w:val="0"/>
        <w:adjustRightInd w:val="0"/>
        <w:spacing w:line="280" w:lineRule="atLeast"/>
        <w:jc w:val="both"/>
        <w:rPr>
          <w:color w:val="000000"/>
          <w:lang w:bidi="ru-RU"/>
        </w:rPr>
      </w:pPr>
      <w:r w:rsidRPr="006153DC">
        <w:rPr>
          <w:color w:val="000000"/>
          <w:lang w:val="kk" w:bidi="ru-RU"/>
        </w:rPr>
        <w:t>7-кестеде Einstein DVT және PE зерттеуі нәтижелерін алдын ала берілген жиынтық талдау нәтижелері келтірілген (7-кестені қараңыз).</w:t>
      </w:r>
    </w:p>
    <w:p w14:paraId="32BD79A4" w14:textId="77777777" w:rsidR="00945A0C" w:rsidRPr="006153DC" w:rsidRDefault="0054098D" w:rsidP="00593835">
      <w:pPr>
        <w:keepNext/>
        <w:jc w:val="both"/>
        <w:outlineLvl w:val="0"/>
        <w:rPr>
          <w:rFonts w:ascii="Times New Roman(K)" w:hAnsi="Times New Roman(K)"/>
          <w:b/>
          <w:bCs/>
          <w:lang w:val="uk-UA"/>
        </w:rPr>
      </w:pPr>
      <w:r w:rsidRPr="006153DC">
        <w:rPr>
          <w:rFonts w:ascii="Times New Roman(K)" w:hAnsi="Times New Roman(K)"/>
          <w:b/>
          <w:bCs/>
          <w:lang w:val="kk" w:bidi="ru-RU"/>
        </w:rPr>
        <w:t xml:space="preserve">7-кесте. III фазадағы Einstein DVT және Einstein PE </w:t>
      </w:r>
      <w:bookmarkStart w:id="16" w:name="_Hlk19894986"/>
      <w:r w:rsidRPr="006153DC">
        <w:rPr>
          <w:rFonts w:ascii="Times New Roman(K)" w:hAnsi="Times New Roman(K)"/>
          <w:b/>
          <w:bCs/>
          <w:lang w:val="kk" w:bidi="ru-RU"/>
        </w:rPr>
        <w:t>клиникалық зерттеулерін жиынтық талдаудағы тиімділігі мен қауіпсіздігі</w:t>
      </w:r>
      <w:bookmarkEnd w:id="16"/>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85" w:type="dxa"/>
          <w:right w:w="85" w:type="dxa"/>
        </w:tblCellMar>
        <w:tblLook w:val="01E0" w:firstRow="1" w:lastRow="1" w:firstColumn="1" w:lastColumn="1" w:noHBand="0" w:noVBand="0"/>
      </w:tblPr>
      <w:tblGrid>
        <w:gridCol w:w="3511"/>
        <w:gridCol w:w="3258"/>
        <w:gridCol w:w="3039"/>
      </w:tblGrid>
      <w:tr w:rsidR="00234FE7" w14:paraId="32BD79A7" w14:textId="77777777" w:rsidTr="00945A0C">
        <w:tc>
          <w:tcPr>
            <w:tcW w:w="1790" w:type="pct"/>
            <w:shd w:val="clear" w:color="auto" w:fill="auto"/>
          </w:tcPr>
          <w:p w14:paraId="32BD79A5" w14:textId="77777777" w:rsidR="00945A0C" w:rsidRPr="006153DC" w:rsidRDefault="0054098D" w:rsidP="00945A0C">
            <w:pPr>
              <w:widowControl w:val="0"/>
              <w:autoSpaceDE w:val="0"/>
              <w:autoSpaceDN w:val="0"/>
              <w:adjustRightInd w:val="0"/>
              <w:rPr>
                <w:b/>
              </w:rPr>
            </w:pPr>
            <w:r w:rsidRPr="006153DC">
              <w:rPr>
                <w:rFonts w:eastAsia="Calibri"/>
                <w:b/>
                <w:lang w:val="kk"/>
              </w:rPr>
              <w:t>Зерттелетін популяция</w:t>
            </w:r>
          </w:p>
        </w:tc>
        <w:tc>
          <w:tcPr>
            <w:tcW w:w="3210" w:type="pct"/>
            <w:gridSpan w:val="2"/>
            <w:shd w:val="clear" w:color="auto" w:fill="auto"/>
          </w:tcPr>
          <w:p w14:paraId="32BD79A6" w14:textId="77777777" w:rsidR="00945A0C" w:rsidRPr="006153DC" w:rsidRDefault="0054098D" w:rsidP="00945A0C">
            <w:pPr>
              <w:widowControl w:val="0"/>
              <w:autoSpaceDE w:val="0"/>
              <w:autoSpaceDN w:val="0"/>
              <w:adjustRightInd w:val="0"/>
              <w:rPr>
                <w:b/>
              </w:rPr>
            </w:pPr>
            <w:r w:rsidRPr="006153DC">
              <w:rPr>
                <w:b/>
                <w:lang w:val="kk" w:bidi="ru-RU"/>
              </w:rPr>
              <w:t>Жедел симптомдық ТВТ және ӨАТЭ бар 8 281 пациент</w:t>
            </w:r>
          </w:p>
        </w:tc>
      </w:tr>
      <w:tr w:rsidR="00234FE7" w14:paraId="32BD79B0" w14:textId="77777777" w:rsidTr="00945A0C">
        <w:tc>
          <w:tcPr>
            <w:tcW w:w="1790" w:type="pct"/>
            <w:shd w:val="clear" w:color="auto" w:fill="auto"/>
          </w:tcPr>
          <w:p w14:paraId="32BD79A8" w14:textId="77777777" w:rsidR="00945A0C" w:rsidRPr="00E6135F" w:rsidRDefault="00945A0C" w:rsidP="00945A0C">
            <w:pPr>
              <w:widowControl w:val="0"/>
              <w:autoSpaceDE w:val="0"/>
              <w:autoSpaceDN w:val="0"/>
              <w:adjustRightInd w:val="0"/>
              <w:rPr>
                <w:b/>
                <w:bCs/>
              </w:rPr>
            </w:pPr>
          </w:p>
          <w:p w14:paraId="32BD79A9" w14:textId="77777777" w:rsidR="00945A0C" w:rsidRPr="00E6135F" w:rsidRDefault="0054098D" w:rsidP="00945A0C">
            <w:pPr>
              <w:widowControl w:val="0"/>
              <w:autoSpaceDE w:val="0"/>
              <w:autoSpaceDN w:val="0"/>
              <w:adjustRightInd w:val="0"/>
              <w:rPr>
                <w:b/>
                <w:bCs/>
              </w:rPr>
            </w:pPr>
            <w:r w:rsidRPr="00E6135F">
              <w:rPr>
                <w:b/>
                <w:bCs/>
                <w:lang w:val="kk" w:bidi="ru-RU"/>
              </w:rPr>
              <w:t>Емі, дозалауы және ұзақтығы</w:t>
            </w:r>
          </w:p>
        </w:tc>
        <w:tc>
          <w:tcPr>
            <w:tcW w:w="1661" w:type="pct"/>
            <w:shd w:val="clear" w:color="auto" w:fill="auto"/>
          </w:tcPr>
          <w:p w14:paraId="32BD79AA" w14:textId="23DF05C4" w:rsidR="00945A0C" w:rsidRPr="00E6135F" w:rsidRDefault="0054098D" w:rsidP="00945A0C">
            <w:pPr>
              <w:widowControl w:val="0"/>
              <w:autoSpaceDE w:val="0"/>
              <w:autoSpaceDN w:val="0"/>
              <w:adjustRightInd w:val="0"/>
              <w:rPr>
                <w:b/>
                <w:bCs/>
              </w:rPr>
            </w:pPr>
            <w:r w:rsidRPr="00E6135F">
              <w:rPr>
                <w:b/>
                <w:bCs/>
                <w:lang w:val="kk" w:bidi="ru-RU"/>
              </w:rPr>
              <w:t xml:space="preserve">Ривароксабан </w:t>
            </w:r>
            <w:r w:rsidRPr="00E6135F">
              <w:rPr>
                <w:b/>
                <w:bCs/>
                <w:vertAlign w:val="superscript"/>
                <w:lang w:val="kk" w:bidi="ru-RU"/>
              </w:rPr>
              <w:t>а)</w:t>
            </w:r>
          </w:p>
          <w:p w14:paraId="32BD79AB" w14:textId="77777777" w:rsidR="00945A0C" w:rsidRPr="00E6135F" w:rsidRDefault="0054098D" w:rsidP="00945A0C">
            <w:pPr>
              <w:widowControl w:val="0"/>
              <w:autoSpaceDE w:val="0"/>
              <w:autoSpaceDN w:val="0"/>
              <w:adjustRightInd w:val="0"/>
              <w:rPr>
                <w:b/>
                <w:bCs/>
              </w:rPr>
            </w:pPr>
            <w:r w:rsidRPr="00E6135F">
              <w:rPr>
                <w:b/>
                <w:bCs/>
                <w:lang w:val="kk" w:bidi="ru-RU"/>
              </w:rPr>
              <w:t>3, 6 немесе 12 ай</w:t>
            </w:r>
          </w:p>
          <w:p w14:paraId="32BD79AC" w14:textId="77777777" w:rsidR="00945A0C" w:rsidRPr="00E6135F" w:rsidRDefault="0054098D" w:rsidP="00945A0C">
            <w:pPr>
              <w:widowControl w:val="0"/>
              <w:autoSpaceDE w:val="0"/>
              <w:autoSpaceDN w:val="0"/>
              <w:adjustRightInd w:val="0"/>
              <w:rPr>
                <w:b/>
                <w:bCs/>
              </w:rPr>
            </w:pPr>
            <w:r w:rsidRPr="00E6135F">
              <w:rPr>
                <w:b/>
                <w:bCs/>
                <w:lang w:val="kk" w:bidi="ru-RU"/>
              </w:rPr>
              <w:t>N=4,150</w:t>
            </w:r>
          </w:p>
        </w:tc>
        <w:tc>
          <w:tcPr>
            <w:tcW w:w="1549" w:type="pct"/>
            <w:shd w:val="clear" w:color="auto" w:fill="auto"/>
          </w:tcPr>
          <w:p w14:paraId="32BD79AD" w14:textId="77777777" w:rsidR="00945A0C" w:rsidRPr="00E6135F" w:rsidRDefault="0054098D" w:rsidP="00945A0C">
            <w:pPr>
              <w:widowControl w:val="0"/>
              <w:autoSpaceDE w:val="0"/>
              <w:autoSpaceDN w:val="0"/>
              <w:adjustRightInd w:val="0"/>
              <w:rPr>
                <w:b/>
                <w:bCs/>
              </w:rPr>
            </w:pPr>
            <w:r w:rsidRPr="00E6135F">
              <w:rPr>
                <w:b/>
                <w:bCs/>
                <w:lang w:val="kk" w:bidi="ru-RU"/>
              </w:rPr>
              <w:t>Эноксапарин/КДА</w:t>
            </w:r>
            <w:r w:rsidRPr="00E6135F">
              <w:rPr>
                <w:b/>
                <w:bCs/>
                <w:vertAlign w:val="superscript"/>
                <w:lang w:val="kk" w:bidi="ru-RU"/>
              </w:rPr>
              <w:t>b)</w:t>
            </w:r>
          </w:p>
          <w:p w14:paraId="32BD79AE" w14:textId="77777777" w:rsidR="00945A0C" w:rsidRPr="00E6135F" w:rsidRDefault="0054098D" w:rsidP="00945A0C">
            <w:pPr>
              <w:widowControl w:val="0"/>
              <w:autoSpaceDE w:val="0"/>
              <w:autoSpaceDN w:val="0"/>
              <w:adjustRightInd w:val="0"/>
              <w:rPr>
                <w:b/>
                <w:bCs/>
              </w:rPr>
            </w:pPr>
            <w:r w:rsidRPr="00E6135F">
              <w:rPr>
                <w:b/>
                <w:bCs/>
                <w:lang w:val="kk" w:bidi="ru-RU"/>
              </w:rPr>
              <w:t>3, 6 немесе 12 ай</w:t>
            </w:r>
          </w:p>
          <w:p w14:paraId="32BD79AF" w14:textId="77777777" w:rsidR="00945A0C" w:rsidRPr="00E6135F" w:rsidRDefault="0054098D" w:rsidP="00945A0C">
            <w:pPr>
              <w:widowControl w:val="0"/>
              <w:autoSpaceDE w:val="0"/>
              <w:autoSpaceDN w:val="0"/>
              <w:adjustRightInd w:val="0"/>
              <w:rPr>
                <w:b/>
                <w:bCs/>
              </w:rPr>
            </w:pPr>
            <w:r w:rsidRPr="00E6135F">
              <w:rPr>
                <w:b/>
                <w:bCs/>
                <w:lang w:val="kk" w:bidi="ru-RU"/>
              </w:rPr>
              <w:t>N=4,131</w:t>
            </w:r>
          </w:p>
        </w:tc>
      </w:tr>
      <w:tr w:rsidR="00234FE7" w14:paraId="32BD79B4" w14:textId="77777777" w:rsidTr="00945A0C">
        <w:tc>
          <w:tcPr>
            <w:tcW w:w="1790" w:type="pct"/>
            <w:shd w:val="clear" w:color="auto" w:fill="auto"/>
          </w:tcPr>
          <w:p w14:paraId="32BD79B1" w14:textId="77777777" w:rsidR="00945A0C" w:rsidRPr="006153DC" w:rsidRDefault="0054098D" w:rsidP="00945A0C">
            <w:pPr>
              <w:widowControl w:val="0"/>
              <w:autoSpaceDE w:val="0"/>
              <w:autoSpaceDN w:val="0"/>
              <w:adjustRightInd w:val="0"/>
            </w:pPr>
            <w:r w:rsidRPr="006153DC">
              <w:rPr>
                <w:lang w:val="kk" w:bidi="ru-RU"/>
              </w:rPr>
              <w:t>Симптомдық қайталанатын ВТЭ*</w:t>
            </w:r>
          </w:p>
        </w:tc>
        <w:tc>
          <w:tcPr>
            <w:tcW w:w="1661" w:type="pct"/>
            <w:shd w:val="clear" w:color="auto" w:fill="auto"/>
          </w:tcPr>
          <w:p w14:paraId="32BD79B2" w14:textId="77777777" w:rsidR="00945A0C" w:rsidRPr="006153DC" w:rsidRDefault="0054098D" w:rsidP="00945A0C">
            <w:pPr>
              <w:widowControl w:val="0"/>
              <w:autoSpaceDE w:val="0"/>
              <w:autoSpaceDN w:val="0"/>
              <w:adjustRightInd w:val="0"/>
            </w:pPr>
            <w:r w:rsidRPr="006153DC">
              <w:rPr>
                <w:lang w:val="kk" w:bidi="ru-RU"/>
              </w:rPr>
              <w:t>86 (2,1%)</w:t>
            </w:r>
          </w:p>
        </w:tc>
        <w:tc>
          <w:tcPr>
            <w:tcW w:w="1549" w:type="pct"/>
            <w:shd w:val="clear" w:color="auto" w:fill="auto"/>
          </w:tcPr>
          <w:p w14:paraId="32BD79B3" w14:textId="77777777" w:rsidR="00945A0C" w:rsidRPr="006153DC" w:rsidRDefault="0054098D" w:rsidP="00945A0C">
            <w:pPr>
              <w:widowControl w:val="0"/>
              <w:autoSpaceDE w:val="0"/>
              <w:autoSpaceDN w:val="0"/>
              <w:adjustRightInd w:val="0"/>
            </w:pPr>
            <w:r w:rsidRPr="006153DC">
              <w:rPr>
                <w:lang w:val="kk" w:bidi="ru-RU"/>
              </w:rPr>
              <w:t>95 (2,3%)</w:t>
            </w:r>
          </w:p>
        </w:tc>
      </w:tr>
      <w:tr w:rsidR="00234FE7" w14:paraId="32BD79B8" w14:textId="77777777" w:rsidTr="00945A0C">
        <w:tc>
          <w:tcPr>
            <w:tcW w:w="1790" w:type="pct"/>
            <w:shd w:val="clear" w:color="auto" w:fill="auto"/>
          </w:tcPr>
          <w:p w14:paraId="32BD79B5" w14:textId="77777777" w:rsidR="00945A0C" w:rsidRPr="006153DC" w:rsidRDefault="0054098D" w:rsidP="00945A0C">
            <w:pPr>
              <w:widowControl w:val="0"/>
              <w:autoSpaceDE w:val="0"/>
              <w:autoSpaceDN w:val="0"/>
              <w:adjustRightInd w:val="0"/>
            </w:pPr>
            <w:r w:rsidRPr="006153DC">
              <w:rPr>
                <w:lang w:val="kk" w:bidi="ru-RU"/>
              </w:rPr>
              <w:t>Симптомдық қайталанатын ӨАТЭ</w:t>
            </w:r>
          </w:p>
        </w:tc>
        <w:tc>
          <w:tcPr>
            <w:tcW w:w="1661" w:type="pct"/>
            <w:shd w:val="clear" w:color="auto" w:fill="auto"/>
          </w:tcPr>
          <w:p w14:paraId="32BD79B6" w14:textId="77777777" w:rsidR="00945A0C" w:rsidRPr="006153DC" w:rsidRDefault="0054098D" w:rsidP="00945A0C">
            <w:pPr>
              <w:widowControl w:val="0"/>
              <w:autoSpaceDE w:val="0"/>
              <w:autoSpaceDN w:val="0"/>
              <w:adjustRightInd w:val="0"/>
            </w:pPr>
            <w:r w:rsidRPr="006153DC">
              <w:rPr>
                <w:lang w:val="kk" w:bidi="ru-RU"/>
              </w:rPr>
              <w:t>43 (1,0%)</w:t>
            </w:r>
          </w:p>
        </w:tc>
        <w:tc>
          <w:tcPr>
            <w:tcW w:w="1549" w:type="pct"/>
            <w:shd w:val="clear" w:color="auto" w:fill="auto"/>
          </w:tcPr>
          <w:p w14:paraId="32BD79B7" w14:textId="77777777" w:rsidR="00945A0C" w:rsidRPr="006153DC" w:rsidRDefault="0054098D" w:rsidP="00945A0C">
            <w:pPr>
              <w:widowControl w:val="0"/>
              <w:autoSpaceDE w:val="0"/>
              <w:autoSpaceDN w:val="0"/>
              <w:adjustRightInd w:val="0"/>
            </w:pPr>
            <w:r w:rsidRPr="006153DC">
              <w:rPr>
                <w:lang w:val="kk" w:bidi="ru-RU"/>
              </w:rPr>
              <w:t>38 (0,9%)</w:t>
            </w:r>
          </w:p>
        </w:tc>
      </w:tr>
      <w:tr w:rsidR="00234FE7" w14:paraId="32BD79BC" w14:textId="77777777" w:rsidTr="00945A0C">
        <w:tc>
          <w:tcPr>
            <w:tcW w:w="1790" w:type="pct"/>
            <w:shd w:val="clear" w:color="auto" w:fill="auto"/>
          </w:tcPr>
          <w:p w14:paraId="32BD79B9" w14:textId="77777777" w:rsidR="00945A0C" w:rsidRPr="006153DC" w:rsidRDefault="0054098D" w:rsidP="00945A0C">
            <w:pPr>
              <w:widowControl w:val="0"/>
              <w:autoSpaceDE w:val="0"/>
              <w:autoSpaceDN w:val="0"/>
              <w:adjustRightInd w:val="0"/>
            </w:pPr>
            <w:r w:rsidRPr="006153DC">
              <w:rPr>
                <w:lang w:val="kk" w:bidi="ru-RU"/>
              </w:rPr>
              <w:t>Симптомдық қайталанатын ТВТ</w:t>
            </w:r>
          </w:p>
        </w:tc>
        <w:tc>
          <w:tcPr>
            <w:tcW w:w="1661" w:type="pct"/>
            <w:shd w:val="clear" w:color="auto" w:fill="auto"/>
          </w:tcPr>
          <w:p w14:paraId="32BD79BA" w14:textId="77777777" w:rsidR="00945A0C" w:rsidRPr="006153DC" w:rsidRDefault="0054098D" w:rsidP="00945A0C">
            <w:pPr>
              <w:widowControl w:val="0"/>
              <w:autoSpaceDE w:val="0"/>
              <w:autoSpaceDN w:val="0"/>
              <w:adjustRightInd w:val="0"/>
            </w:pPr>
            <w:r w:rsidRPr="006153DC">
              <w:rPr>
                <w:lang w:val="kk" w:bidi="ru-RU"/>
              </w:rPr>
              <w:t>32 (0,8%)</w:t>
            </w:r>
          </w:p>
        </w:tc>
        <w:tc>
          <w:tcPr>
            <w:tcW w:w="1549" w:type="pct"/>
            <w:shd w:val="clear" w:color="auto" w:fill="auto"/>
          </w:tcPr>
          <w:p w14:paraId="32BD79BB" w14:textId="77777777" w:rsidR="00945A0C" w:rsidRPr="006153DC" w:rsidRDefault="0054098D" w:rsidP="00945A0C">
            <w:pPr>
              <w:widowControl w:val="0"/>
              <w:autoSpaceDE w:val="0"/>
              <w:autoSpaceDN w:val="0"/>
              <w:adjustRightInd w:val="0"/>
            </w:pPr>
            <w:r w:rsidRPr="006153DC">
              <w:rPr>
                <w:lang w:val="kk" w:bidi="ru-RU"/>
              </w:rPr>
              <w:t>45 (1,1%)</w:t>
            </w:r>
          </w:p>
        </w:tc>
      </w:tr>
      <w:tr w:rsidR="00234FE7" w14:paraId="32BD79C2" w14:textId="77777777" w:rsidTr="00945A0C">
        <w:tc>
          <w:tcPr>
            <w:tcW w:w="1790" w:type="pct"/>
            <w:shd w:val="clear" w:color="auto" w:fill="auto"/>
          </w:tcPr>
          <w:p w14:paraId="32BD79BD" w14:textId="77777777" w:rsidR="00945A0C" w:rsidRPr="006153DC" w:rsidRDefault="0054098D" w:rsidP="00945A0C">
            <w:pPr>
              <w:widowControl w:val="0"/>
              <w:autoSpaceDE w:val="0"/>
              <w:autoSpaceDN w:val="0"/>
              <w:adjustRightInd w:val="0"/>
            </w:pPr>
            <w:r w:rsidRPr="006153DC">
              <w:rPr>
                <w:lang w:val="kk" w:bidi="ru-RU"/>
              </w:rPr>
              <w:t>Симптомдық ӨАТЭ және ТВТ</w:t>
            </w:r>
          </w:p>
        </w:tc>
        <w:tc>
          <w:tcPr>
            <w:tcW w:w="1661" w:type="pct"/>
            <w:shd w:val="clear" w:color="auto" w:fill="auto"/>
          </w:tcPr>
          <w:p w14:paraId="32BD79BE" w14:textId="77777777" w:rsidR="00945A0C" w:rsidRPr="006153DC" w:rsidRDefault="0054098D" w:rsidP="00945A0C">
            <w:pPr>
              <w:widowControl w:val="0"/>
              <w:autoSpaceDE w:val="0"/>
              <w:autoSpaceDN w:val="0"/>
              <w:adjustRightInd w:val="0"/>
            </w:pPr>
            <w:r w:rsidRPr="006153DC">
              <w:rPr>
                <w:lang w:val="kk" w:bidi="ru-RU"/>
              </w:rPr>
              <w:t>1</w:t>
            </w:r>
          </w:p>
          <w:p w14:paraId="32BD79BF" w14:textId="77777777" w:rsidR="00945A0C" w:rsidRPr="006153DC" w:rsidRDefault="0054098D" w:rsidP="00945A0C">
            <w:pPr>
              <w:widowControl w:val="0"/>
              <w:autoSpaceDE w:val="0"/>
              <w:autoSpaceDN w:val="0"/>
              <w:adjustRightInd w:val="0"/>
            </w:pPr>
            <w:r w:rsidRPr="006153DC">
              <w:rPr>
                <w:lang w:val="kk" w:bidi="ru-RU"/>
              </w:rPr>
              <w:t>(&lt;0,1 %)</w:t>
            </w:r>
          </w:p>
        </w:tc>
        <w:tc>
          <w:tcPr>
            <w:tcW w:w="1549" w:type="pct"/>
            <w:shd w:val="clear" w:color="auto" w:fill="auto"/>
          </w:tcPr>
          <w:p w14:paraId="32BD79C0" w14:textId="77777777" w:rsidR="00945A0C" w:rsidRPr="006153DC" w:rsidRDefault="0054098D" w:rsidP="00945A0C">
            <w:pPr>
              <w:widowControl w:val="0"/>
              <w:autoSpaceDE w:val="0"/>
              <w:autoSpaceDN w:val="0"/>
              <w:adjustRightInd w:val="0"/>
            </w:pPr>
            <w:r w:rsidRPr="006153DC">
              <w:rPr>
                <w:lang w:val="kk" w:bidi="ru-RU"/>
              </w:rPr>
              <w:t>2</w:t>
            </w:r>
          </w:p>
          <w:p w14:paraId="32BD79C1" w14:textId="77777777" w:rsidR="00945A0C" w:rsidRPr="006153DC" w:rsidRDefault="0054098D" w:rsidP="00945A0C">
            <w:pPr>
              <w:widowControl w:val="0"/>
              <w:autoSpaceDE w:val="0"/>
              <w:autoSpaceDN w:val="0"/>
              <w:adjustRightInd w:val="0"/>
            </w:pPr>
            <w:r w:rsidRPr="006153DC">
              <w:rPr>
                <w:lang w:val="kk" w:bidi="ru-RU"/>
              </w:rPr>
              <w:t>(&lt;0,1 %)</w:t>
            </w:r>
          </w:p>
        </w:tc>
      </w:tr>
      <w:tr w:rsidR="00234FE7" w14:paraId="32BD79C6" w14:textId="77777777" w:rsidTr="00945A0C">
        <w:tc>
          <w:tcPr>
            <w:tcW w:w="1790" w:type="pct"/>
            <w:shd w:val="clear" w:color="auto" w:fill="auto"/>
          </w:tcPr>
          <w:p w14:paraId="32BD79C3" w14:textId="77777777" w:rsidR="00945A0C" w:rsidRPr="006153DC" w:rsidRDefault="0054098D" w:rsidP="00945A0C">
            <w:pPr>
              <w:widowControl w:val="0"/>
              <w:autoSpaceDE w:val="0"/>
              <w:autoSpaceDN w:val="0"/>
              <w:adjustRightInd w:val="0"/>
            </w:pPr>
            <w:r w:rsidRPr="006153DC">
              <w:rPr>
                <w:lang w:val="kk" w:bidi="ru-RU"/>
              </w:rPr>
              <w:t>Өлімге әкелетін ӨАТЭ/өлім, оның себебі ӨАТЭ болып табылады</w:t>
            </w:r>
          </w:p>
        </w:tc>
        <w:tc>
          <w:tcPr>
            <w:tcW w:w="1661" w:type="pct"/>
            <w:shd w:val="clear" w:color="auto" w:fill="auto"/>
          </w:tcPr>
          <w:p w14:paraId="32BD79C4" w14:textId="77777777" w:rsidR="00945A0C" w:rsidRPr="006153DC" w:rsidRDefault="0054098D" w:rsidP="00945A0C">
            <w:pPr>
              <w:widowControl w:val="0"/>
              <w:autoSpaceDE w:val="0"/>
              <w:autoSpaceDN w:val="0"/>
              <w:adjustRightInd w:val="0"/>
            </w:pPr>
            <w:r w:rsidRPr="006153DC">
              <w:rPr>
                <w:lang w:val="kk" w:bidi="ru-RU"/>
              </w:rPr>
              <w:t>15 (0,4%)</w:t>
            </w:r>
          </w:p>
        </w:tc>
        <w:tc>
          <w:tcPr>
            <w:tcW w:w="1549" w:type="pct"/>
            <w:shd w:val="clear" w:color="auto" w:fill="auto"/>
          </w:tcPr>
          <w:p w14:paraId="32BD79C5" w14:textId="77777777" w:rsidR="00945A0C" w:rsidRPr="006153DC" w:rsidRDefault="0054098D" w:rsidP="00945A0C">
            <w:pPr>
              <w:widowControl w:val="0"/>
              <w:autoSpaceDE w:val="0"/>
              <w:autoSpaceDN w:val="0"/>
              <w:adjustRightInd w:val="0"/>
            </w:pPr>
            <w:r w:rsidRPr="006153DC">
              <w:rPr>
                <w:lang w:val="kk" w:bidi="ru-RU"/>
              </w:rPr>
              <w:t>13 (0,3%)</w:t>
            </w:r>
          </w:p>
        </w:tc>
      </w:tr>
      <w:tr w:rsidR="00234FE7" w14:paraId="32BD79CA" w14:textId="77777777" w:rsidTr="00945A0C">
        <w:tc>
          <w:tcPr>
            <w:tcW w:w="1790" w:type="pct"/>
            <w:shd w:val="clear" w:color="auto" w:fill="auto"/>
          </w:tcPr>
          <w:p w14:paraId="32BD79C7" w14:textId="77777777" w:rsidR="00945A0C" w:rsidRPr="006153DC" w:rsidRDefault="0054098D" w:rsidP="00945A0C">
            <w:pPr>
              <w:widowControl w:val="0"/>
              <w:autoSpaceDE w:val="0"/>
              <w:autoSpaceDN w:val="0"/>
              <w:adjustRightInd w:val="0"/>
            </w:pPr>
            <w:r w:rsidRPr="006153DC">
              <w:rPr>
                <w:lang w:val="kk" w:bidi="ru-RU"/>
              </w:rPr>
              <w:t>Үлкен немесе кіші клиникалық маңызы бар қан кетулер</w:t>
            </w:r>
          </w:p>
        </w:tc>
        <w:tc>
          <w:tcPr>
            <w:tcW w:w="1661" w:type="pct"/>
            <w:shd w:val="clear" w:color="auto" w:fill="auto"/>
          </w:tcPr>
          <w:p w14:paraId="32BD79C8" w14:textId="77777777" w:rsidR="00945A0C" w:rsidRPr="006153DC" w:rsidRDefault="0054098D" w:rsidP="00945A0C">
            <w:pPr>
              <w:widowControl w:val="0"/>
              <w:autoSpaceDE w:val="0"/>
              <w:autoSpaceDN w:val="0"/>
              <w:adjustRightInd w:val="0"/>
            </w:pPr>
            <w:r w:rsidRPr="006153DC">
              <w:rPr>
                <w:lang w:val="kk" w:bidi="ru-RU"/>
              </w:rPr>
              <w:t>388 (9,4%)</w:t>
            </w:r>
          </w:p>
        </w:tc>
        <w:tc>
          <w:tcPr>
            <w:tcW w:w="1549" w:type="pct"/>
            <w:shd w:val="clear" w:color="auto" w:fill="auto"/>
          </w:tcPr>
          <w:p w14:paraId="32BD79C9" w14:textId="77777777" w:rsidR="00945A0C" w:rsidRPr="006153DC" w:rsidRDefault="0054098D" w:rsidP="00945A0C">
            <w:pPr>
              <w:widowControl w:val="0"/>
              <w:autoSpaceDE w:val="0"/>
              <w:autoSpaceDN w:val="0"/>
              <w:adjustRightInd w:val="0"/>
            </w:pPr>
            <w:r w:rsidRPr="006153DC">
              <w:rPr>
                <w:lang w:val="kk" w:bidi="ru-RU"/>
              </w:rPr>
              <w:t>412 (10,0%)</w:t>
            </w:r>
          </w:p>
        </w:tc>
      </w:tr>
      <w:tr w:rsidR="00234FE7" w14:paraId="32BD79CE" w14:textId="77777777" w:rsidTr="00945A0C">
        <w:tc>
          <w:tcPr>
            <w:tcW w:w="1790" w:type="pct"/>
            <w:shd w:val="clear" w:color="auto" w:fill="auto"/>
          </w:tcPr>
          <w:p w14:paraId="32BD79CB" w14:textId="77777777" w:rsidR="00945A0C" w:rsidRPr="006153DC" w:rsidRDefault="0054098D" w:rsidP="00945A0C">
            <w:pPr>
              <w:widowControl w:val="0"/>
              <w:autoSpaceDE w:val="0"/>
              <w:autoSpaceDN w:val="0"/>
              <w:adjustRightInd w:val="0"/>
            </w:pPr>
            <w:r w:rsidRPr="006153DC">
              <w:rPr>
                <w:lang w:val="kk" w:bidi="ru-RU"/>
              </w:rPr>
              <w:t>Үлкен қан кету жағдайлары</w:t>
            </w:r>
          </w:p>
        </w:tc>
        <w:tc>
          <w:tcPr>
            <w:tcW w:w="1661" w:type="pct"/>
            <w:shd w:val="clear" w:color="auto" w:fill="auto"/>
          </w:tcPr>
          <w:p w14:paraId="1816ED4A" w14:textId="77777777" w:rsidR="00593835" w:rsidRDefault="0054098D" w:rsidP="00593835">
            <w:pPr>
              <w:widowControl w:val="0"/>
              <w:autoSpaceDE w:val="0"/>
              <w:autoSpaceDN w:val="0"/>
              <w:adjustRightInd w:val="0"/>
              <w:rPr>
                <w:lang w:bidi="ru-RU"/>
              </w:rPr>
            </w:pPr>
            <w:r>
              <w:rPr>
                <w:lang w:val="kk" w:bidi="ru-RU"/>
              </w:rPr>
              <w:t>40</w:t>
            </w:r>
          </w:p>
          <w:p w14:paraId="32BD79CC" w14:textId="4299F8B7" w:rsidR="00945A0C" w:rsidRPr="006153DC" w:rsidRDefault="0054098D" w:rsidP="00593835">
            <w:pPr>
              <w:widowControl w:val="0"/>
              <w:autoSpaceDE w:val="0"/>
              <w:autoSpaceDN w:val="0"/>
              <w:adjustRightInd w:val="0"/>
            </w:pPr>
            <w:r>
              <w:rPr>
                <w:lang w:val="kk" w:bidi="ru-RU"/>
              </w:rPr>
              <w:t>(1,0%)</w:t>
            </w:r>
          </w:p>
        </w:tc>
        <w:tc>
          <w:tcPr>
            <w:tcW w:w="1549" w:type="pct"/>
            <w:shd w:val="clear" w:color="auto" w:fill="auto"/>
          </w:tcPr>
          <w:p w14:paraId="5B4CEEBC" w14:textId="77777777" w:rsidR="00593835" w:rsidRDefault="0054098D" w:rsidP="00593835">
            <w:pPr>
              <w:widowControl w:val="0"/>
              <w:autoSpaceDE w:val="0"/>
              <w:autoSpaceDN w:val="0"/>
              <w:adjustRightInd w:val="0"/>
              <w:rPr>
                <w:lang w:bidi="ru-RU"/>
              </w:rPr>
            </w:pPr>
            <w:r>
              <w:rPr>
                <w:lang w:val="kk" w:bidi="ru-RU"/>
              </w:rPr>
              <w:t>72</w:t>
            </w:r>
          </w:p>
          <w:p w14:paraId="32BD79CD" w14:textId="5911A93A" w:rsidR="00945A0C" w:rsidRPr="006153DC" w:rsidRDefault="0054098D" w:rsidP="00593835">
            <w:pPr>
              <w:widowControl w:val="0"/>
              <w:autoSpaceDE w:val="0"/>
              <w:autoSpaceDN w:val="0"/>
              <w:adjustRightInd w:val="0"/>
            </w:pPr>
            <w:r>
              <w:rPr>
                <w:lang w:val="kk" w:bidi="ru-RU"/>
              </w:rPr>
              <w:t>(1,7%)</w:t>
            </w:r>
          </w:p>
        </w:tc>
      </w:tr>
    </w:tbl>
    <w:p w14:paraId="32BD79CF" w14:textId="77777777" w:rsidR="00945A0C" w:rsidRPr="006153DC" w:rsidRDefault="0054098D" w:rsidP="00945A0C">
      <w:pPr>
        <w:widowControl w:val="0"/>
        <w:numPr>
          <w:ilvl w:val="0"/>
          <w:numId w:val="34"/>
        </w:numPr>
        <w:autoSpaceDE w:val="0"/>
        <w:autoSpaceDN w:val="0"/>
        <w:ind w:left="284" w:hanging="284"/>
        <w:jc w:val="both"/>
      </w:pPr>
      <w:r w:rsidRPr="006153DC">
        <w:rPr>
          <w:lang w:val="kk" w:bidi="ru-RU"/>
        </w:rPr>
        <w:t>Ривароксабан үш апта бойы тәулігіне екі рет 15 мг, содан кейін тәулігіне бір рет 20 мг</w:t>
      </w:r>
    </w:p>
    <w:p w14:paraId="32BD79D0" w14:textId="77777777" w:rsidR="00945A0C" w:rsidRPr="006153DC" w:rsidRDefault="0054098D" w:rsidP="00945A0C">
      <w:pPr>
        <w:widowControl w:val="0"/>
        <w:numPr>
          <w:ilvl w:val="0"/>
          <w:numId w:val="34"/>
        </w:numPr>
        <w:autoSpaceDE w:val="0"/>
        <w:autoSpaceDN w:val="0"/>
        <w:ind w:left="284" w:hanging="284"/>
        <w:jc w:val="both"/>
      </w:pPr>
      <w:r w:rsidRPr="006153DC">
        <w:rPr>
          <w:lang w:val="kk" w:bidi="ru-RU"/>
        </w:rPr>
        <w:lastRenderedPageBreak/>
        <w:t>Эноксапарин КДА ішінара бір мезгілде қабылдау арқылы кемінде 5 күн</w:t>
      </w:r>
    </w:p>
    <w:p w14:paraId="32BD79D2" w14:textId="27E74D3D" w:rsidR="00945A0C" w:rsidRPr="006153DC" w:rsidRDefault="0054098D" w:rsidP="00593835">
      <w:pPr>
        <w:autoSpaceDE w:val="0"/>
        <w:autoSpaceDN w:val="0"/>
        <w:adjustRightInd w:val="0"/>
        <w:spacing w:line="280" w:lineRule="atLeast"/>
        <w:ind w:left="284" w:hanging="284"/>
        <w:jc w:val="both"/>
        <w:rPr>
          <w:color w:val="000000"/>
          <w:lang w:bidi="ru-RU"/>
        </w:rPr>
      </w:pPr>
      <w:r w:rsidRPr="006153DC">
        <w:rPr>
          <w:b/>
          <w:color w:val="000000"/>
          <w:lang w:val="kk" w:bidi="ru-RU"/>
        </w:rPr>
        <w:t>*</w:t>
      </w:r>
      <w:r w:rsidRPr="006153DC">
        <w:rPr>
          <w:b/>
          <w:color w:val="000000"/>
          <w:lang w:val="kk" w:bidi="ru-RU"/>
        </w:rPr>
        <w:tab/>
      </w:r>
      <w:r w:rsidRPr="006153DC">
        <w:rPr>
          <w:color w:val="000000"/>
          <w:lang w:val="kk" w:bidi="ru-RU"/>
        </w:rPr>
        <w:t>p &lt;0,0001 (белгілі бір қауіптер қатынасымен салыстырғанда тиімділігі кем емес 1,75); қауіптер қатынасы: 0,886 (0,661–1,186)</w:t>
      </w:r>
    </w:p>
    <w:p w14:paraId="32BD79D4" w14:textId="6F8ADEF2" w:rsidR="00945A0C" w:rsidRPr="00593835" w:rsidRDefault="0054098D" w:rsidP="00593835">
      <w:pPr>
        <w:autoSpaceDE w:val="0"/>
        <w:autoSpaceDN w:val="0"/>
        <w:adjustRightInd w:val="0"/>
        <w:spacing w:line="280" w:lineRule="atLeast"/>
        <w:jc w:val="both"/>
        <w:rPr>
          <w:color w:val="000000"/>
          <w:lang w:bidi="ru-RU"/>
        </w:rPr>
      </w:pPr>
      <w:r w:rsidRPr="006153DC">
        <w:rPr>
          <w:color w:val="000000"/>
          <w:lang w:val="kk" w:bidi="ru-RU"/>
        </w:rPr>
        <w:t>Жиынтық талдау нәтижесінде алдын ала берілген таза клиникалық пайда (тиімділігінің бастапқы ақырғы нүктесі плюс үлкен қан кету жағдайлары) қауіптер қатынасы 0,771 ((95% сенімділік аралығы: 0,614–0,967), номиналды мәні p=0,0244) ривароксабанның пайдасына болды.</w:t>
      </w:r>
    </w:p>
    <w:p w14:paraId="32BD79D6" w14:textId="3D97D630" w:rsidR="00945A0C" w:rsidRPr="0054098D" w:rsidRDefault="0054098D" w:rsidP="00945A0C">
      <w:pPr>
        <w:autoSpaceDE w:val="0"/>
        <w:autoSpaceDN w:val="0"/>
        <w:adjustRightInd w:val="0"/>
        <w:spacing w:line="280" w:lineRule="atLeast"/>
        <w:jc w:val="both"/>
        <w:rPr>
          <w:color w:val="000000"/>
          <w:lang w:val="kk"/>
        </w:rPr>
      </w:pPr>
      <w:r w:rsidRPr="006153DC">
        <w:rPr>
          <w:color w:val="000000"/>
          <w:lang w:val="kk" w:bidi="ru-RU"/>
        </w:rPr>
        <w:t>Einstein Extension зерттеуінде (8-кестені қараңыз) ривароксабан бастапқы және екінші реттік тиімділік нүктелері бойынша плацебодан асып түсті. Қауіпсіздігінің бастапқы ақырғы нүктесі бойынша (үлкен қан кету жағдайлары) плацебо қабылдаған пациенттермен салыстырғанда күніне бір рет 20 мг ривароксабан қабылдаған пациенттерде статистикалық елеусіз көп жағдайлар тіркелді. Қауіпсіздігінің екінші ақырғы нүктесі бойынша (үлкен немесе кіші клиникалық маңызды қан кету жағдайлары) плацебо қабылдаған пациенттермен салыстырғанда күніне бір рет 20 мг ривароксабан қабылдаған пациенттерде көбірек жағдайлар тіркелді.</w:t>
      </w:r>
    </w:p>
    <w:p w14:paraId="32BD79D8" w14:textId="0500B50D" w:rsidR="00945A0C" w:rsidRPr="00593835" w:rsidRDefault="0054098D" w:rsidP="00593835">
      <w:pPr>
        <w:keepNext/>
        <w:jc w:val="both"/>
        <w:outlineLvl w:val="0"/>
        <w:rPr>
          <w:rFonts w:ascii="Times New Roman(K)" w:hAnsi="Times New Roman(K)"/>
          <w:b/>
          <w:bCs/>
          <w:lang w:val="uk-UA" w:bidi="ru-RU"/>
        </w:rPr>
      </w:pPr>
      <w:r w:rsidRPr="006153DC">
        <w:rPr>
          <w:rFonts w:ascii="Times New Roman(K)" w:hAnsi="Times New Roman(K)"/>
          <w:b/>
          <w:bCs/>
          <w:lang w:val="kk" w:bidi="ru-RU"/>
        </w:rPr>
        <w:t>8-кесте. III фазадағы Einstein Extension клиникалық зерттеуіндегі тиімділігі және қауіпсіздігі</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85" w:type="dxa"/>
          <w:right w:w="85" w:type="dxa"/>
        </w:tblCellMar>
        <w:tblLook w:val="01E0" w:firstRow="1" w:lastRow="1" w:firstColumn="1" w:lastColumn="1" w:noHBand="0" w:noVBand="0"/>
      </w:tblPr>
      <w:tblGrid>
        <w:gridCol w:w="3521"/>
        <w:gridCol w:w="3274"/>
        <w:gridCol w:w="3013"/>
      </w:tblGrid>
      <w:tr w:rsidR="00234FE7" w14:paraId="32BD79DB" w14:textId="77777777" w:rsidTr="00945A0C">
        <w:tc>
          <w:tcPr>
            <w:tcW w:w="1795" w:type="pct"/>
            <w:shd w:val="clear" w:color="auto" w:fill="auto"/>
          </w:tcPr>
          <w:p w14:paraId="32BD79D9" w14:textId="77777777" w:rsidR="00945A0C" w:rsidRPr="006153DC" w:rsidRDefault="0054098D" w:rsidP="00945A0C">
            <w:pPr>
              <w:widowControl w:val="0"/>
              <w:autoSpaceDE w:val="0"/>
              <w:autoSpaceDN w:val="0"/>
              <w:adjustRightInd w:val="0"/>
              <w:rPr>
                <w:b/>
              </w:rPr>
            </w:pPr>
            <w:r w:rsidRPr="006153DC">
              <w:rPr>
                <w:rFonts w:eastAsia="Calibri"/>
                <w:b/>
                <w:lang w:val="kk"/>
              </w:rPr>
              <w:t>Зерттелетін популяция</w:t>
            </w:r>
          </w:p>
        </w:tc>
        <w:tc>
          <w:tcPr>
            <w:tcW w:w="3205" w:type="pct"/>
            <w:gridSpan w:val="2"/>
            <w:shd w:val="clear" w:color="auto" w:fill="auto"/>
          </w:tcPr>
          <w:p w14:paraId="32BD79DA" w14:textId="77777777" w:rsidR="00945A0C" w:rsidRPr="006153DC" w:rsidRDefault="0054098D" w:rsidP="00945A0C">
            <w:pPr>
              <w:widowControl w:val="0"/>
              <w:autoSpaceDE w:val="0"/>
              <w:autoSpaceDN w:val="0"/>
              <w:adjustRightInd w:val="0"/>
              <w:rPr>
                <w:b/>
              </w:rPr>
            </w:pPr>
            <w:r w:rsidRPr="006153DC">
              <w:rPr>
                <w:b/>
                <w:lang w:val="kk" w:bidi="ru-RU"/>
              </w:rPr>
              <w:t>1 197 веналық тромбоэмболия қайталануларының профилактикасы үшін емделуді жалғастырды</w:t>
            </w:r>
          </w:p>
        </w:tc>
      </w:tr>
      <w:tr w:rsidR="00234FE7" w14:paraId="32BD79E3" w14:textId="77777777" w:rsidTr="00945A0C">
        <w:tc>
          <w:tcPr>
            <w:tcW w:w="1795" w:type="pct"/>
            <w:shd w:val="clear" w:color="auto" w:fill="auto"/>
          </w:tcPr>
          <w:p w14:paraId="32BD79DC" w14:textId="77777777" w:rsidR="00945A0C" w:rsidRPr="004D483D" w:rsidRDefault="0054098D" w:rsidP="00945A0C">
            <w:pPr>
              <w:widowControl w:val="0"/>
              <w:autoSpaceDE w:val="0"/>
              <w:autoSpaceDN w:val="0"/>
              <w:adjustRightInd w:val="0"/>
              <w:rPr>
                <w:b/>
                <w:bCs/>
              </w:rPr>
            </w:pPr>
            <w:r w:rsidRPr="004D483D">
              <w:rPr>
                <w:b/>
                <w:bCs/>
                <w:lang w:val="kk" w:bidi="ru-RU"/>
              </w:rPr>
              <w:t>Емі, дозалауы және ұзақтығы</w:t>
            </w:r>
          </w:p>
        </w:tc>
        <w:tc>
          <w:tcPr>
            <w:tcW w:w="1669" w:type="pct"/>
            <w:shd w:val="clear" w:color="auto" w:fill="auto"/>
          </w:tcPr>
          <w:p w14:paraId="32BD79DD" w14:textId="1ABDB2F5" w:rsidR="00945A0C" w:rsidRPr="004D483D" w:rsidRDefault="0054098D" w:rsidP="00945A0C">
            <w:pPr>
              <w:widowControl w:val="0"/>
              <w:autoSpaceDE w:val="0"/>
              <w:autoSpaceDN w:val="0"/>
              <w:adjustRightInd w:val="0"/>
              <w:rPr>
                <w:b/>
                <w:bCs/>
              </w:rPr>
            </w:pPr>
            <w:r w:rsidRPr="004D483D">
              <w:rPr>
                <w:b/>
                <w:bCs/>
                <w:lang w:val="kk" w:bidi="ru-RU"/>
              </w:rPr>
              <w:t xml:space="preserve">Ривароксабан </w:t>
            </w:r>
            <w:r w:rsidRPr="004D483D">
              <w:rPr>
                <w:b/>
                <w:bCs/>
                <w:vertAlign w:val="superscript"/>
                <w:lang w:val="kk" w:bidi="ru-RU"/>
              </w:rPr>
              <w:t>а)</w:t>
            </w:r>
          </w:p>
          <w:p w14:paraId="32BD79DE" w14:textId="77777777" w:rsidR="00945A0C" w:rsidRPr="004D483D" w:rsidRDefault="0054098D" w:rsidP="00945A0C">
            <w:pPr>
              <w:widowControl w:val="0"/>
              <w:autoSpaceDE w:val="0"/>
              <w:autoSpaceDN w:val="0"/>
              <w:adjustRightInd w:val="0"/>
              <w:rPr>
                <w:b/>
                <w:bCs/>
              </w:rPr>
            </w:pPr>
            <w:r w:rsidRPr="004D483D">
              <w:rPr>
                <w:b/>
                <w:bCs/>
                <w:lang w:val="kk" w:bidi="ru-RU"/>
              </w:rPr>
              <w:t>6 немесе 12 ай</w:t>
            </w:r>
          </w:p>
          <w:p w14:paraId="32BD79DF" w14:textId="77777777" w:rsidR="00945A0C" w:rsidRPr="004D483D" w:rsidRDefault="0054098D" w:rsidP="00945A0C">
            <w:pPr>
              <w:widowControl w:val="0"/>
              <w:autoSpaceDE w:val="0"/>
              <w:autoSpaceDN w:val="0"/>
              <w:adjustRightInd w:val="0"/>
              <w:rPr>
                <w:b/>
                <w:bCs/>
              </w:rPr>
            </w:pPr>
            <w:r w:rsidRPr="004D483D">
              <w:rPr>
                <w:b/>
                <w:bCs/>
                <w:lang w:val="kk" w:bidi="ru-RU"/>
              </w:rPr>
              <w:t>N=602</w:t>
            </w:r>
          </w:p>
        </w:tc>
        <w:tc>
          <w:tcPr>
            <w:tcW w:w="1536" w:type="pct"/>
            <w:shd w:val="clear" w:color="auto" w:fill="auto"/>
          </w:tcPr>
          <w:p w14:paraId="32BD79E0" w14:textId="77777777" w:rsidR="00945A0C" w:rsidRPr="004D483D" w:rsidRDefault="0054098D" w:rsidP="00945A0C">
            <w:pPr>
              <w:widowControl w:val="0"/>
              <w:autoSpaceDE w:val="0"/>
              <w:autoSpaceDN w:val="0"/>
              <w:adjustRightInd w:val="0"/>
              <w:rPr>
                <w:b/>
                <w:bCs/>
              </w:rPr>
            </w:pPr>
            <w:r w:rsidRPr="004D483D">
              <w:rPr>
                <w:b/>
                <w:bCs/>
                <w:lang w:val="kk" w:bidi="ru-RU"/>
              </w:rPr>
              <w:t>Плацебо</w:t>
            </w:r>
          </w:p>
          <w:p w14:paraId="32BD79E1" w14:textId="77777777" w:rsidR="00945A0C" w:rsidRPr="004D483D" w:rsidRDefault="0054098D" w:rsidP="00945A0C">
            <w:pPr>
              <w:widowControl w:val="0"/>
              <w:autoSpaceDE w:val="0"/>
              <w:autoSpaceDN w:val="0"/>
              <w:adjustRightInd w:val="0"/>
              <w:rPr>
                <w:b/>
                <w:bCs/>
              </w:rPr>
            </w:pPr>
            <w:r w:rsidRPr="004D483D">
              <w:rPr>
                <w:b/>
                <w:bCs/>
                <w:lang w:val="kk" w:bidi="ru-RU"/>
              </w:rPr>
              <w:t>6 немесе 12 ай</w:t>
            </w:r>
          </w:p>
          <w:p w14:paraId="32BD79E2" w14:textId="77777777" w:rsidR="00945A0C" w:rsidRPr="004D483D" w:rsidRDefault="0054098D" w:rsidP="00945A0C">
            <w:pPr>
              <w:widowControl w:val="0"/>
              <w:autoSpaceDE w:val="0"/>
              <w:autoSpaceDN w:val="0"/>
              <w:adjustRightInd w:val="0"/>
              <w:rPr>
                <w:b/>
                <w:bCs/>
              </w:rPr>
            </w:pPr>
            <w:r w:rsidRPr="004D483D">
              <w:rPr>
                <w:b/>
                <w:bCs/>
                <w:lang w:val="kk" w:bidi="ru-RU"/>
              </w:rPr>
              <w:t>N=594</w:t>
            </w:r>
          </w:p>
        </w:tc>
      </w:tr>
      <w:tr w:rsidR="00234FE7" w14:paraId="32BD79E7" w14:textId="77777777" w:rsidTr="00945A0C">
        <w:tc>
          <w:tcPr>
            <w:tcW w:w="1795" w:type="pct"/>
            <w:vMerge w:val="restart"/>
            <w:shd w:val="clear" w:color="auto" w:fill="auto"/>
          </w:tcPr>
          <w:p w14:paraId="32BD79E4" w14:textId="77777777" w:rsidR="00945A0C" w:rsidRPr="006153DC" w:rsidRDefault="0054098D" w:rsidP="00945A0C">
            <w:pPr>
              <w:widowControl w:val="0"/>
              <w:autoSpaceDE w:val="0"/>
              <w:autoSpaceDN w:val="0"/>
              <w:adjustRightInd w:val="0"/>
            </w:pPr>
            <w:r w:rsidRPr="006153DC">
              <w:rPr>
                <w:lang w:val="kk" w:bidi="ru-RU"/>
              </w:rPr>
              <w:t>Симптомдық қайталанатын ВТЭ*</w:t>
            </w:r>
          </w:p>
        </w:tc>
        <w:tc>
          <w:tcPr>
            <w:tcW w:w="1669" w:type="pct"/>
            <w:tcBorders>
              <w:bottom w:val="nil"/>
            </w:tcBorders>
            <w:shd w:val="clear" w:color="auto" w:fill="auto"/>
          </w:tcPr>
          <w:p w14:paraId="32BD79E5" w14:textId="77777777" w:rsidR="00945A0C" w:rsidRPr="006153DC" w:rsidRDefault="0054098D" w:rsidP="00945A0C">
            <w:pPr>
              <w:widowControl w:val="0"/>
              <w:autoSpaceDE w:val="0"/>
              <w:autoSpaceDN w:val="0"/>
              <w:adjustRightInd w:val="0"/>
            </w:pPr>
            <w:r w:rsidRPr="006153DC">
              <w:rPr>
                <w:lang w:val="kk" w:bidi="ru-RU"/>
              </w:rPr>
              <w:t>8</w:t>
            </w:r>
          </w:p>
        </w:tc>
        <w:tc>
          <w:tcPr>
            <w:tcW w:w="1536" w:type="pct"/>
            <w:tcBorders>
              <w:bottom w:val="nil"/>
            </w:tcBorders>
            <w:shd w:val="clear" w:color="auto" w:fill="auto"/>
          </w:tcPr>
          <w:p w14:paraId="32BD79E6" w14:textId="77777777" w:rsidR="00945A0C" w:rsidRPr="006153DC" w:rsidRDefault="0054098D" w:rsidP="00945A0C">
            <w:pPr>
              <w:widowControl w:val="0"/>
              <w:autoSpaceDE w:val="0"/>
              <w:autoSpaceDN w:val="0"/>
              <w:adjustRightInd w:val="0"/>
            </w:pPr>
            <w:r w:rsidRPr="006153DC">
              <w:rPr>
                <w:lang w:val="kk" w:bidi="ru-RU"/>
              </w:rPr>
              <w:t>42</w:t>
            </w:r>
          </w:p>
        </w:tc>
      </w:tr>
      <w:tr w:rsidR="00234FE7" w14:paraId="32BD79EB" w14:textId="77777777" w:rsidTr="00945A0C">
        <w:tc>
          <w:tcPr>
            <w:tcW w:w="1795" w:type="pct"/>
            <w:vMerge/>
            <w:tcBorders>
              <w:top w:val="nil"/>
            </w:tcBorders>
            <w:shd w:val="clear" w:color="auto" w:fill="auto"/>
          </w:tcPr>
          <w:p w14:paraId="32BD79E8" w14:textId="77777777" w:rsidR="00945A0C" w:rsidRPr="006153DC" w:rsidRDefault="00945A0C" w:rsidP="00945A0C">
            <w:pPr>
              <w:widowControl w:val="0"/>
              <w:autoSpaceDE w:val="0"/>
              <w:autoSpaceDN w:val="0"/>
            </w:pPr>
          </w:p>
        </w:tc>
        <w:tc>
          <w:tcPr>
            <w:tcW w:w="1669" w:type="pct"/>
            <w:tcBorders>
              <w:top w:val="nil"/>
            </w:tcBorders>
            <w:shd w:val="clear" w:color="auto" w:fill="auto"/>
          </w:tcPr>
          <w:p w14:paraId="32BD79E9" w14:textId="77777777" w:rsidR="00945A0C" w:rsidRPr="006153DC" w:rsidRDefault="0054098D" w:rsidP="00945A0C">
            <w:pPr>
              <w:widowControl w:val="0"/>
              <w:autoSpaceDE w:val="0"/>
              <w:autoSpaceDN w:val="0"/>
              <w:adjustRightInd w:val="0"/>
            </w:pPr>
            <w:r w:rsidRPr="006153DC">
              <w:rPr>
                <w:lang w:val="kk" w:bidi="ru-RU"/>
              </w:rPr>
              <w:t>(1,3 %)</w:t>
            </w:r>
          </w:p>
        </w:tc>
        <w:tc>
          <w:tcPr>
            <w:tcW w:w="1536" w:type="pct"/>
            <w:tcBorders>
              <w:top w:val="nil"/>
            </w:tcBorders>
            <w:shd w:val="clear" w:color="auto" w:fill="auto"/>
          </w:tcPr>
          <w:p w14:paraId="32BD79EA" w14:textId="77777777" w:rsidR="00945A0C" w:rsidRPr="006153DC" w:rsidRDefault="0054098D" w:rsidP="00945A0C">
            <w:pPr>
              <w:widowControl w:val="0"/>
              <w:autoSpaceDE w:val="0"/>
              <w:autoSpaceDN w:val="0"/>
              <w:adjustRightInd w:val="0"/>
            </w:pPr>
            <w:r w:rsidRPr="006153DC">
              <w:rPr>
                <w:lang w:val="kk" w:bidi="ru-RU"/>
              </w:rPr>
              <w:t>(7,1 %)</w:t>
            </w:r>
          </w:p>
        </w:tc>
      </w:tr>
      <w:tr w:rsidR="00234FE7" w14:paraId="32BD79EF" w14:textId="77777777" w:rsidTr="00945A0C">
        <w:tc>
          <w:tcPr>
            <w:tcW w:w="1795" w:type="pct"/>
            <w:vMerge w:val="restart"/>
            <w:shd w:val="clear" w:color="auto" w:fill="auto"/>
          </w:tcPr>
          <w:p w14:paraId="32BD79EC" w14:textId="77777777" w:rsidR="00945A0C" w:rsidRPr="006153DC" w:rsidRDefault="0054098D" w:rsidP="00945A0C">
            <w:pPr>
              <w:widowControl w:val="0"/>
              <w:autoSpaceDE w:val="0"/>
              <w:autoSpaceDN w:val="0"/>
              <w:adjustRightInd w:val="0"/>
            </w:pPr>
            <w:r w:rsidRPr="006153DC">
              <w:rPr>
                <w:lang w:val="kk" w:bidi="ru-RU"/>
              </w:rPr>
              <w:t>Симптомдық қайталанатын ӨАТЭ</w:t>
            </w:r>
          </w:p>
        </w:tc>
        <w:tc>
          <w:tcPr>
            <w:tcW w:w="1669" w:type="pct"/>
            <w:tcBorders>
              <w:bottom w:val="nil"/>
            </w:tcBorders>
            <w:shd w:val="clear" w:color="auto" w:fill="auto"/>
          </w:tcPr>
          <w:p w14:paraId="32BD79ED" w14:textId="77777777" w:rsidR="00945A0C" w:rsidRPr="006153DC" w:rsidRDefault="0054098D" w:rsidP="00945A0C">
            <w:pPr>
              <w:widowControl w:val="0"/>
              <w:autoSpaceDE w:val="0"/>
              <w:autoSpaceDN w:val="0"/>
              <w:adjustRightInd w:val="0"/>
            </w:pPr>
            <w:r w:rsidRPr="006153DC">
              <w:rPr>
                <w:lang w:val="kk" w:bidi="ru-RU"/>
              </w:rPr>
              <w:t>2</w:t>
            </w:r>
          </w:p>
        </w:tc>
        <w:tc>
          <w:tcPr>
            <w:tcW w:w="1536" w:type="pct"/>
            <w:tcBorders>
              <w:bottom w:val="nil"/>
            </w:tcBorders>
            <w:shd w:val="clear" w:color="auto" w:fill="auto"/>
          </w:tcPr>
          <w:p w14:paraId="32BD79EE" w14:textId="77777777" w:rsidR="00945A0C" w:rsidRPr="006153DC" w:rsidRDefault="0054098D" w:rsidP="00945A0C">
            <w:pPr>
              <w:widowControl w:val="0"/>
              <w:autoSpaceDE w:val="0"/>
              <w:autoSpaceDN w:val="0"/>
              <w:adjustRightInd w:val="0"/>
            </w:pPr>
            <w:r w:rsidRPr="006153DC">
              <w:rPr>
                <w:lang w:val="kk" w:bidi="ru-RU"/>
              </w:rPr>
              <w:t>13</w:t>
            </w:r>
          </w:p>
        </w:tc>
      </w:tr>
      <w:tr w:rsidR="00234FE7" w14:paraId="32BD79F3" w14:textId="77777777" w:rsidTr="00945A0C">
        <w:tc>
          <w:tcPr>
            <w:tcW w:w="1795" w:type="pct"/>
            <w:vMerge/>
            <w:tcBorders>
              <w:top w:val="nil"/>
            </w:tcBorders>
            <w:shd w:val="clear" w:color="auto" w:fill="auto"/>
          </w:tcPr>
          <w:p w14:paraId="32BD79F0" w14:textId="77777777" w:rsidR="00945A0C" w:rsidRPr="006153DC" w:rsidRDefault="00945A0C" w:rsidP="00945A0C">
            <w:pPr>
              <w:widowControl w:val="0"/>
              <w:autoSpaceDE w:val="0"/>
              <w:autoSpaceDN w:val="0"/>
            </w:pPr>
          </w:p>
        </w:tc>
        <w:tc>
          <w:tcPr>
            <w:tcW w:w="1669" w:type="pct"/>
            <w:tcBorders>
              <w:top w:val="nil"/>
            </w:tcBorders>
            <w:shd w:val="clear" w:color="auto" w:fill="auto"/>
          </w:tcPr>
          <w:p w14:paraId="32BD79F1" w14:textId="77777777" w:rsidR="00945A0C" w:rsidRPr="006153DC" w:rsidRDefault="0054098D" w:rsidP="00945A0C">
            <w:pPr>
              <w:widowControl w:val="0"/>
              <w:autoSpaceDE w:val="0"/>
              <w:autoSpaceDN w:val="0"/>
              <w:adjustRightInd w:val="0"/>
            </w:pPr>
            <w:r w:rsidRPr="006153DC">
              <w:rPr>
                <w:lang w:val="kk" w:bidi="ru-RU"/>
              </w:rPr>
              <w:t>(0,3 %)</w:t>
            </w:r>
          </w:p>
        </w:tc>
        <w:tc>
          <w:tcPr>
            <w:tcW w:w="1536" w:type="pct"/>
            <w:tcBorders>
              <w:top w:val="nil"/>
            </w:tcBorders>
            <w:shd w:val="clear" w:color="auto" w:fill="auto"/>
          </w:tcPr>
          <w:p w14:paraId="32BD79F2" w14:textId="77777777" w:rsidR="00945A0C" w:rsidRPr="006153DC" w:rsidRDefault="0054098D" w:rsidP="00945A0C">
            <w:pPr>
              <w:widowControl w:val="0"/>
              <w:autoSpaceDE w:val="0"/>
              <w:autoSpaceDN w:val="0"/>
              <w:adjustRightInd w:val="0"/>
            </w:pPr>
            <w:r w:rsidRPr="006153DC">
              <w:rPr>
                <w:lang w:val="kk" w:bidi="ru-RU"/>
              </w:rPr>
              <w:t>(2,2%)</w:t>
            </w:r>
          </w:p>
        </w:tc>
      </w:tr>
      <w:tr w:rsidR="00234FE7" w14:paraId="32BD79F7" w14:textId="77777777" w:rsidTr="00945A0C">
        <w:tc>
          <w:tcPr>
            <w:tcW w:w="1795" w:type="pct"/>
            <w:vMerge w:val="restart"/>
            <w:shd w:val="clear" w:color="auto" w:fill="auto"/>
          </w:tcPr>
          <w:p w14:paraId="32BD79F4" w14:textId="77777777" w:rsidR="00945A0C" w:rsidRPr="006153DC" w:rsidRDefault="0054098D" w:rsidP="00945A0C">
            <w:pPr>
              <w:widowControl w:val="0"/>
              <w:autoSpaceDE w:val="0"/>
              <w:autoSpaceDN w:val="0"/>
              <w:adjustRightInd w:val="0"/>
            </w:pPr>
            <w:r w:rsidRPr="006153DC">
              <w:rPr>
                <w:lang w:val="kk" w:bidi="ru-RU"/>
              </w:rPr>
              <w:t>Симптомдық қайталанатын ТВТ</w:t>
            </w:r>
          </w:p>
        </w:tc>
        <w:tc>
          <w:tcPr>
            <w:tcW w:w="1669" w:type="pct"/>
            <w:tcBorders>
              <w:bottom w:val="nil"/>
            </w:tcBorders>
            <w:shd w:val="clear" w:color="auto" w:fill="auto"/>
          </w:tcPr>
          <w:p w14:paraId="32BD79F5" w14:textId="77777777" w:rsidR="00945A0C" w:rsidRPr="006153DC" w:rsidRDefault="0054098D" w:rsidP="00945A0C">
            <w:pPr>
              <w:widowControl w:val="0"/>
              <w:autoSpaceDE w:val="0"/>
              <w:autoSpaceDN w:val="0"/>
              <w:adjustRightInd w:val="0"/>
            </w:pPr>
            <w:r w:rsidRPr="006153DC">
              <w:rPr>
                <w:lang w:val="kk" w:bidi="ru-RU"/>
              </w:rPr>
              <w:t>5</w:t>
            </w:r>
          </w:p>
        </w:tc>
        <w:tc>
          <w:tcPr>
            <w:tcW w:w="1536" w:type="pct"/>
            <w:tcBorders>
              <w:bottom w:val="nil"/>
            </w:tcBorders>
            <w:shd w:val="clear" w:color="auto" w:fill="auto"/>
          </w:tcPr>
          <w:p w14:paraId="32BD79F6" w14:textId="77777777" w:rsidR="00945A0C" w:rsidRPr="006153DC" w:rsidRDefault="0054098D" w:rsidP="00945A0C">
            <w:pPr>
              <w:widowControl w:val="0"/>
              <w:autoSpaceDE w:val="0"/>
              <w:autoSpaceDN w:val="0"/>
              <w:adjustRightInd w:val="0"/>
            </w:pPr>
            <w:r w:rsidRPr="006153DC">
              <w:rPr>
                <w:lang w:val="kk" w:bidi="ru-RU"/>
              </w:rPr>
              <w:t>31</w:t>
            </w:r>
          </w:p>
        </w:tc>
      </w:tr>
      <w:tr w:rsidR="00234FE7" w14:paraId="32BD79FB" w14:textId="77777777" w:rsidTr="00945A0C">
        <w:tc>
          <w:tcPr>
            <w:tcW w:w="1795" w:type="pct"/>
            <w:vMerge/>
            <w:tcBorders>
              <w:top w:val="nil"/>
            </w:tcBorders>
            <w:shd w:val="clear" w:color="auto" w:fill="auto"/>
          </w:tcPr>
          <w:p w14:paraId="32BD79F8" w14:textId="77777777" w:rsidR="00945A0C" w:rsidRPr="006153DC" w:rsidRDefault="00945A0C" w:rsidP="00945A0C">
            <w:pPr>
              <w:widowControl w:val="0"/>
              <w:autoSpaceDE w:val="0"/>
              <w:autoSpaceDN w:val="0"/>
            </w:pPr>
          </w:p>
        </w:tc>
        <w:tc>
          <w:tcPr>
            <w:tcW w:w="1669" w:type="pct"/>
            <w:tcBorders>
              <w:top w:val="nil"/>
            </w:tcBorders>
            <w:shd w:val="clear" w:color="auto" w:fill="auto"/>
          </w:tcPr>
          <w:p w14:paraId="32BD79F9" w14:textId="77777777" w:rsidR="00945A0C" w:rsidRPr="006153DC" w:rsidRDefault="0054098D" w:rsidP="00945A0C">
            <w:pPr>
              <w:widowControl w:val="0"/>
              <w:autoSpaceDE w:val="0"/>
              <w:autoSpaceDN w:val="0"/>
              <w:adjustRightInd w:val="0"/>
            </w:pPr>
            <w:r w:rsidRPr="006153DC">
              <w:rPr>
                <w:lang w:val="kk" w:bidi="ru-RU"/>
              </w:rPr>
              <w:t>(0,8 %)</w:t>
            </w:r>
          </w:p>
        </w:tc>
        <w:tc>
          <w:tcPr>
            <w:tcW w:w="1536" w:type="pct"/>
            <w:tcBorders>
              <w:top w:val="nil"/>
            </w:tcBorders>
            <w:shd w:val="clear" w:color="auto" w:fill="auto"/>
          </w:tcPr>
          <w:p w14:paraId="32BD79FA" w14:textId="77777777" w:rsidR="00945A0C" w:rsidRPr="006153DC" w:rsidRDefault="0054098D" w:rsidP="00945A0C">
            <w:pPr>
              <w:widowControl w:val="0"/>
              <w:autoSpaceDE w:val="0"/>
              <w:autoSpaceDN w:val="0"/>
              <w:adjustRightInd w:val="0"/>
            </w:pPr>
            <w:r w:rsidRPr="006153DC">
              <w:rPr>
                <w:lang w:val="kk" w:bidi="ru-RU"/>
              </w:rPr>
              <w:t>(5,2 %)</w:t>
            </w:r>
          </w:p>
        </w:tc>
      </w:tr>
      <w:tr w:rsidR="00234FE7" w14:paraId="32BD79FF" w14:textId="77777777" w:rsidTr="00945A0C">
        <w:tc>
          <w:tcPr>
            <w:tcW w:w="1795" w:type="pct"/>
            <w:tcBorders>
              <w:bottom w:val="nil"/>
            </w:tcBorders>
            <w:shd w:val="clear" w:color="auto" w:fill="auto"/>
          </w:tcPr>
          <w:p w14:paraId="32BD79FC" w14:textId="77777777" w:rsidR="00945A0C" w:rsidRPr="006153DC" w:rsidRDefault="0054098D" w:rsidP="00945A0C">
            <w:pPr>
              <w:widowControl w:val="0"/>
              <w:autoSpaceDE w:val="0"/>
              <w:autoSpaceDN w:val="0"/>
              <w:adjustRightInd w:val="0"/>
            </w:pPr>
            <w:r w:rsidRPr="006153DC">
              <w:rPr>
                <w:lang w:val="kk" w:bidi="ru-RU"/>
              </w:rPr>
              <w:t xml:space="preserve">Өлімге әкелетін ӨАТЭ/ өлім, </w:t>
            </w:r>
          </w:p>
        </w:tc>
        <w:tc>
          <w:tcPr>
            <w:tcW w:w="1669" w:type="pct"/>
            <w:tcBorders>
              <w:bottom w:val="nil"/>
            </w:tcBorders>
            <w:shd w:val="clear" w:color="auto" w:fill="auto"/>
          </w:tcPr>
          <w:p w14:paraId="32BD79FD" w14:textId="77777777" w:rsidR="00945A0C" w:rsidRPr="006153DC" w:rsidRDefault="0054098D" w:rsidP="00945A0C">
            <w:pPr>
              <w:widowControl w:val="0"/>
              <w:autoSpaceDE w:val="0"/>
              <w:autoSpaceDN w:val="0"/>
              <w:adjustRightInd w:val="0"/>
            </w:pPr>
            <w:r w:rsidRPr="006153DC">
              <w:rPr>
                <w:lang w:val="kk" w:bidi="ru-RU"/>
              </w:rPr>
              <w:t>1</w:t>
            </w:r>
          </w:p>
        </w:tc>
        <w:tc>
          <w:tcPr>
            <w:tcW w:w="1536" w:type="pct"/>
            <w:tcBorders>
              <w:bottom w:val="nil"/>
            </w:tcBorders>
            <w:shd w:val="clear" w:color="auto" w:fill="auto"/>
          </w:tcPr>
          <w:p w14:paraId="32BD79FE" w14:textId="77777777" w:rsidR="00945A0C" w:rsidRPr="006153DC" w:rsidRDefault="0054098D" w:rsidP="00945A0C">
            <w:pPr>
              <w:widowControl w:val="0"/>
              <w:autoSpaceDE w:val="0"/>
              <w:autoSpaceDN w:val="0"/>
              <w:adjustRightInd w:val="0"/>
            </w:pPr>
            <w:r w:rsidRPr="006153DC">
              <w:rPr>
                <w:lang w:val="kk" w:bidi="ru-RU"/>
              </w:rPr>
              <w:t>1</w:t>
            </w:r>
          </w:p>
        </w:tc>
      </w:tr>
      <w:tr w:rsidR="00234FE7" w14:paraId="32BD7A03" w14:textId="77777777" w:rsidTr="00945A0C">
        <w:tc>
          <w:tcPr>
            <w:tcW w:w="1795" w:type="pct"/>
            <w:tcBorders>
              <w:top w:val="nil"/>
            </w:tcBorders>
            <w:shd w:val="clear" w:color="auto" w:fill="auto"/>
          </w:tcPr>
          <w:p w14:paraId="32BD7A00" w14:textId="77777777" w:rsidR="00945A0C" w:rsidRPr="006153DC" w:rsidRDefault="0054098D" w:rsidP="00945A0C">
            <w:pPr>
              <w:widowControl w:val="0"/>
              <w:autoSpaceDE w:val="0"/>
              <w:autoSpaceDN w:val="0"/>
              <w:adjustRightInd w:val="0"/>
            </w:pPr>
            <w:r w:rsidRPr="006153DC">
              <w:rPr>
                <w:lang w:val="kk" w:bidi="ru-RU"/>
              </w:rPr>
              <w:t>мұның себебі ӨАТЭ болып табылады</w:t>
            </w:r>
          </w:p>
        </w:tc>
        <w:tc>
          <w:tcPr>
            <w:tcW w:w="1669" w:type="pct"/>
            <w:tcBorders>
              <w:top w:val="nil"/>
            </w:tcBorders>
            <w:shd w:val="clear" w:color="auto" w:fill="auto"/>
          </w:tcPr>
          <w:p w14:paraId="32BD7A01" w14:textId="77777777" w:rsidR="00945A0C" w:rsidRPr="006153DC" w:rsidRDefault="0054098D" w:rsidP="00945A0C">
            <w:pPr>
              <w:widowControl w:val="0"/>
              <w:autoSpaceDE w:val="0"/>
              <w:autoSpaceDN w:val="0"/>
              <w:adjustRightInd w:val="0"/>
            </w:pPr>
            <w:r w:rsidRPr="006153DC">
              <w:rPr>
                <w:lang w:val="kk" w:bidi="ru-RU"/>
              </w:rPr>
              <w:t>(0,2 %)</w:t>
            </w:r>
          </w:p>
        </w:tc>
        <w:tc>
          <w:tcPr>
            <w:tcW w:w="1536" w:type="pct"/>
            <w:tcBorders>
              <w:top w:val="nil"/>
            </w:tcBorders>
            <w:shd w:val="clear" w:color="auto" w:fill="auto"/>
          </w:tcPr>
          <w:p w14:paraId="32BD7A02" w14:textId="77777777" w:rsidR="00945A0C" w:rsidRPr="006153DC" w:rsidRDefault="0054098D" w:rsidP="00945A0C">
            <w:pPr>
              <w:widowControl w:val="0"/>
              <w:autoSpaceDE w:val="0"/>
              <w:autoSpaceDN w:val="0"/>
              <w:adjustRightInd w:val="0"/>
            </w:pPr>
            <w:r w:rsidRPr="006153DC">
              <w:rPr>
                <w:lang w:val="kk" w:bidi="ru-RU"/>
              </w:rPr>
              <w:t>(0,2 %)</w:t>
            </w:r>
          </w:p>
        </w:tc>
      </w:tr>
      <w:tr w:rsidR="00234FE7" w14:paraId="32BD7A07" w14:textId="77777777" w:rsidTr="00945A0C">
        <w:tc>
          <w:tcPr>
            <w:tcW w:w="1795" w:type="pct"/>
            <w:vMerge w:val="restart"/>
            <w:shd w:val="clear" w:color="auto" w:fill="auto"/>
          </w:tcPr>
          <w:p w14:paraId="32BD7A04" w14:textId="77777777" w:rsidR="00945A0C" w:rsidRPr="006153DC" w:rsidRDefault="0054098D" w:rsidP="00945A0C">
            <w:pPr>
              <w:widowControl w:val="0"/>
              <w:autoSpaceDE w:val="0"/>
              <w:autoSpaceDN w:val="0"/>
              <w:adjustRightInd w:val="0"/>
            </w:pPr>
            <w:r w:rsidRPr="006153DC">
              <w:rPr>
                <w:lang w:val="kk" w:bidi="ru-RU"/>
              </w:rPr>
              <w:t>Үлкен қан кету жағдайлары</w:t>
            </w:r>
          </w:p>
        </w:tc>
        <w:tc>
          <w:tcPr>
            <w:tcW w:w="1669" w:type="pct"/>
            <w:tcBorders>
              <w:bottom w:val="nil"/>
            </w:tcBorders>
            <w:shd w:val="clear" w:color="auto" w:fill="auto"/>
          </w:tcPr>
          <w:p w14:paraId="32BD7A05" w14:textId="77777777" w:rsidR="00945A0C" w:rsidRPr="006153DC" w:rsidRDefault="0054098D" w:rsidP="00945A0C">
            <w:pPr>
              <w:widowControl w:val="0"/>
              <w:autoSpaceDE w:val="0"/>
              <w:autoSpaceDN w:val="0"/>
              <w:adjustRightInd w:val="0"/>
            </w:pPr>
            <w:r w:rsidRPr="006153DC">
              <w:rPr>
                <w:lang w:val="kk" w:bidi="ru-RU"/>
              </w:rPr>
              <w:t>4</w:t>
            </w:r>
          </w:p>
        </w:tc>
        <w:tc>
          <w:tcPr>
            <w:tcW w:w="1536" w:type="pct"/>
            <w:tcBorders>
              <w:bottom w:val="nil"/>
            </w:tcBorders>
            <w:shd w:val="clear" w:color="auto" w:fill="auto"/>
          </w:tcPr>
          <w:p w14:paraId="32BD7A06" w14:textId="77777777" w:rsidR="00945A0C" w:rsidRPr="006153DC" w:rsidRDefault="0054098D" w:rsidP="00945A0C">
            <w:pPr>
              <w:widowControl w:val="0"/>
              <w:autoSpaceDE w:val="0"/>
              <w:autoSpaceDN w:val="0"/>
              <w:adjustRightInd w:val="0"/>
            </w:pPr>
            <w:r w:rsidRPr="006153DC">
              <w:rPr>
                <w:lang w:val="kk" w:bidi="ru-RU"/>
              </w:rPr>
              <w:t>0</w:t>
            </w:r>
          </w:p>
        </w:tc>
      </w:tr>
      <w:tr w:rsidR="00234FE7" w14:paraId="32BD7A0B" w14:textId="77777777" w:rsidTr="00945A0C">
        <w:tc>
          <w:tcPr>
            <w:tcW w:w="1795" w:type="pct"/>
            <w:vMerge/>
            <w:tcBorders>
              <w:top w:val="nil"/>
            </w:tcBorders>
            <w:shd w:val="clear" w:color="auto" w:fill="auto"/>
          </w:tcPr>
          <w:p w14:paraId="32BD7A08" w14:textId="77777777" w:rsidR="00945A0C" w:rsidRPr="006153DC" w:rsidRDefault="00945A0C" w:rsidP="00945A0C">
            <w:pPr>
              <w:widowControl w:val="0"/>
              <w:autoSpaceDE w:val="0"/>
              <w:autoSpaceDN w:val="0"/>
            </w:pPr>
          </w:p>
        </w:tc>
        <w:tc>
          <w:tcPr>
            <w:tcW w:w="1669" w:type="pct"/>
            <w:tcBorders>
              <w:top w:val="nil"/>
            </w:tcBorders>
            <w:shd w:val="clear" w:color="auto" w:fill="auto"/>
          </w:tcPr>
          <w:p w14:paraId="32BD7A09" w14:textId="77777777" w:rsidR="00945A0C" w:rsidRPr="006153DC" w:rsidRDefault="0054098D" w:rsidP="00945A0C">
            <w:pPr>
              <w:widowControl w:val="0"/>
              <w:autoSpaceDE w:val="0"/>
              <w:autoSpaceDN w:val="0"/>
              <w:adjustRightInd w:val="0"/>
            </w:pPr>
            <w:r w:rsidRPr="006153DC">
              <w:rPr>
                <w:lang w:val="kk" w:bidi="ru-RU"/>
              </w:rPr>
              <w:t>(0,7 %)</w:t>
            </w:r>
          </w:p>
        </w:tc>
        <w:tc>
          <w:tcPr>
            <w:tcW w:w="1536" w:type="pct"/>
            <w:tcBorders>
              <w:top w:val="nil"/>
            </w:tcBorders>
            <w:shd w:val="clear" w:color="auto" w:fill="auto"/>
          </w:tcPr>
          <w:p w14:paraId="32BD7A0A" w14:textId="77777777" w:rsidR="00945A0C" w:rsidRPr="006153DC" w:rsidRDefault="0054098D" w:rsidP="00945A0C">
            <w:pPr>
              <w:widowControl w:val="0"/>
              <w:autoSpaceDE w:val="0"/>
              <w:autoSpaceDN w:val="0"/>
              <w:adjustRightInd w:val="0"/>
            </w:pPr>
            <w:r w:rsidRPr="006153DC">
              <w:rPr>
                <w:lang w:val="kk" w:bidi="ru-RU"/>
              </w:rPr>
              <w:t>(0,0%)</w:t>
            </w:r>
          </w:p>
        </w:tc>
      </w:tr>
      <w:tr w:rsidR="00234FE7" w14:paraId="32BD7A11" w14:textId="77777777" w:rsidTr="00945A0C">
        <w:tc>
          <w:tcPr>
            <w:tcW w:w="1795" w:type="pct"/>
            <w:tcBorders>
              <w:bottom w:val="nil"/>
            </w:tcBorders>
            <w:shd w:val="clear" w:color="auto" w:fill="auto"/>
          </w:tcPr>
          <w:p w14:paraId="32BD7A0C" w14:textId="77777777" w:rsidR="00945A0C" w:rsidRPr="006153DC" w:rsidRDefault="0054098D" w:rsidP="00945A0C">
            <w:r w:rsidRPr="006153DC">
              <w:rPr>
                <w:lang w:val="kk"/>
              </w:rPr>
              <w:t>Кіші клиникалық маңызды қан кетулер</w:t>
            </w:r>
          </w:p>
        </w:tc>
        <w:tc>
          <w:tcPr>
            <w:tcW w:w="1669" w:type="pct"/>
            <w:tcBorders>
              <w:bottom w:val="nil"/>
            </w:tcBorders>
            <w:shd w:val="clear" w:color="auto" w:fill="auto"/>
          </w:tcPr>
          <w:p w14:paraId="32BD7A0D" w14:textId="77777777" w:rsidR="00945A0C" w:rsidRPr="006153DC" w:rsidRDefault="0054098D" w:rsidP="00945A0C">
            <w:pPr>
              <w:widowControl w:val="0"/>
              <w:autoSpaceDE w:val="0"/>
              <w:autoSpaceDN w:val="0"/>
              <w:adjustRightInd w:val="0"/>
              <w:rPr>
                <w:lang w:bidi="ru-RU"/>
              </w:rPr>
            </w:pPr>
            <w:r w:rsidRPr="006153DC">
              <w:rPr>
                <w:lang w:val="kk" w:bidi="ru-RU"/>
              </w:rPr>
              <w:t>32</w:t>
            </w:r>
          </w:p>
          <w:p w14:paraId="32BD7A0E" w14:textId="77777777" w:rsidR="00945A0C" w:rsidRPr="006153DC" w:rsidRDefault="0054098D" w:rsidP="00945A0C">
            <w:pPr>
              <w:widowControl w:val="0"/>
              <w:autoSpaceDE w:val="0"/>
              <w:autoSpaceDN w:val="0"/>
              <w:adjustRightInd w:val="0"/>
            </w:pPr>
            <w:r w:rsidRPr="006153DC">
              <w:rPr>
                <w:lang w:val="kk" w:bidi="ru-RU"/>
              </w:rPr>
              <w:t>(5,4 %)</w:t>
            </w:r>
          </w:p>
        </w:tc>
        <w:tc>
          <w:tcPr>
            <w:tcW w:w="1536" w:type="pct"/>
            <w:tcBorders>
              <w:bottom w:val="nil"/>
            </w:tcBorders>
            <w:shd w:val="clear" w:color="auto" w:fill="auto"/>
          </w:tcPr>
          <w:p w14:paraId="32BD7A0F" w14:textId="77777777" w:rsidR="00945A0C" w:rsidRPr="006153DC" w:rsidRDefault="0054098D" w:rsidP="00945A0C">
            <w:pPr>
              <w:widowControl w:val="0"/>
              <w:autoSpaceDE w:val="0"/>
              <w:autoSpaceDN w:val="0"/>
              <w:adjustRightInd w:val="0"/>
              <w:rPr>
                <w:lang w:bidi="ru-RU"/>
              </w:rPr>
            </w:pPr>
            <w:r w:rsidRPr="006153DC">
              <w:rPr>
                <w:lang w:val="kk" w:bidi="ru-RU"/>
              </w:rPr>
              <w:t>7</w:t>
            </w:r>
          </w:p>
          <w:p w14:paraId="32BD7A10" w14:textId="77777777" w:rsidR="00945A0C" w:rsidRPr="006153DC" w:rsidRDefault="0054098D" w:rsidP="00945A0C">
            <w:pPr>
              <w:widowControl w:val="0"/>
              <w:autoSpaceDE w:val="0"/>
              <w:autoSpaceDN w:val="0"/>
              <w:adjustRightInd w:val="0"/>
            </w:pPr>
            <w:r w:rsidRPr="006153DC">
              <w:rPr>
                <w:lang w:val="kk" w:bidi="ru-RU"/>
              </w:rPr>
              <w:t>(1,2 %)</w:t>
            </w:r>
          </w:p>
        </w:tc>
      </w:tr>
      <w:tr w:rsidR="00234FE7" w14:paraId="32BD7A15" w14:textId="77777777" w:rsidTr="00945A0C">
        <w:trPr>
          <w:trHeight w:val="80"/>
        </w:trPr>
        <w:tc>
          <w:tcPr>
            <w:tcW w:w="1795" w:type="pct"/>
            <w:tcBorders>
              <w:top w:val="nil"/>
            </w:tcBorders>
            <w:shd w:val="clear" w:color="auto" w:fill="auto"/>
          </w:tcPr>
          <w:p w14:paraId="32BD7A12" w14:textId="77777777" w:rsidR="00945A0C" w:rsidRPr="006153DC" w:rsidRDefault="00945A0C" w:rsidP="00945A0C"/>
        </w:tc>
        <w:tc>
          <w:tcPr>
            <w:tcW w:w="1669" w:type="pct"/>
            <w:tcBorders>
              <w:top w:val="nil"/>
            </w:tcBorders>
            <w:shd w:val="clear" w:color="auto" w:fill="auto"/>
          </w:tcPr>
          <w:p w14:paraId="32BD7A13" w14:textId="77777777" w:rsidR="00945A0C" w:rsidRPr="006153DC" w:rsidRDefault="00945A0C" w:rsidP="00945A0C">
            <w:pPr>
              <w:widowControl w:val="0"/>
              <w:autoSpaceDE w:val="0"/>
              <w:autoSpaceDN w:val="0"/>
              <w:adjustRightInd w:val="0"/>
            </w:pPr>
          </w:p>
        </w:tc>
        <w:tc>
          <w:tcPr>
            <w:tcW w:w="1536" w:type="pct"/>
            <w:tcBorders>
              <w:top w:val="nil"/>
            </w:tcBorders>
            <w:shd w:val="clear" w:color="auto" w:fill="auto"/>
          </w:tcPr>
          <w:p w14:paraId="32BD7A14" w14:textId="77777777" w:rsidR="00945A0C" w:rsidRPr="006153DC" w:rsidRDefault="00945A0C" w:rsidP="00945A0C">
            <w:pPr>
              <w:widowControl w:val="0"/>
              <w:autoSpaceDE w:val="0"/>
              <w:autoSpaceDN w:val="0"/>
              <w:adjustRightInd w:val="0"/>
            </w:pPr>
          </w:p>
        </w:tc>
      </w:tr>
    </w:tbl>
    <w:p w14:paraId="32BD7A16" w14:textId="18A30A8B" w:rsidR="00945A0C" w:rsidRPr="006153DC" w:rsidRDefault="0054098D" w:rsidP="00945A0C">
      <w:pPr>
        <w:autoSpaceDE w:val="0"/>
        <w:autoSpaceDN w:val="0"/>
        <w:adjustRightInd w:val="0"/>
        <w:spacing w:line="280" w:lineRule="atLeast"/>
        <w:jc w:val="both"/>
        <w:rPr>
          <w:color w:val="000000"/>
        </w:rPr>
      </w:pPr>
      <w:r w:rsidRPr="006153DC">
        <w:rPr>
          <w:color w:val="000000"/>
          <w:lang w:val="kk" w:bidi="ru-RU"/>
        </w:rPr>
        <w:t>a) Ривароксабан күніне бір рет 20 мг</w:t>
      </w:r>
    </w:p>
    <w:p w14:paraId="32BD7A18" w14:textId="20753D1A" w:rsidR="00945A0C" w:rsidRPr="006153DC" w:rsidRDefault="0054098D" w:rsidP="00945A0C">
      <w:pPr>
        <w:autoSpaceDE w:val="0"/>
        <w:autoSpaceDN w:val="0"/>
        <w:adjustRightInd w:val="0"/>
        <w:spacing w:line="280" w:lineRule="atLeast"/>
        <w:jc w:val="both"/>
        <w:rPr>
          <w:color w:val="000000"/>
        </w:rPr>
      </w:pPr>
      <w:r w:rsidRPr="006153DC">
        <w:rPr>
          <w:b/>
          <w:color w:val="000000"/>
          <w:lang w:val="kk" w:bidi="ru-RU"/>
        </w:rPr>
        <w:t>*</w:t>
      </w:r>
      <w:r w:rsidRPr="006153DC">
        <w:rPr>
          <w:color w:val="000000"/>
          <w:lang w:val="kk" w:bidi="ru-RU"/>
        </w:rPr>
        <w:t xml:space="preserve"> pp &lt;0,0001(артықшылық), қауіптер қатынасы: 0,185 (0,087–0,393)</w:t>
      </w:r>
    </w:p>
    <w:p w14:paraId="32BD7A1B" w14:textId="4CB5C4D8" w:rsidR="00945A0C" w:rsidRPr="0054098D" w:rsidRDefault="0054098D" w:rsidP="00E6135F">
      <w:pPr>
        <w:autoSpaceDE w:val="0"/>
        <w:autoSpaceDN w:val="0"/>
        <w:adjustRightInd w:val="0"/>
        <w:spacing w:line="280" w:lineRule="atLeast"/>
        <w:jc w:val="both"/>
        <w:rPr>
          <w:color w:val="000000"/>
          <w:lang w:val="kk"/>
        </w:rPr>
      </w:pPr>
      <w:r w:rsidRPr="006153DC">
        <w:rPr>
          <w:color w:val="000000"/>
          <w:lang w:val="kk" w:bidi="ru-RU"/>
        </w:rPr>
        <w:t>Einstein Choice зерттеуінде (9-кесте) 20 мг және 10 мг ривароксабан тиімділігінің бастапқы ақырғы нүктесі бойынша 100 мг дозадағы ацетилсалицил қышқылынан асып түсті. Қауіпсіздігінің негізгі ақырғы нүктесі (үлкен қан кету жағдайлары) 100 мг ацетилсалицил қышқылын қабылдаған пациенттермен салыстырғанда тәулігіне бір рет 20 мг және 10 мг ривароксабан қабылдаған пациенттерде салыстырмалы болды.</w:t>
      </w:r>
    </w:p>
    <w:p w14:paraId="32BD7A1D" w14:textId="744D675C" w:rsidR="00945A0C" w:rsidRPr="00E6135F" w:rsidRDefault="0054098D" w:rsidP="00E6135F">
      <w:pPr>
        <w:keepNext/>
        <w:jc w:val="both"/>
        <w:outlineLvl w:val="0"/>
        <w:rPr>
          <w:rFonts w:ascii="Times New Roman(K)" w:hAnsi="Times New Roman(K)"/>
          <w:b/>
          <w:bCs/>
          <w:lang w:val="uk-UA"/>
        </w:rPr>
      </w:pPr>
      <w:r w:rsidRPr="006153DC">
        <w:rPr>
          <w:rFonts w:ascii="Times New Roman(K)" w:hAnsi="Times New Roman(K)"/>
          <w:b/>
          <w:bCs/>
          <w:lang w:val="kk" w:bidi="ru-RU"/>
        </w:rPr>
        <w:t>9-кесте. III фазадағы Einstein Choice клиникалық зерттеуіндегі тиімділігі және қауіпсіздігі</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85" w:type="dxa"/>
          <w:right w:w="85" w:type="dxa"/>
        </w:tblCellMar>
        <w:tblLook w:val="01E0" w:firstRow="1" w:lastRow="1" w:firstColumn="1" w:lastColumn="1" w:noHBand="0" w:noVBand="0"/>
      </w:tblPr>
      <w:tblGrid>
        <w:gridCol w:w="2958"/>
        <w:gridCol w:w="2338"/>
        <w:gridCol w:w="2215"/>
        <w:gridCol w:w="2297"/>
      </w:tblGrid>
      <w:tr w:rsidR="00234FE7" w14:paraId="32BD7A20" w14:textId="77777777" w:rsidTr="00945A0C">
        <w:tc>
          <w:tcPr>
            <w:tcW w:w="1508" w:type="pct"/>
            <w:shd w:val="clear" w:color="auto" w:fill="auto"/>
          </w:tcPr>
          <w:p w14:paraId="32BD7A1E" w14:textId="77777777" w:rsidR="00945A0C" w:rsidRPr="006153DC" w:rsidRDefault="0054098D" w:rsidP="00945A0C">
            <w:pPr>
              <w:widowControl w:val="0"/>
              <w:autoSpaceDE w:val="0"/>
              <w:autoSpaceDN w:val="0"/>
              <w:adjustRightInd w:val="0"/>
              <w:rPr>
                <w:b/>
              </w:rPr>
            </w:pPr>
            <w:r w:rsidRPr="006153DC">
              <w:rPr>
                <w:rFonts w:eastAsia="Calibri"/>
                <w:b/>
                <w:lang w:val="kk"/>
              </w:rPr>
              <w:t>Зерттелетін популяция</w:t>
            </w:r>
          </w:p>
        </w:tc>
        <w:tc>
          <w:tcPr>
            <w:tcW w:w="3492" w:type="pct"/>
            <w:gridSpan w:val="3"/>
            <w:shd w:val="clear" w:color="auto" w:fill="auto"/>
          </w:tcPr>
          <w:p w14:paraId="32BD7A1F" w14:textId="77777777" w:rsidR="00945A0C" w:rsidRPr="006153DC" w:rsidRDefault="0054098D" w:rsidP="00945A0C">
            <w:pPr>
              <w:widowControl w:val="0"/>
              <w:autoSpaceDE w:val="0"/>
              <w:autoSpaceDN w:val="0"/>
              <w:adjustRightInd w:val="0"/>
              <w:spacing w:line="280" w:lineRule="atLeast"/>
              <w:ind w:left="98" w:right="1954"/>
              <w:jc w:val="both"/>
              <w:rPr>
                <w:b/>
                <w:color w:val="000000"/>
              </w:rPr>
            </w:pPr>
            <w:r w:rsidRPr="006153DC">
              <w:rPr>
                <w:b/>
                <w:color w:val="000000"/>
                <w:lang w:val="kk" w:bidi="ru-RU"/>
              </w:rPr>
              <w:t>3 396 веналық тромбоэмболия қайталануларының профилактикасы үшін жалғастырды</w:t>
            </w:r>
          </w:p>
        </w:tc>
      </w:tr>
      <w:tr w:rsidR="00234FE7" w14:paraId="32BD7A29" w14:textId="77777777" w:rsidTr="00945A0C">
        <w:tc>
          <w:tcPr>
            <w:tcW w:w="1508" w:type="pct"/>
            <w:shd w:val="clear" w:color="auto" w:fill="auto"/>
          </w:tcPr>
          <w:p w14:paraId="32BD7A21" w14:textId="77777777" w:rsidR="00945A0C" w:rsidRPr="00E6135F" w:rsidRDefault="00945A0C" w:rsidP="00945A0C">
            <w:pPr>
              <w:widowControl w:val="0"/>
              <w:autoSpaceDE w:val="0"/>
              <w:autoSpaceDN w:val="0"/>
              <w:adjustRightInd w:val="0"/>
              <w:rPr>
                <w:b/>
                <w:bCs/>
              </w:rPr>
            </w:pPr>
          </w:p>
          <w:p w14:paraId="32BD7A22" w14:textId="77777777" w:rsidR="00945A0C" w:rsidRPr="00E6135F" w:rsidRDefault="0054098D" w:rsidP="00945A0C">
            <w:pPr>
              <w:widowControl w:val="0"/>
              <w:autoSpaceDE w:val="0"/>
              <w:autoSpaceDN w:val="0"/>
              <w:adjustRightInd w:val="0"/>
              <w:rPr>
                <w:b/>
                <w:bCs/>
              </w:rPr>
            </w:pPr>
            <w:r w:rsidRPr="00E6135F">
              <w:rPr>
                <w:b/>
                <w:bCs/>
                <w:lang w:val="kk" w:bidi="ru-RU"/>
              </w:rPr>
              <w:t xml:space="preserve">Дозасы </w:t>
            </w:r>
          </w:p>
        </w:tc>
        <w:tc>
          <w:tcPr>
            <w:tcW w:w="1192" w:type="pct"/>
            <w:shd w:val="clear" w:color="auto" w:fill="auto"/>
          </w:tcPr>
          <w:p w14:paraId="32BD7A23" w14:textId="1E31752A" w:rsidR="00945A0C" w:rsidRPr="00E6135F" w:rsidRDefault="0054098D" w:rsidP="00945A0C">
            <w:pPr>
              <w:widowControl w:val="0"/>
              <w:autoSpaceDE w:val="0"/>
              <w:autoSpaceDN w:val="0"/>
              <w:adjustRightInd w:val="0"/>
              <w:rPr>
                <w:b/>
                <w:bCs/>
              </w:rPr>
            </w:pPr>
            <w:r w:rsidRPr="00E6135F">
              <w:rPr>
                <w:b/>
                <w:bCs/>
                <w:lang w:val="kk" w:bidi="ru-RU"/>
              </w:rPr>
              <w:t>Ривароксабан 20 мг тәулігіне 1 р</w:t>
            </w:r>
          </w:p>
          <w:p w14:paraId="32BD7A24" w14:textId="77777777" w:rsidR="00945A0C" w:rsidRPr="00E6135F" w:rsidRDefault="0054098D" w:rsidP="00945A0C">
            <w:pPr>
              <w:widowControl w:val="0"/>
              <w:autoSpaceDE w:val="0"/>
              <w:autoSpaceDN w:val="0"/>
              <w:adjustRightInd w:val="0"/>
              <w:rPr>
                <w:b/>
                <w:bCs/>
              </w:rPr>
            </w:pPr>
            <w:r w:rsidRPr="00E6135F">
              <w:rPr>
                <w:b/>
                <w:bCs/>
                <w:lang w:val="kk" w:bidi="ru-RU"/>
              </w:rPr>
              <w:t>N=1,107</w:t>
            </w:r>
          </w:p>
        </w:tc>
        <w:tc>
          <w:tcPr>
            <w:tcW w:w="1129" w:type="pct"/>
            <w:shd w:val="clear" w:color="auto" w:fill="auto"/>
          </w:tcPr>
          <w:p w14:paraId="32BD7A25" w14:textId="203CF291" w:rsidR="00945A0C" w:rsidRPr="00E6135F" w:rsidRDefault="0054098D" w:rsidP="00945A0C">
            <w:pPr>
              <w:widowControl w:val="0"/>
              <w:autoSpaceDE w:val="0"/>
              <w:autoSpaceDN w:val="0"/>
              <w:adjustRightInd w:val="0"/>
              <w:rPr>
                <w:b/>
                <w:bCs/>
              </w:rPr>
            </w:pPr>
            <w:r w:rsidRPr="00E6135F">
              <w:rPr>
                <w:b/>
                <w:bCs/>
                <w:lang w:val="kk" w:bidi="ru-RU"/>
              </w:rPr>
              <w:t>Ривароксабан 10 мг тәулігіне 1 р</w:t>
            </w:r>
          </w:p>
          <w:p w14:paraId="32BD7A26" w14:textId="77777777" w:rsidR="00945A0C" w:rsidRPr="00E6135F" w:rsidRDefault="0054098D" w:rsidP="00945A0C">
            <w:pPr>
              <w:widowControl w:val="0"/>
              <w:autoSpaceDE w:val="0"/>
              <w:autoSpaceDN w:val="0"/>
              <w:adjustRightInd w:val="0"/>
              <w:rPr>
                <w:b/>
                <w:bCs/>
              </w:rPr>
            </w:pPr>
            <w:r w:rsidRPr="00E6135F">
              <w:rPr>
                <w:b/>
                <w:bCs/>
                <w:lang w:val="kk" w:bidi="ru-RU"/>
              </w:rPr>
              <w:t>N=1,127</w:t>
            </w:r>
          </w:p>
        </w:tc>
        <w:tc>
          <w:tcPr>
            <w:tcW w:w="1171" w:type="pct"/>
            <w:shd w:val="clear" w:color="auto" w:fill="auto"/>
          </w:tcPr>
          <w:p w14:paraId="32BD7A27" w14:textId="77777777" w:rsidR="00945A0C" w:rsidRPr="00E6135F" w:rsidRDefault="0054098D" w:rsidP="00945A0C">
            <w:pPr>
              <w:widowControl w:val="0"/>
              <w:autoSpaceDE w:val="0"/>
              <w:autoSpaceDN w:val="0"/>
              <w:adjustRightInd w:val="0"/>
              <w:rPr>
                <w:b/>
                <w:bCs/>
              </w:rPr>
            </w:pPr>
            <w:r w:rsidRPr="00E6135F">
              <w:rPr>
                <w:b/>
                <w:bCs/>
                <w:lang w:val="kk" w:bidi="ru-RU"/>
              </w:rPr>
              <w:t>АСҚ 100 мг тәулігіне 1 р</w:t>
            </w:r>
          </w:p>
          <w:p w14:paraId="32BD7A28" w14:textId="77777777" w:rsidR="00945A0C" w:rsidRPr="00E6135F" w:rsidRDefault="0054098D" w:rsidP="00945A0C">
            <w:pPr>
              <w:widowControl w:val="0"/>
              <w:autoSpaceDE w:val="0"/>
              <w:autoSpaceDN w:val="0"/>
              <w:adjustRightInd w:val="0"/>
              <w:rPr>
                <w:b/>
                <w:bCs/>
              </w:rPr>
            </w:pPr>
            <w:r w:rsidRPr="00E6135F">
              <w:rPr>
                <w:b/>
                <w:bCs/>
                <w:lang w:val="kk" w:bidi="ru-RU"/>
              </w:rPr>
              <w:t>N=1,131</w:t>
            </w:r>
          </w:p>
        </w:tc>
      </w:tr>
      <w:tr w:rsidR="00234FE7" w14:paraId="32BD7A2E" w14:textId="77777777" w:rsidTr="00945A0C">
        <w:tc>
          <w:tcPr>
            <w:tcW w:w="1508" w:type="pct"/>
            <w:shd w:val="clear" w:color="auto" w:fill="auto"/>
          </w:tcPr>
          <w:p w14:paraId="32BD7A2A" w14:textId="77777777" w:rsidR="00945A0C" w:rsidRPr="006153DC" w:rsidRDefault="0054098D" w:rsidP="00945A0C">
            <w:pPr>
              <w:widowControl w:val="0"/>
              <w:autoSpaceDE w:val="0"/>
              <w:autoSpaceDN w:val="0"/>
              <w:adjustRightInd w:val="0"/>
            </w:pPr>
            <w:r w:rsidRPr="006153DC">
              <w:rPr>
                <w:lang w:val="kk" w:bidi="ru-RU"/>
              </w:rPr>
              <w:lastRenderedPageBreak/>
              <w:t>Емдеудің орташа ұзақтығы (квартильаралық аралық)</w:t>
            </w:r>
          </w:p>
        </w:tc>
        <w:tc>
          <w:tcPr>
            <w:tcW w:w="1192" w:type="pct"/>
            <w:shd w:val="clear" w:color="auto" w:fill="auto"/>
          </w:tcPr>
          <w:p w14:paraId="32BD7A2B" w14:textId="77777777" w:rsidR="00945A0C" w:rsidRPr="006153DC" w:rsidRDefault="0054098D" w:rsidP="00945A0C">
            <w:pPr>
              <w:widowControl w:val="0"/>
              <w:autoSpaceDE w:val="0"/>
              <w:autoSpaceDN w:val="0"/>
              <w:adjustRightInd w:val="0"/>
            </w:pPr>
            <w:r w:rsidRPr="006153DC">
              <w:rPr>
                <w:lang w:val="kk" w:bidi="ru-RU"/>
              </w:rPr>
              <w:t>349 [189-362] күн</w:t>
            </w:r>
          </w:p>
        </w:tc>
        <w:tc>
          <w:tcPr>
            <w:tcW w:w="1129" w:type="pct"/>
            <w:shd w:val="clear" w:color="auto" w:fill="auto"/>
          </w:tcPr>
          <w:p w14:paraId="32BD7A2C" w14:textId="77777777" w:rsidR="00945A0C" w:rsidRPr="006153DC" w:rsidRDefault="0054098D" w:rsidP="00945A0C">
            <w:pPr>
              <w:widowControl w:val="0"/>
              <w:autoSpaceDE w:val="0"/>
              <w:autoSpaceDN w:val="0"/>
              <w:adjustRightInd w:val="0"/>
            </w:pPr>
            <w:r w:rsidRPr="006153DC">
              <w:rPr>
                <w:lang w:val="kk" w:bidi="ru-RU"/>
              </w:rPr>
              <w:t>353 [190-362] күн</w:t>
            </w:r>
          </w:p>
        </w:tc>
        <w:tc>
          <w:tcPr>
            <w:tcW w:w="1171" w:type="pct"/>
            <w:shd w:val="clear" w:color="auto" w:fill="auto"/>
          </w:tcPr>
          <w:p w14:paraId="32BD7A2D" w14:textId="77777777" w:rsidR="00945A0C" w:rsidRPr="006153DC" w:rsidRDefault="0054098D" w:rsidP="00945A0C">
            <w:pPr>
              <w:widowControl w:val="0"/>
              <w:autoSpaceDE w:val="0"/>
              <w:autoSpaceDN w:val="0"/>
              <w:adjustRightInd w:val="0"/>
            </w:pPr>
            <w:r w:rsidRPr="006153DC">
              <w:rPr>
                <w:lang w:val="kk" w:bidi="ru-RU"/>
              </w:rPr>
              <w:t>350 [186-362] күн</w:t>
            </w:r>
          </w:p>
        </w:tc>
      </w:tr>
      <w:tr w:rsidR="00234FE7" w14:paraId="32BD7A33" w14:textId="77777777" w:rsidTr="00945A0C">
        <w:tc>
          <w:tcPr>
            <w:tcW w:w="1508" w:type="pct"/>
            <w:shd w:val="clear" w:color="auto" w:fill="auto"/>
          </w:tcPr>
          <w:p w14:paraId="32BD7A2F" w14:textId="77777777" w:rsidR="00945A0C" w:rsidRPr="006153DC" w:rsidRDefault="0054098D" w:rsidP="00945A0C">
            <w:pPr>
              <w:widowControl w:val="0"/>
              <w:autoSpaceDE w:val="0"/>
              <w:autoSpaceDN w:val="0"/>
              <w:adjustRightInd w:val="0"/>
            </w:pPr>
            <w:r w:rsidRPr="006153DC">
              <w:rPr>
                <w:lang w:val="kk" w:bidi="ru-RU"/>
              </w:rPr>
              <w:t>Симптомдық қайталанатын ВТЭ</w:t>
            </w:r>
          </w:p>
        </w:tc>
        <w:tc>
          <w:tcPr>
            <w:tcW w:w="1192" w:type="pct"/>
            <w:shd w:val="clear" w:color="auto" w:fill="auto"/>
          </w:tcPr>
          <w:p w14:paraId="32BD7A30" w14:textId="77777777" w:rsidR="00945A0C" w:rsidRPr="006153DC" w:rsidRDefault="0054098D" w:rsidP="00945A0C">
            <w:pPr>
              <w:widowControl w:val="0"/>
              <w:autoSpaceDE w:val="0"/>
              <w:autoSpaceDN w:val="0"/>
              <w:adjustRightInd w:val="0"/>
            </w:pPr>
            <w:r w:rsidRPr="006153DC">
              <w:rPr>
                <w:lang w:val="kk" w:bidi="ru-RU"/>
              </w:rPr>
              <w:t>17 (1,5%) *</w:t>
            </w:r>
          </w:p>
        </w:tc>
        <w:tc>
          <w:tcPr>
            <w:tcW w:w="1129" w:type="pct"/>
            <w:shd w:val="clear" w:color="auto" w:fill="auto"/>
          </w:tcPr>
          <w:p w14:paraId="32BD7A31" w14:textId="77777777" w:rsidR="00945A0C" w:rsidRPr="006153DC" w:rsidRDefault="0054098D" w:rsidP="00945A0C">
            <w:pPr>
              <w:widowControl w:val="0"/>
              <w:autoSpaceDE w:val="0"/>
              <w:autoSpaceDN w:val="0"/>
              <w:adjustRightInd w:val="0"/>
            </w:pPr>
            <w:r w:rsidRPr="006153DC">
              <w:rPr>
                <w:lang w:val="kk" w:bidi="ru-RU"/>
              </w:rPr>
              <w:t>13 (1,2%)**</w:t>
            </w:r>
          </w:p>
        </w:tc>
        <w:tc>
          <w:tcPr>
            <w:tcW w:w="1171" w:type="pct"/>
            <w:shd w:val="clear" w:color="auto" w:fill="auto"/>
          </w:tcPr>
          <w:p w14:paraId="32BD7A32" w14:textId="77777777" w:rsidR="00945A0C" w:rsidRPr="006153DC" w:rsidRDefault="0054098D" w:rsidP="00945A0C">
            <w:pPr>
              <w:widowControl w:val="0"/>
              <w:autoSpaceDE w:val="0"/>
              <w:autoSpaceDN w:val="0"/>
              <w:adjustRightInd w:val="0"/>
            </w:pPr>
            <w:r w:rsidRPr="006153DC">
              <w:rPr>
                <w:lang w:val="kk" w:bidi="ru-RU"/>
              </w:rPr>
              <w:t>50 (4,4%)</w:t>
            </w:r>
          </w:p>
        </w:tc>
      </w:tr>
      <w:tr w:rsidR="00234FE7" w14:paraId="32BD7A38" w14:textId="77777777" w:rsidTr="00945A0C">
        <w:tc>
          <w:tcPr>
            <w:tcW w:w="1508" w:type="pct"/>
            <w:shd w:val="clear" w:color="auto" w:fill="auto"/>
          </w:tcPr>
          <w:p w14:paraId="32BD7A34" w14:textId="77777777" w:rsidR="00945A0C" w:rsidRPr="006153DC" w:rsidRDefault="0054098D" w:rsidP="00945A0C">
            <w:pPr>
              <w:widowControl w:val="0"/>
              <w:autoSpaceDE w:val="0"/>
              <w:autoSpaceDN w:val="0"/>
              <w:adjustRightInd w:val="0"/>
            </w:pPr>
            <w:r w:rsidRPr="006153DC">
              <w:rPr>
                <w:lang w:val="kk" w:bidi="ru-RU"/>
              </w:rPr>
              <w:t>Симптомдық қайталанатын ӨАТЭ</w:t>
            </w:r>
          </w:p>
        </w:tc>
        <w:tc>
          <w:tcPr>
            <w:tcW w:w="1192" w:type="pct"/>
            <w:shd w:val="clear" w:color="auto" w:fill="auto"/>
          </w:tcPr>
          <w:p w14:paraId="32BD7A35" w14:textId="77777777" w:rsidR="00945A0C" w:rsidRPr="006153DC" w:rsidRDefault="0054098D" w:rsidP="00945A0C">
            <w:pPr>
              <w:widowControl w:val="0"/>
              <w:autoSpaceDE w:val="0"/>
              <w:autoSpaceDN w:val="0"/>
              <w:adjustRightInd w:val="0"/>
            </w:pPr>
            <w:r w:rsidRPr="006153DC">
              <w:rPr>
                <w:lang w:val="kk" w:bidi="ru-RU"/>
              </w:rPr>
              <w:t>6 (0,5%)</w:t>
            </w:r>
          </w:p>
        </w:tc>
        <w:tc>
          <w:tcPr>
            <w:tcW w:w="1129" w:type="pct"/>
            <w:shd w:val="clear" w:color="auto" w:fill="auto"/>
          </w:tcPr>
          <w:p w14:paraId="32BD7A36" w14:textId="77777777" w:rsidR="00945A0C" w:rsidRPr="006153DC" w:rsidRDefault="0054098D" w:rsidP="00945A0C">
            <w:pPr>
              <w:widowControl w:val="0"/>
              <w:autoSpaceDE w:val="0"/>
              <w:autoSpaceDN w:val="0"/>
              <w:adjustRightInd w:val="0"/>
            </w:pPr>
            <w:r w:rsidRPr="006153DC">
              <w:rPr>
                <w:lang w:val="kk" w:bidi="ru-RU"/>
              </w:rPr>
              <w:t>6 (0,5%)</w:t>
            </w:r>
          </w:p>
        </w:tc>
        <w:tc>
          <w:tcPr>
            <w:tcW w:w="1171" w:type="pct"/>
            <w:shd w:val="clear" w:color="auto" w:fill="auto"/>
          </w:tcPr>
          <w:p w14:paraId="32BD7A37" w14:textId="77777777" w:rsidR="00945A0C" w:rsidRPr="006153DC" w:rsidRDefault="0054098D" w:rsidP="00945A0C">
            <w:pPr>
              <w:widowControl w:val="0"/>
              <w:autoSpaceDE w:val="0"/>
              <w:autoSpaceDN w:val="0"/>
              <w:adjustRightInd w:val="0"/>
            </w:pPr>
            <w:r w:rsidRPr="006153DC">
              <w:rPr>
                <w:lang w:val="kk" w:bidi="ru-RU"/>
              </w:rPr>
              <w:t>19 (1,7%)</w:t>
            </w:r>
          </w:p>
        </w:tc>
      </w:tr>
      <w:tr w:rsidR="00234FE7" w14:paraId="32BD7A3D" w14:textId="77777777" w:rsidTr="00945A0C">
        <w:tc>
          <w:tcPr>
            <w:tcW w:w="1508" w:type="pct"/>
            <w:shd w:val="clear" w:color="auto" w:fill="auto"/>
          </w:tcPr>
          <w:p w14:paraId="32BD7A39" w14:textId="77777777" w:rsidR="00945A0C" w:rsidRPr="006153DC" w:rsidRDefault="0054098D" w:rsidP="00945A0C">
            <w:pPr>
              <w:widowControl w:val="0"/>
              <w:autoSpaceDE w:val="0"/>
              <w:autoSpaceDN w:val="0"/>
              <w:adjustRightInd w:val="0"/>
            </w:pPr>
            <w:r w:rsidRPr="006153DC">
              <w:rPr>
                <w:lang w:val="kk" w:bidi="ru-RU"/>
              </w:rPr>
              <w:t>Симптомдық қайталанатын ТВТ</w:t>
            </w:r>
          </w:p>
        </w:tc>
        <w:tc>
          <w:tcPr>
            <w:tcW w:w="1192" w:type="pct"/>
            <w:shd w:val="clear" w:color="auto" w:fill="auto"/>
          </w:tcPr>
          <w:p w14:paraId="32BD7A3A" w14:textId="77777777" w:rsidR="00945A0C" w:rsidRPr="006153DC" w:rsidRDefault="0054098D" w:rsidP="00945A0C">
            <w:pPr>
              <w:widowControl w:val="0"/>
              <w:autoSpaceDE w:val="0"/>
              <w:autoSpaceDN w:val="0"/>
              <w:adjustRightInd w:val="0"/>
            </w:pPr>
            <w:r w:rsidRPr="006153DC">
              <w:rPr>
                <w:lang w:val="kk" w:bidi="ru-RU"/>
              </w:rPr>
              <w:t>9 (0,8%)</w:t>
            </w:r>
          </w:p>
        </w:tc>
        <w:tc>
          <w:tcPr>
            <w:tcW w:w="1129" w:type="pct"/>
            <w:shd w:val="clear" w:color="auto" w:fill="auto"/>
          </w:tcPr>
          <w:p w14:paraId="32BD7A3B" w14:textId="77777777" w:rsidR="00945A0C" w:rsidRPr="006153DC" w:rsidRDefault="0054098D" w:rsidP="00945A0C">
            <w:pPr>
              <w:widowControl w:val="0"/>
              <w:autoSpaceDE w:val="0"/>
              <w:autoSpaceDN w:val="0"/>
              <w:adjustRightInd w:val="0"/>
            </w:pPr>
            <w:r w:rsidRPr="006153DC">
              <w:rPr>
                <w:lang w:val="kk" w:bidi="ru-RU"/>
              </w:rPr>
              <w:t>8 (0,7%)</w:t>
            </w:r>
          </w:p>
        </w:tc>
        <w:tc>
          <w:tcPr>
            <w:tcW w:w="1171" w:type="pct"/>
            <w:shd w:val="clear" w:color="auto" w:fill="auto"/>
          </w:tcPr>
          <w:p w14:paraId="32BD7A3C" w14:textId="77777777" w:rsidR="00945A0C" w:rsidRPr="006153DC" w:rsidRDefault="0054098D" w:rsidP="00945A0C">
            <w:pPr>
              <w:widowControl w:val="0"/>
              <w:autoSpaceDE w:val="0"/>
              <w:autoSpaceDN w:val="0"/>
              <w:adjustRightInd w:val="0"/>
            </w:pPr>
            <w:r w:rsidRPr="006153DC">
              <w:rPr>
                <w:lang w:val="kk" w:bidi="ru-RU"/>
              </w:rPr>
              <w:t>30 (2,7%)</w:t>
            </w:r>
          </w:p>
        </w:tc>
      </w:tr>
      <w:tr w:rsidR="00234FE7" w14:paraId="32BD7A42" w14:textId="77777777" w:rsidTr="00945A0C">
        <w:tc>
          <w:tcPr>
            <w:tcW w:w="1508" w:type="pct"/>
            <w:shd w:val="clear" w:color="auto" w:fill="auto"/>
          </w:tcPr>
          <w:p w14:paraId="32BD7A3E" w14:textId="77777777" w:rsidR="00945A0C" w:rsidRPr="006153DC" w:rsidRDefault="0054098D" w:rsidP="00945A0C">
            <w:pPr>
              <w:widowControl w:val="0"/>
              <w:autoSpaceDE w:val="0"/>
              <w:autoSpaceDN w:val="0"/>
              <w:adjustRightInd w:val="0"/>
            </w:pPr>
            <w:r w:rsidRPr="006153DC">
              <w:rPr>
                <w:lang w:val="kk" w:bidi="ru-RU"/>
              </w:rPr>
              <w:t>Өлімге әкелетін ӨАТЭ/өлім, оның себебі ӨАТЭ болып табылады</w:t>
            </w:r>
          </w:p>
        </w:tc>
        <w:tc>
          <w:tcPr>
            <w:tcW w:w="1192" w:type="pct"/>
            <w:shd w:val="clear" w:color="auto" w:fill="auto"/>
          </w:tcPr>
          <w:p w14:paraId="32BD7A3F" w14:textId="77777777" w:rsidR="00945A0C" w:rsidRPr="006153DC" w:rsidRDefault="0054098D" w:rsidP="00945A0C">
            <w:pPr>
              <w:widowControl w:val="0"/>
              <w:autoSpaceDE w:val="0"/>
              <w:autoSpaceDN w:val="0"/>
              <w:adjustRightInd w:val="0"/>
            </w:pPr>
            <w:r w:rsidRPr="006153DC">
              <w:rPr>
                <w:lang w:val="kk" w:bidi="ru-RU"/>
              </w:rPr>
              <w:t>2 (0,2%)</w:t>
            </w:r>
          </w:p>
        </w:tc>
        <w:tc>
          <w:tcPr>
            <w:tcW w:w="1129" w:type="pct"/>
            <w:shd w:val="clear" w:color="auto" w:fill="auto"/>
          </w:tcPr>
          <w:p w14:paraId="32BD7A40" w14:textId="77777777" w:rsidR="00945A0C" w:rsidRPr="006153DC" w:rsidRDefault="0054098D" w:rsidP="00945A0C">
            <w:pPr>
              <w:widowControl w:val="0"/>
              <w:autoSpaceDE w:val="0"/>
              <w:autoSpaceDN w:val="0"/>
              <w:adjustRightInd w:val="0"/>
            </w:pPr>
            <w:r w:rsidRPr="006153DC">
              <w:rPr>
                <w:lang w:val="kk" w:bidi="ru-RU"/>
              </w:rPr>
              <w:t>0</w:t>
            </w:r>
          </w:p>
        </w:tc>
        <w:tc>
          <w:tcPr>
            <w:tcW w:w="1171" w:type="pct"/>
            <w:shd w:val="clear" w:color="auto" w:fill="auto"/>
          </w:tcPr>
          <w:p w14:paraId="32BD7A41" w14:textId="77777777" w:rsidR="00945A0C" w:rsidRPr="006153DC" w:rsidRDefault="0054098D" w:rsidP="00945A0C">
            <w:pPr>
              <w:widowControl w:val="0"/>
              <w:autoSpaceDE w:val="0"/>
              <w:autoSpaceDN w:val="0"/>
              <w:adjustRightInd w:val="0"/>
            </w:pPr>
            <w:r w:rsidRPr="006153DC">
              <w:rPr>
                <w:lang w:val="kk" w:bidi="ru-RU"/>
              </w:rPr>
              <w:t>2 (0,2%)</w:t>
            </w:r>
          </w:p>
        </w:tc>
      </w:tr>
      <w:tr w:rsidR="00234FE7" w14:paraId="32BD7A47" w14:textId="77777777" w:rsidTr="00945A0C">
        <w:tc>
          <w:tcPr>
            <w:tcW w:w="1508" w:type="pct"/>
            <w:shd w:val="clear" w:color="auto" w:fill="auto"/>
          </w:tcPr>
          <w:p w14:paraId="32BD7A43" w14:textId="77777777" w:rsidR="00945A0C" w:rsidRPr="006153DC" w:rsidRDefault="0054098D" w:rsidP="00945A0C">
            <w:pPr>
              <w:widowControl w:val="0"/>
              <w:autoSpaceDE w:val="0"/>
              <w:autoSpaceDN w:val="0"/>
              <w:adjustRightInd w:val="0"/>
            </w:pPr>
            <w:r w:rsidRPr="006153DC">
              <w:rPr>
                <w:lang w:val="kk" w:bidi="ru-RU"/>
              </w:rPr>
              <w:t>Симптомдық қайталанатын ВТЭ, миокард инфарктісі, инсульт, ОЖЖ тыс жүйелік эмболия</w:t>
            </w:r>
          </w:p>
        </w:tc>
        <w:tc>
          <w:tcPr>
            <w:tcW w:w="1192" w:type="pct"/>
            <w:shd w:val="clear" w:color="auto" w:fill="auto"/>
          </w:tcPr>
          <w:p w14:paraId="32BD7A44" w14:textId="77777777" w:rsidR="00945A0C" w:rsidRPr="006153DC" w:rsidRDefault="0054098D" w:rsidP="00945A0C">
            <w:pPr>
              <w:widowControl w:val="0"/>
              <w:autoSpaceDE w:val="0"/>
              <w:autoSpaceDN w:val="0"/>
              <w:adjustRightInd w:val="0"/>
            </w:pPr>
            <w:r w:rsidRPr="006153DC">
              <w:rPr>
                <w:lang w:val="kk" w:bidi="ru-RU"/>
              </w:rPr>
              <w:t>19 (1,7%)</w:t>
            </w:r>
          </w:p>
        </w:tc>
        <w:tc>
          <w:tcPr>
            <w:tcW w:w="1129" w:type="pct"/>
            <w:shd w:val="clear" w:color="auto" w:fill="auto"/>
          </w:tcPr>
          <w:p w14:paraId="32BD7A45" w14:textId="77777777" w:rsidR="00945A0C" w:rsidRPr="006153DC" w:rsidRDefault="0054098D" w:rsidP="00945A0C">
            <w:pPr>
              <w:widowControl w:val="0"/>
              <w:autoSpaceDE w:val="0"/>
              <w:autoSpaceDN w:val="0"/>
              <w:adjustRightInd w:val="0"/>
            </w:pPr>
            <w:r w:rsidRPr="006153DC">
              <w:rPr>
                <w:lang w:val="kk" w:bidi="ru-RU"/>
              </w:rPr>
              <w:t>18 (1,6%)</w:t>
            </w:r>
          </w:p>
        </w:tc>
        <w:tc>
          <w:tcPr>
            <w:tcW w:w="1171" w:type="pct"/>
            <w:shd w:val="clear" w:color="auto" w:fill="auto"/>
          </w:tcPr>
          <w:p w14:paraId="32BD7A46" w14:textId="77777777" w:rsidR="00945A0C" w:rsidRPr="006153DC" w:rsidRDefault="0054098D" w:rsidP="00945A0C">
            <w:pPr>
              <w:widowControl w:val="0"/>
              <w:autoSpaceDE w:val="0"/>
              <w:autoSpaceDN w:val="0"/>
              <w:adjustRightInd w:val="0"/>
            </w:pPr>
            <w:r w:rsidRPr="006153DC">
              <w:rPr>
                <w:lang w:val="kk" w:bidi="ru-RU"/>
              </w:rPr>
              <w:t>56 (5,0%)</w:t>
            </w:r>
          </w:p>
        </w:tc>
      </w:tr>
      <w:tr w:rsidR="00234FE7" w14:paraId="32BD7A4C" w14:textId="77777777" w:rsidTr="00945A0C">
        <w:tc>
          <w:tcPr>
            <w:tcW w:w="1508" w:type="pct"/>
            <w:shd w:val="clear" w:color="auto" w:fill="auto"/>
          </w:tcPr>
          <w:p w14:paraId="32BD7A48" w14:textId="77777777" w:rsidR="00945A0C" w:rsidRPr="006153DC" w:rsidRDefault="0054098D" w:rsidP="00945A0C">
            <w:pPr>
              <w:widowControl w:val="0"/>
              <w:autoSpaceDE w:val="0"/>
              <w:autoSpaceDN w:val="0"/>
              <w:adjustRightInd w:val="0"/>
            </w:pPr>
            <w:r w:rsidRPr="006153DC">
              <w:rPr>
                <w:lang w:val="kk" w:bidi="ru-RU"/>
              </w:rPr>
              <w:t>Үлкен қан кету жағдайлары</w:t>
            </w:r>
          </w:p>
        </w:tc>
        <w:tc>
          <w:tcPr>
            <w:tcW w:w="1192" w:type="pct"/>
            <w:shd w:val="clear" w:color="auto" w:fill="auto"/>
          </w:tcPr>
          <w:p w14:paraId="32BD7A49" w14:textId="77777777" w:rsidR="00945A0C" w:rsidRPr="006153DC" w:rsidRDefault="0054098D" w:rsidP="00945A0C">
            <w:pPr>
              <w:widowControl w:val="0"/>
              <w:autoSpaceDE w:val="0"/>
              <w:autoSpaceDN w:val="0"/>
              <w:adjustRightInd w:val="0"/>
            </w:pPr>
            <w:r w:rsidRPr="006153DC">
              <w:rPr>
                <w:lang w:val="kk" w:bidi="ru-RU"/>
              </w:rPr>
              <w:t>6 (0,5%)</w:t>
            </w:r>
          </w:p>
        </w:tc>
        <w:tc>
          <w:tcPr>
            <w:tcW w:w="1129" w:type="pct"/>
            <w:shd w:val="clear" w:color="auto" w:fill="auto"/>
          </w:tcPr>
          <w:p w14:paraId="32BD7A4A" w14:textId="77777777" w:rsidR="00945A0C" w:rsidRPr="006153DC" w:rsidRDefault="0054098D" w:rsidP="00945A0C">
            <w:pPr>
              <w:widowControl w:val="0"/>
              <w:autoSpaceDE w:val="0"/>
              <w:autoSpaceDN w:val="0"/>
              <w:adjustRightInd w:val="0"/>
            </w:pPr>
            <w:r w:rsidRPr="006153DC">
              <w:rPr>
                <w:lang w:val="kk" w:bidi="ru-RU"/>
              </w:rPr>
              <w:t>5 (0,4%)</w:t>
            </w:r>
          </w:p>
        </w:tc>
        <w:tc>
          <w:tcPr>
            <w:tcW w:w="1171" w:type="pct"/>
            <w:shd w:val="clear" w:color="auto" w:fill="auto"/>
          </w:tcPr>
          <w:p w14:paraId="32BD7A4B" w14:textId="77777777" w:rsidR="00945A0C" w:rsidRPr="006153DC" w:rsidRDefault="0054098D" w:rsidP="00945A0C">
            <w:pPr>
              <w:widowControl w:val="0"/>
              <w:autoSpaceDE w:val="0"/>
              <w:autoSpaceDN w:val="0"/>
              <w:adjustRightInd w:val="0"/>
            </w:pPr>
            <w:r w:rsidRPr="006153DC">
              <w:rPr>
                <w:lang w:val="kk" w:bidi="ru-RU"/>
              </w:rPr>
              <w:t>3 (0,3%)</w:t>
            </w:r>
          </w:p>
        </w:tc>
      </w:tr>
      <w:tr w:rsidR="00234FE7" w14:paraId="32BD7A51" w14:textId="77777777" w:rsidTr="00945A0C">
        <w:tc>
          <w:tcPr>
            <w:tcW w:w="1508" w:type="pct"/>
            <w:shd w:val="clear" w:color="auto" w:fill="auto"/>
          </w:tcPr>
          <w:p w14:paraId="32BD7A4D" w14:textId="77777777" w:rsidR="00945A0C" w:rsidRPr="006153DC" w:rsidRDefault="0054098D" w:rsidP="00945A0C">
            <w:pPr>
              <w:widowControl w:val="0"/>
              <w:autoSpaceDE w:val="0"/>
              <w:autoSpaceDN w:val="0"/>
              <w:adjustRightInd w:val="0"/>
            </w:pPr>
            <w:r w:rsidRPr="006153DC">
              <w:rPr>
                <w:lang w:val="kk" w:bidi="ru-RU"/>
              </w:rPr>
              <w:t>Кіші клиникалық маңызды қан кету</w:t>
            </w:r>
          </w:p>
        </w:tc>
        <w:tc>
          <w:tcPr>
            <w:tcW w:w="1192" w:type="pct"/>
            <w:shd w:val="clear" w:color="auto" w:fill="auto"/>
          </w:tcPr>
          <w:p w14:paraId="32BD7A4E" w14:textId="77777777" w:rsidR="00945A0C" w:rsidRPr="006153DC" w:rsidRDefault="0054098D" w:rsidP="00945A0C">
            <w:pPr>
              <w:widowControl w:val="0"/>
              <w:autoSpaceDE w:val="0"/>
              <w:autoSpaceDN w:val="0"/>
              <w:adjustRightInd w:val="0"/>
            </w:pPr>
            <w:r w:rsidRPr="006153DC">
              <w:rPr>
                <w:lang w:val="kk" w:bidi="ru-RU"/>
              </w:rPr>
              <w:t>30 (2,7)</w:t>
            </w:r>
          </w:p>
        </w:tc>
        <w:tc>
          <w:tcPr>
            <w:tcW w:w="1129" w:type="pct"/>
            <w:shd w:val="clear" w:color="auto" w:fill="auto"/>
          </w:tcPr>
          <w:p w14:paraId="32BD7A4F" w14:textId="77777777" w:rsidR="00945A0C" w:rsidRPr="006153DC" w:rsidRDefault="0054098D" w:rsidP="00945A0C">
            <w:pPr>
              <w:widowControl w:val="0"/>
              <w:autoSpaceDE w:val="0"/>
              <w:autoSpaceDN w:val="0"/>
              <w:adjustRightInd w:val="0"/>
            </w:pPr>
            <w:r w:rsidRPr="006153DC">
              <w:rPr>
                <w:lang w:val="kk" w:bidi="ru-RU"/>
              </w:rPr>
              <w:t>22 (2,0)</w:t>
            </w:r>
          </w:p>
        </w:tc>
        <w:tc>
          <w:tcPr>
            <w:tcW w:w="1171" w:type="pct"/>
            <w:shd w:val="clear" w:color="auto" w:fill="auto"/>
          </w:tcPr>
          <w:p w14:paraId="32BD7A50" w14:textId="77777777" w:rsidR="00945A0C" w:rsidRPr="006153DC" w:rsidRDefault="0054098D" w:rsidP="00945A0C">
            <w:pPr>
              <w:widowControl w:val="0"/>
              <w:autoSpaceDE w:val="0"/>
              <w:autoSpaceDN w:val="0"/>
              <w:adjustRightInd w:val="0"/>
            </w:pPr>
            <w:r w:rsidRPr="006153DC">
              <w:rPr>
                <w:lang w:val="kk" w:bidi="ru-RU"/>
              </w:rPr>
              <w:t>20 (1,8)</w:t>
            </w:r>
          </w:p>
        </w:tc>
      </w:tr>
      <w:tr w:rsidR="00234FE7" w14:paraId="32BD7A56" w14:textId="77777777" w:rsidTr="00945A0C">
        <w:tc>
          <w:tcPr>
            <w:tcW w:w="1508" w:type="pct"/>
            <w:shd w:val="clear" w:color="auto" w:fill="auto"/>
          </w:tcPr>
          <w:p w14:paraId="32BD7A52" w14:textId="77777777" w:rsidR="00945A0C" w:rsidRPr="006153DC" w:rsidRDefault="0054098D" w:rsidP="00945A0C">
            <w:pPr>
              <w:widowControl w:val="0"/>
              <w:autoSpaceDE w:val="0"/>
              <w:autoSpaceDN w:val="0"/>
              <w:adjustRightInd w:val="0"/>
            </w:pPr>
            <w:r w:rsidRPr="006153DC">
              <w:rPr>
                <w:lang w:val="kk" w:bidi="ru-RU"/>
              </w:rPr>
              <w:t>Симптомдық қайталанатын ВТЭ немесе үлкен қан кету (таза клиникалық пайда)</w:t>
            </w:r>
          </w:p>
        </w:tc>
        <w:tc>
          <w:tcPr>
            <w:tcW w:w="1192" w:type="pct"/>
            <w:shd w:val="clear" w:color="auto" w:fill="auto"/>
          </w:tcPr>
          <w:p w14:paraId="32BD7A53" w14:textId="77777777" w:rsidR="00945A0C" w:rsidRPr="006153DC" w:rsidRDefault="0054098D" w:rsidP="00945A0C">
            <w:pPr>
              <w:widowControl w:val="0"/>
              <w:autoSpaceDE w:val="0"/>
              <w:autoSpaceDN w:val="0"/>
              <w:adjustRightInd w:val="0"/>
            </w:pPr>
            <w:r w:rsidRPr="006153DC">
              <w:rPr>
                <w:lang w:val="kk" w:bidi="ru-RU"/>
              </w:rPr>
              <w:t>23 (2,1%)</w:t>
            </w:r>
            <w:r w:rsidRPr="006153DC">
              <w:rPr>
                <w:vertAlign w:val="superscript"/>
                <w:lang w:val="kk" w:bidi="ru-RU"/>
              </w:rPr>
              <w:t xml:space="preserve"> +</w:t>
            </w:r>
          </w:p>
        </w:tc>
        <w:tc>
          <w:tcPr>
            <w:tcW w:w="1129" w:type="pct"/>
            <w:shd w:val="clear" w:color="auto" w:fill="auto"/>
          </w:tcPr>
          <w:p w14:paraId="32BD7A54" w14:textId="77777777" w:rsidR="00945A0C" w:rsidRPr="006153DC" w:rsidRDefault="0054098D" w:rsidP="00945A0C">
            <w:pPr>
              <w:widowControl w:val="0"/>
              <w:autoSpaceDE w:val="0"/>
              <w:autoSpaceDN w:val="0"/>
              <w:adjustRightInd w:val="0"/>
            </w:pPr>
            <w:r w:rsidRPr="006153DC">
              <w:rPr>
                <w:lang w:val="kk" w:bidi="ru-RU"/>
              </w:rPr>
              <w:t>17 (1,5%)</w:t>
            </w:r>
            <w:r w:rsidRPr="006153DC">
              <w:rPr>
                <w:vertAlign w:val="superscript"/>
                <w:lang w:val="kk" w:bidi="ru-RU"/>
              </w:rPr>
              <w:t xml:space="preserve"> ++</w:t>
            </w:r>
          </w:p>
        </w:tc>
        <w:tc>
          <w:tcPr>
            <w:tcW w:w="1171" w:type="pct"/>
            <w:shd w:val="clear" w:color="auto" w:fill="auto"/>
          </w:tcPr>
          <w:p w14:paraId="32BD7A55" w14:textId="77777777" w:rsidR="00945A0C" w:rsidRPr="006153DC" w:rsidRDefault="0054098D" w:rsidP="00945A0C">
            <w:pPr>
              <w:widowControl w:val="0"/>
              <w:autoSpaceDE w:val="0"/>
              <w:autoSpaceDN w:val="0"/>
              <w:adjustRightInd w:val="0"/>
            </w:pPr>
            <w:r w:rsidRPr="006153DC">
              <w:rPr>
                <w:lang w:val="kk" w:bidi="ru-RU"/>
              </w:rPr>
              <w:t>53 (4,7%)</w:t>
            </w:r>
          </w:p>
        </w:tc>
      </w:tr>
    </w:tbl>
    <w:p w14:paraId="32BD7A57" w14:textId="3D1C8C7E" w:rsidR="00945A0C" w:rsidRPr="006153DC" w:rsidRDefault="0054098D" w:rsidP="00945A0C">
      <w:pPr>
        <w:autoSpaceDE w:val="0"/>
        <w:autoSpaceDN w:val="0"/>
        <w:adjustRightInd w:val="0"/>
        <w:spacing w:line="280" w:lineRule="atLeast"/>
        <w:jc w:val="both"/>
        <w:rPr>
          <w:color w:val="000000"/>
        </w:rPr>
      </w:pPr>
      <w:r w:rsidRPr="006153DC">
        <w:rPr>
          <w:color w:val="000000"/>
          <w:lang w:val="kk" w:bidi="ru-RU"/>
        </w:rPr>
        <w:t>* p&lt;0,001 (артықшылық) тәулігіне бір рет 20 мг ривароксабан тәулігіне бір рет 100 мг АСҚ-мен салыстырғанда ; ҚҚ=0,34 (0,20–0,59)</w:t>
      </w:r>
    </w:p>
    <w:p w14:paraId="32BD7A58" w14:textId="33D20E26" w:rsidR="00945A0C" w:rsidRPr="006153DC" w:rsidRDefault="0054098D" w:rsidP="00945A0C">
      <w:pPr>
        <w:autoSpaceDE w:val="0"/>
        <w:autoSpaceDN w:val="0"/>
        <w:adjustRightInd w:val="0"/>
        <w:spacing w:line="280" w:lineRule="atLeast"/>
        <w:jc w:val="both"/>
        <w:rPr>
          <w:color w:val="000000"/>
        </w:rPr>
      </w:pPr>
      <w:r w:rsidRPr="006153DC">
        <w:rPr>
          <w:color w:val="000000"/>
          <w:lang w:val="kk" w:bidi="ru-RU"/>
        </w:rPr>
        <w:t>** p&lt;0,001 (артықшылық) тәулігіне бір рет 10 мг ривароксабан тәулігіне бір рет 100 мг АСҚ-мен салыстырғанда ; ҚҚ=0,26 (0,14–0,47)</w:t>
      </w:r>
    </w:p>
    <w:p w14:paraId="32BD7A59" w14:textId="2D259D94" w:rsidR="00945A0C" w:rsidRPr="006153DC" w:rsidRDefault="0054098D" w:rsidP="00945A0C">
      <w:pPr>
        <w:autoSpaceDE w:val="0"/>
        <w:autoSpaceDN w:val="0"/>
        <w:adjustRightInd w:val="0"/>
        <w:spacing w:line="280" w:lineRule="atLeast"/>
        <w:jc w:val="both"/>
        <w:rPr>
          <w:color w:val="000000"/>
        </w:rPr>
      </w:pPr>
      <w:r w:rsidRPr="006153DC">
        <w:rPr>
          <w:color w:val="000000"/>
          <w:lang w:val="kk" w:bidi="ru-RU"/>
        </w:rPr>
        <w:t>+тәулігіне 1 р 20 мг ривароксабан тәулігіне бір рет 100 мг АСҚ-мен салыстырғанда; ҚҚ=0,44 (0,27–0,71), p=0,0009 (номиналды)</w:t>
      </w:r>
    </w:p>
    <w:p w14:paraId="32BD7A5B" w14:textId="58832CE8" w:rsidR="00945A0C" w:rsidRPr="006153DC" w:rsidRDefault="0054098D" w:rsidP="00945A0C">
      <w:pPr>
        <w:autoSpaceDE w:val="0"/>
        <w:autoSpaceDN w:val="0"/>
        <w:adjustRightInd w:val="0"/>
        <w:spacing w:line="280" w:lineRule="atLeast"/>
        <w:jc w:val="both"/>
        <w:rPr>
          <w:color w:val="000000"/>
        </w:rPr>
      </w:pPr>
      <w:r w:rsidRPr="006153DC">
        <w:rPr>
          <w:color w:val="000000"/>
          <w:lang w:val="kk" w:bidi="ru-RU"/>
        </w:rPr>
        <w:t>++тәулігіне 1 р 10 мг ривароксабан тәулігіне бір рет 100 мг АСҚ-мен салыстырғанда; ҚҚ=32 (0,18–0,55), p=0,0001 (номиналды)</w:t>
      </w:r>
    </w:p>
    <w:p w14:paraId="32BD7A5C" w14:textId="57056CCA" w:rsidR="00945A0C" w:rsidRPr="006153DC" w:rsidRDefault="0054098D" w:rsidP="00945A0C">
      <w:pPr>
        <w:autoSpaceDE w:val="0"/>
        <w:autoSpaceDN w:val="0"/>
        <w:adjustRightInd w:val="0"/>
        <w:spacing w:line="280" w:lineRule="atLeast"/>
        <w:jc w:val="both"/>
        <w:rPr>
          <w:color w:val="000000"/>
          <w:lang w:bidi="ru-RU"/>
        </w:rPr>
      </w:pPr>
      <w:r w:rsidRPr="006153DC">
        <w:rPr>
          <w:color w:val="000000"/>
          <w:lang w:val="kk" w:bidi="ru-RU"/>
        </w:rPr>
        <w:t xml:space="preserve">EINSTEIN бағдарламасының III фазадағы клиникалық зерттеуге қосымша, ВТЭ қайталануларын, үлкен қан кетулерді және өлімді қоса, негізгі ақырғы нүктелерін бағалай отырып, проспективалы интервенциялық емес ашық когорталық зерттеу (XALIA) жүргізілді. </w:t>
      </w:r>
    </w:p>
    <w:p w14:paraId="32BD7A5D" w14:textId="77777777" w:rsidR="00945A0C" w:rsidRPr="0054098D" w:rsidRDefault="0054098D" w:rsidP="00945A0C">
      <w:pPr>
        <w:autoSpaceDE w:val="0"/>
        <w:autoSpaceDN w:val="0"/>
        <w:adjustRightInd w:val="0"/>
        <w:spacing w:line="280" w:lineRule="atLeast"/>
        <w:jc w:val="both"/>
        <w:rPr>
          <w:color w:val="000000"/>
          <w:lang w:val="kk"/>
        </w:rPr>
      </w:pPr>
      <w:r w:rsidRPr="006153DC">
        <w:rPr>
          <w:color w:val="000000"/>
          <w:lang w:val="kk" w:bidi="ru-RU"/>
        </w:rPr>
        <w:t>Нақты клиникалық практика жағдайында стандартты антикоагуляциялық еммен салыстырғанда ривароксабанның ұзақ мерзімді қауіпсіздігін зерттеу үшін зерттеуге жедел ТВТ бар 5 142 пациент қатысты. Ривароксабанды қабылдау тобында үлкен қан кетулердің, ВТЭ қайталануларының және барлық себептерден болған өлімнің жиілігі тиісінше 0,7 %, 1,4% және 0,5% құрады. Жас айырмасын, онкологиялық аурулардың барын/жоғын және бүйрек функциясының бұзылуын қоса алғанда, пациенттердің бастапқы сипаттамаларында елеулі айырмашылықтар болды. Салыстырылатын топтар арасындағы жүйелі айырмашылықтарды жою үшін жалғанрандомизация әдісі қолданылды (propensity score matching), бірақ соған қарамастан аралас айнымалылардың (конфаундерлердің) қалдық әсері нәтижелерге әсер етуі мүмкін. Үлкен қан кетулер, ВТЭ қайталануы және барлық себептерден болатын өлім бойынша стандартты еммен салыстырғанда ривароксабанмен емдеу қауіптердің түзетілген қатынасы тиісінше 0,77 (95% сенімділік аралығы 0,40–1,50), 0,91 (95% сенімділік аралығы 0,54–1,54) және 0,51 (95% сенімділік аралығы 0,24–1,07) құрады.</w:t>
      </w:r>
    </w:p>
    <w:p w14:paraId="32BD7A5E" w14:textId="77777777" w:rsidR="00945A0C" w:rsidRPr="0054098D" w:rsidRDefault="0054098D" w:rsidP="00945A0C">
      <w:pPr>
        <w:autoSpaceDE w:val="0"/>
        <w:autoSpaceDN w:val="0"/>
        <w:adjustRightInd w:val="0"/>
        <w:spacing w:line="280" w:lineRule="atLeast"/>
        <w:jc w:val="both"/>
        <w:rPr>
          <w:color w:val="000000"/>
          <w:lang w:val="kk"/>
        </w:rPr>
      </w:pPr>
      <w:r w:rsidRPr="006153DC">
        <w:rPr>
          <w:color w:val="000000"/>
          <w:lang w:val="kk" w:bidi="ru-RU"/>
        </w:rPr>
        <w:t>Нақты клиникалық практикада алынған нәтижелер осы көрсетілімдер кезінде белгіленген қауіпсіздік бейініне сәйкес келеді.</w:t>
      </w:r>
    </w:p>
    <w:p w14:paraId="32BD7A5F" w14:textId="77777777" w:rsidR="00945A0C" w:rsidRPr="0054098D" w:rsidRDefault="0054098D" w:rsidP="00945A0C">
      <w:pPr>
        <w:jc w:val="both"/>
        <w:rPr>
          <w:i/>
          <w:lang w:val="kk"/>
        </w:rPr>
      </w:pPr>
      <w:r w:rsidRPr="006153DC">
        <w:rPr>
          <w:i/>
          <w:lang w:val="kk"/>
        </w:rPr>
        <w:lastRenderedPageBreak/>
        <w:t>Антифосфолипидтік синдром тестілерінің үш оң нәтижесінің болу қаупі жоғары пациенттер</w:t>
      </w:r>
    </w:p>
    <w:p w14:paraId="32BD7A61" w14:textId="7AB8FE3F" w:rsidR="00827AAF" w:rsidRPr="0054098D" w:rsidRDefault="0054098D" w:rsidP="00D46EF7">
      <w:pPr>
        <w:jc w:val="both"/>
        <w:rPr>
          <w:lang w:val="kk"/>
        </w:rPr>
      </w:pPr>
      <w:r w:rsidRPr="006153DC">
        <w:rPr>
          <w:lang w:val="kk"/>
        </w:rPr>
        <w:t xml:space="preserve">Рандомизацияланған, ашық, көпорталықты клиникалық жасырын зерттеуде анамнезінде тромбозы бар, антифосфолипид синдромы диагностикаланған  және тромбоэмболиялық асқынулардың жоғары қаупі бар пациенттерде (антифосфолипидтік синдром тестінің үш оң нәтижесі: жегілік антикоагулянт, кардиолипинге антиденелер және бета-2-гликопротеин-1 антиденелер) варфаринмен салыстырылып ривароксабанның ақырғы нүктелері бағаланды. Ривароксабан тобындағы 120 пациентте тромбоэмболиялық асқынулардың артуын тіркегеннен кейін зерттеу мерзімінен бұрын тоқтатылды. Бақылаудың орташа кезеңі 569 күнді құрады. 59 пациент 20 мг (креатинин клиренсі (CrCl) &lt;50 мл/мин құрайтын пациенттерде 15 мг) дозада ривароксабан қабылдайтын топқа рандомизацияланды, 61 пациент варфарин қабылдайтын топқа енгізілді (ХҚҚ 2,0-3,0). Тромбоэмболиялық асқынулар ривароксабан тобына рандомизацияланған пациенттердің 12% - ында (төрт ишемиялық инсульт және үш миокард инфарктісі) дамыды. Варфарин тобына рандомизацияланған пациенттерде ешқандай құбылыс тіркелген жоқ. Үлкен қан кету ривароксабан тобындағы төрт пациентте (7%) және варфарин тобындағы екі пациентте (3%) туындады. </w:t>
      </w:r>
    </w:p>
    <w:p w14:paraId="32BD7A62" w14:textId="77777777" w:rsidR="00D46EF7" w:rsidRPr="0054098D" w:rsidRDefault="0054098D" w:rsidP="00D46EF7">
      <w:pPr>
        <w:jc w:val="both"/>
        <w:rPr>
          <w:i/>
          <w:lang w:val="kk"/>
        </w:rPr>
      </w:pPr>
      <w:r w:rsidRPr="00D202E3">
        <w:rPr>
          <w:i/>
          <w:lang w:val="kk"/>
        </w:rPr>
        <w:t xml:space="preserve">Балалар жасы </w:t>
      </w:r>
    </w:p>
    <w:p w14:paraId="32BD7A66" w14:textId="0782128A" w:rsidR="008E3106" w:rsidRPr="0054098D" w:rsidRDefault="0054098D" w:rsidP="002C36DA">
      <w:pPr>
        <w:widowControl w:val="0"/>
        <w:tabs>
          <w:tab w:val="left" w:pos="4820"/>
        </w:tabs>
        <w:jc w:val="both"/>
        <w:rPr>
          <w:lang w:val="kk"/>
        </w:rPr>
      </w:pPr>
      <w:r w:rsidRPr="006153DC">
        <w:rPr>
          <w:lang w:val="kk"/>
        </w:rPr>
        <w:t>Дәрілік заттарды бақылау жөніндегі еуропалық агенттік балалардың барлық топтарында ривароксабанның тромбоэмболиялық оқиғаларының профилактикасын зерттеу нәтижелерін ұсыну міндеттемесін алып тастады</w:t>
      </w:r>
      <w:bookmarkStart w:id="17" w:name="_Hlk19711883"/>
      <w:r w:rsidRPr="006153DC">
        <w:rPr>
          <w:lang w:val="kk"/>
        </w:rPr>
        <w:t xml:space="preserve"> (балаларда қолдану жөніндегі ақпарат үшін 4.2 бөлімін қараңыз).</w:t>
      </w:r>
      <w:bookmarkEnd w:id="17"/>
    </w:p>
    <w:p w14:paraId="32BD7A67" w14:textId="77777777" w:rsidR="00B13C47" w:rsidRPr="0054098D" w:rsidRDefault="0054098D" w:rsidP="00B13C47">
      <w:pPr>
        <w:shd w:val="clear" w:color="auto" w:fill="FFFFFF"/>
        <w:rPr>
          <w:b/>
          <w:iCs/>
          <w:lang w:val="kk"/>
        </w:rPr>
      </w:pPr>
      <w:r w:rsidRPr="006153DC">
        <w:rPr>
          <w:b/>
          <w:bCs/>
          <w:iCs/>
          <w:lang w:val="kk"/>
        </w:rPr>
        <w:t>5.2 Фармакокинетикалық қасиеттері</w:t>
      </w:r>
    </w:p>
    <w:p w14:paraId="32BD7A68" w14:textId="77777777" w:rsidR="00D46EF7" w:rsidRPr="0054098D" w:rsidRDefault="0054098D" w:rsidP="00962CF5">
      <w:pPr>
        <w:tabs>
          <w:tab w:val="center" w:pos="4153"/>
          <w:tab w:val="right" w:pos="8306"/>
        </w:tabs>
        <w:spacing w:after="120"/>
        <w:contextualSpacing/>
        <w:jc w:val="both"/>
        <w:rPr>
          <w:i/>
          <w:lang w:val="kk"/>
        </w:rPr>
      </w:pPr>
      <w:r w:rsidRPr="006153DC">
        <w:rPr>
          <w:i/>
          <w:lang w:val="kk"/>
        </w:rPr>
        <w:t>Сіңуі</w:t>
      </w:r>
    </w:p>
    <w:p w14:paraId="32BD7A69" w14:textId="422409F3" w:rsidR="00D46EF7" w:rsidRPr="0054098D" w:rsidRDefault="0054098D" w:rsidP="00962CF5">
      <w:pPr>
        <w:tabs>
          <w:tab w:val="center" w:pos="4153"/>
          <w:tab w:val="right" w:pos="8306"/>
        </w:tabs>
        <w:spacing w:after="120"/>
        <w:contextualSpacing/>
        <w:jc w:val="both"/>
        <w:rPr>
          <w:lang w:val="kk"/>
        </w:rPr>
      </w:pPr>
      <w:r w:rsidRPr="006153DC">
        <w:rPr>
          <w:lang w:val="kk"/>
        </w:rPr>
        <w:t>Ривароксабан жылдам сіңіріледі; ең жоғарғы концентрацияларына (С</w:t>
      </w:r>
      <w:r w:rsidR="00BD2441" w:rsidRPr="00BD2441">
        <w:rPr>
          <w:vertAlign w:val="subscript"/>
          <w:lang w:val="kk"/>
        </w:rPr>
        <w:t>max</w:t>
      </w:r>
      <w:r w:rsidRPr="006153DC">
        <w:rPr>
          <w:lang w:val="kk"/>
        </w:rPr>
        <w:t xml:space="preserve">) таблетканы   қабылдағаннан кейін 2-4 сағаттан соң жетеді.   </w:t>
      </w:r>
    </w:p>
    <w:p w14:paraId="32BD7A6B" w14:textId="3A8F661D" w:rsidR="00D46EF7" w:rsidRPr="0054098D" w:rsidRDefault="0054098D" w:rsidP="00962CF5">
      <w:pPr>
        <w:tabs>
          <w:tab w:val="center" w:pos="4153"/>
          <w:tab w:val="right" w:pos="8306"/>
        </w:tabs>
        <w:spacing w:after="120"/>
        <w:contextualSpacing/>
        <w:jc w:val="both"/>
        <w:rPr>
          <w:lang w:val="kk"/>
        </w:rPr>
      </w:pPr>
      <w:r w:rsidRPr="006153DC">
        <w:rPr>
          <w:lang w:val="kk"/>
        </w:rPr>
        <w:t>Ішке қабылдағаннан кейін ривароксабанның сіңуі толық дерлік және 2,5 мг дозасын қабылдағаннан кейін биожетімділігі тамақтануға қарамастан жоғары (80-100%).  Тамақтану 2,5 мг ривароксабанның AUC («концентрация – уақыт» қисығының астындағы ауданы) немесе С</w:t>
      </w:r>
      <w:r w:rsidR="00EE0E34" w:rsidRPr="00EE0E34">
        <w:rPr>
          <w:vertAlign w:val="subscript"/>
          <w:lang w:val="kk"/>
        </w:rPr>
        <w:t>max</w:t>
      </w:r>
      <w:r w:rsidRPr="006153DC">
        <w:rPr>
          <w:lang w:val="kk"/>
        </w:rPr>
        <w:t xml:space="preserve"> (ең жоғары концентрациясы) әсер етпейді. 2,5 мг ривароксабан таблеткаларын тамақтануға қарамастан қабылдауға болады. Ривароксабан фармакокинетикасының тәулігіне бір рет 15 мг дейінгі дозаларды қабылдағанда дозаға тәуелді дерлік сипаты бар. Жоғарырақ дозаларынде ривароксабанның сіңірілуі еруімен шектелетіндігі және препарат дозасының арттырылуына қарай биожетімділігінің төмендегені байқалады. Бұл өзгерістер ашқарында тамақтанғаннан гөрі айқын көрінеді. Ривароксабан фармакокинетикасы операция күнін және әсер етудің өзгергіштігі жоғары болған келесі күнді (70 %) қоспағанда, 30-40% шегінде орташа дербес өзгергіштігімен (ауытқу коэффициенті,%) сипатталады.</w:t>
      </w:r>
    </w:p>
    <w:p w14:paraId="32BD7A6C" w14:textId="77777777" w:rsidR="00D46EF7" w:rsidRPr="0054098D" w:rsidRDefault="0054098D" w:rsidP="00962CF5">
      <w:pPr>
        <w:tabs>
          <w:tab w:val="center" w:pos="4153"/>
          <w:tab w:val="right" w:pos="8306"/>
        </w:tabs>
        <w:spacing w:after="120"/>
        <w:contextualSpacing/>
        <w:jc w:val="both"/>
        <w:rPr>
          <w:lang w:val="kk"/>
        </w:rPr>
      </w:pPr>
      <w:r w:rsidRPr="006153DC">
        <w:rPr>
          <w:lang w:val="kk"/>
        </w:rPr>
        <w:t xml:space="preserve">Ривароксабанның сіңірілуі препараттың асқазан-ішек жолында босап шығатын орнына тәуелді.  Ривароксабан түйіршіктері жіңішке ішектің проксимальдық бөлігінен босап шыққан кезде таблеткалармен салыстырғанда, AUC пен Cmax сәйкесінше 29% және 56%-ға төмендегені хабарланған.  Экспозициясының бұдан да айқынырақ төмендеуі ривароксабан ішектің дистальдық бөлігінен немесе тоқ ішектің өрлемелі бөлігінен босап шыққан кезде орын алады.  Сондықтан, ривароксабанның асқазаннан дистальдірек енгізілуін болдырмау керек, өйткені ол сіңірілуінің төмендеуіне және соның салдары ретінде – ривароксабан экспозициясының төмендеуіне алып келуі мүмкін.    </w:t>
      </w:r>
    </w:p>
    <w:p w14:paraId="32BD7A6E" w14:textId="37417063" w:rsidR="00D46EF7" w:rsidRPr="0054098D" w:rsidRDefault="0054098D" w:rsidP="00962CF5">
      <w:pPr>
        <w:tabs>
          <w:tab w:val="center" w:pos="4153"/>
          <w:tab w:val="right" w:pos="8306"/>
        </w:tabs>
        <w:spacing w:after="120"/>
        <w:contextualSpacing/>
        <w:jc w:val="both"/>
        <w:rPr>
          <w:lang w:val="kk"/>
        </w:rPr>
      </w:pPr>
      <w:r w:rsidRPr="006153DC">
        <w:rPr>
          <w:lang w:val="kk"/>
        </w:rPr>
        <w:t>Биожетімділігі (AUC пен C</w:t>
      </w:r>
      <w:r w:rsidRPr="00A4051E">
        <w:rPr>
          <w:vertAlign w:val="subscript"/>
          <w:lang w:val="kk"/>
        </w:rPr>
        <w:t>max</w:t>
      </w:r>
      <w:r w:rsidRPr="006153DC">
        <w:rPr>
          <w:lang w:val="kk"/>
        </w:rPr>
        <w:t xml:space="preserve">) таблетканы тұтас қабылдаумен салыстырғанда, ұнтақталып, алма езбесімен араластырылған немесе суда араластырылған таблетка түрінде пероральді қабылданған немесе асқазан сүңгісі арқылы енгізіліп, артынан сұйық тамақ ішілген 20 мг ривароксабан үшін салыстырылмалы болды.  Ривароксабанның болжанған, дозасына пропорциялы фармакокинетикалық бейінін ескерсек, осы зерттеуден алынған биожетімділігінің мәндері ривароксабанның төменірек дозаларына қатысты болуының ықтималдығы зор.  </w:t>
      </w:r>
    </w:p>
    <w:p w14:paraId="32BD7A6F" w14:textId="77777777" w:rsidR="00D46EF7" w:rsidRPr="0054098D" w:rsidRDefault="0054098D" w:rsidP="00962CF5">
      <w:pPr>
        <w:tabs>
          <w:tab w:val="center" w:pos="4153"/>
          <w:tab w:val="right" w:pos="8306"/>
        </w:tabs>
        <w:spacing w:after="120"/>
        <w:contextualSpacing/>
        <w:jc w:val="both"/>
        <w:rPr>
          <w:i/>
          <w:lang w:val="kk"/>
        </w:rPr>
      </w:pPr>
      <w:r w:rsidRPr="006153DC">
        <w:rPr>
          <w:i/>
          <w:lang w:val="kk"/>
        </w:rPr>
        <w:t>Таралуы</w:t>
      </w:r>
    </w:p>
    <w:p w14:paraId="32BD7A71" w14:textId="51176116" w:rsidR="00D46EF7" w:rsidRPr="0054098D" w:rsidRDefault="0054098D" w:rsidP="00962CF5">
      <w:pPr>
        <w:tabs>
          <w:tab w:val="center" w:pos="4153"/>
          <w:tab w:val="right" w:pos="8306"/>
        </w:tabs>
        <w:spacing w:after="120"/>
        <w:contextualSpacing/>
        <w:jc w:val="both"/>
        <w:rPr>
          <w:lang w:val="kk"/>
        </w:rPr>
      </w:pPr>
      <w:r w:rsidRPr="006153DC">
        <w:rPr>
          <w:lang w:val="kk"/>
        </w:rPr>
        <w:lastRenderedPageBreak/>
        <w:t>Адам организмінде ривароксабанның көп бөлігі (92-95%) негізгі байланыстыру компоненті – сарысу альбуминімен байланысады.  Таралу көлемі – орташа; V</w:t>
      </w:r>
      <w:r w:rsidRPr="00ED56D5">
        <w:rPr>
          <w:vertAlign w:val="subscript"/>
          <w:lang w:val="kk"/>
        </w:rPr>
        <w:t>ss</w:t>
      </w:r>
      <w:r w:rsidRPr="006153DC">
        <w:rPr>
          <w:lang w:val="kk"/>
        </w:rPr>
        <w:t xml:space="preserve"> шамамен 50 л құрайды.  </w:t>
      </w:r>
    </w:p>
    <w:p w14:paraId="32BD7A72" w14:textId="77777777" w:rsidR="00D46EF7" w:rsidRPr="0054098D" w:rsidRDefault="0054098D" w:rsidP="00962CF5">
      <w:pPr>
        <w:tabs>
          <w:tab w:val="center" w:pos="4153"/>
          <w:tab w:val="right" w:pos="8306"/>
        </w:tabs>
        <w:spacing w:after="120"/>
        <w:contextualSpacing/>
        <w:jc w:val="both"/>
        <w:rPr>
          <w:i/>
          <w:lang w:val="kk"/>
        </w:rPr>
      </w:pPr>
      <w:r w:rsidRPr="006153DC">
        <w:rPr>
          <w:i/>
          <w:lang w:val="kk"/>
        </w:rPr>
        <w:t xml:space="preserve">Метаболизмі және шығарылуы </w:t>
      </w:r>
    </w:p>
    <w:p w14:paraId="0880A951" w14:textId="77777777" w:rsidR="000A28D4" w:rsidRPr="0054098D" w:rsidRDefault="0054098D" w:rsidP="00962CF5">
      <w:pPr>
        <w:tabs>
          <w:tab w:val="center" w:pos="4153"/>
          <w:tab w:val="right" w:pos="8306"/>
        </w:tabs>
        <w:spacing w:after="120"/>
        <w:contextualSpacing/>
        <w:jc w:val="both"/>
        <w:rPr>
          <w:lang w:val="kk"/>
        </w:rPr>
      </w:pPr>
      <w:r w:rsidRPr="006153DC">
        <w:rPr>
          <w:lang w:val="kk"/>
        </w:rPr>
        <w:t xml:space="preserve">Ривароксабан негізінен метаболиттер түрінде (қабылданған дозаның шамамен 2/3) – несеппен және нәжіспен бірге бірдей арақатынаста шығарылады. Қабылданған дозасының  қалған 1/3 бөлігі өзгеріссіз күйінде, бүйрек арқылы, негізінен, бүйректің белсенді секрециясы жолымен шығарылады. </w:t>
      </w:r>
    </w:p>
    <w:p w14:paraId="32BD7A74" w14:textId="6155FA86" w:rsidR="00D46EF7" w:rsidRPr="0054098D" w:rsidRDefault="0054098D" w:rsidP="00962CF5">
      <w:pPr>
        <w:tabs>
          <w:tab w:val="center" w:pos="4153"/>
          <w:tab w:val="right" w:pos="8306"/>
        </w:tabs>
        <w:spacing w:after="120"/>
        <w:contextualSpacing/>
        <w:jc w:val="both"/>
        <w:rPr>
          <w:lang w:val="kk"/>
        </w:rPr>
      </w:pPr>
      <w:r w:rsidRPr="006153DC">
        <w:rPr>
          <w:lang w:val="kk"/>
        </w:rPr>
        <w:t xml:space="preserve">Ривароксабанның метаболизмі CYP3A4, CYP2J2 цитохромы жүйесі арқылы және осы жүйеге тәуелсіз механизмдердің көмегімен жүзеге асады.  Биотрансформациясының негізгі бөліктері тотығу деградациясына ұшырайтын морфолинондық топ, және гидролизденетін амидтік көпірлер болып табылады. </w:t>
      </w:r>
      <w:r w:rsidRPr="000A28D4">
        <w:rPr>
          <w:i/>
          <w:iCs/>
          <w:lang w:val="kk"/>
        </w:rPr>
        <w:t xml:space="preserve">Іn vitro </w:t>
      </w:r>
      <w:r w:rsidRPr="006153DC">
        <w:rPr>
          <w:lang w:val="kk"/>
        </w:rPr>
        <w:t xml:space="preserve">зерттеулердің деректері бойынша ривароксабан Р-gp (гликопротеин Р) және Bcrp (сүтбез обырының төзімділік ақуызы) тасымалдағыш ақуыздары үшін субстрат болып табылады.  </w:t>
      </w:r>
    </w:p>
    <w:p w14:paraId="32BD7A76" w14:textId="7E76D0CB" w:rsidR="00D46EF7" w:rsidRPr="0054098D" w:rsidRDefault="0054098D" w:rsidP="00962CF5">
      <w:pPr>
        <w:tabs>
          <w:tab w:val="center" w:pos="4153"/>
          <w:tab w:val="right" w:pos="8306"/>
        </w:tabs>
        <w:spacing w:after="120"/>
        <w:contextualSpacing/>
        <w:jc w:val="both"/>
        <w:rPr>
          <w:lang w:val="kk"/>
        </w:rPr>
      </w:pPr>
      <w:r w:rsidRPr="006153DC">
        <w:rPr>
          <w:lang w:val="kk"/>
        </w:rPr>
        <w:t xml:space="preserve">Өзгермеген ривароксабан адам плазмасындағы анағұрым маңызды қосылыс болып табылады, оның плазмада айналымда елеулі немесе белсенді метаболиттері жоқ.  Жүйелі клиренсі шамамен 10 л/сағатты құрайтын ривароксабанды клиренсі төмен дәрілік заттарға жатқызуға болады.  1 мг ривароксабанды вена ішіне енгізгеннен кейін жартылай шығарылу кезеңі 4.5 сағатқа жуықты құрайды.  Пероральді қабылдағаннан кейін шығарылуы сіңірілу жылдамдығына тәуелді болып қалады. Ривароксабанның плазмадан шығарылуы кезінже жартылай шығарылуының терминальді кезеңі жастарда 5–9 сағатты және егде жастаға адамдарда 11–13 сағатты құрайды.  </w:t>
      </w:r>
    </w:p>
    <w:p w14:paraId="32BD7A77" w14:textId="595C4DA0" w:rsidR="00D46EF7" w:rsidRPr="00B625B5" w:rsidRDefault="0054098D" w:rsidP="00962CF5">
      <w:pPr>
        <w:tabs>
          <w:tab w:val="center" w:pos="4153"/>
          <w:tab w:val="right" w:pos="8306"/>
        </w:tabs>
        <w:spacing w:after="120"/>
        <w:contextualSpacing/>
        <w:jc w:val="both"/>
        <w:rPr>
          <w:i/>
          <w:lang w:val="kk-KZ"/>
        </w:rPr>
      </w:pPr>
      <w:r w:rsidRPr="006153DC">
        <w:rPr>
          <w:i/>
          <w:lang w:val="kk"/>
        </w:rPr>
        <w:t xml:space="preserve">Ерекше </w:t>
      </w:r>
      <w:r w:rsidR="00F726D9">
        <w:rPr>
          <w:i/>
          <w:lang w:val="kk-KZ"/>
        </w:rPr>
        <w:t>популяциялар</w:t>
      </w:r>
    </w:p>
    <w:p w14:paraId="1FAF5FA5" w14:textId="066B1DC3" w:rsidR="000A28D4" w:rsidRPr="0054098D" w:rsidRDefault="0054098D" w:rsidP="00962CF5">
      <w:pPr>
        <w:tabs>
          <w:tab w:val="center" w:pos="4153"/>
          <w:tab w:val="right" w:pos="8306"/>
        </w:tabs>
        <w:spacing w:after="120"/>
        <w:contextualSpacing/>
        <w:jc w:val="both"/>
        <w:rPr>
          <w:i/>
          <w:iCs/>
          <w:lang w:val="kk"/>
        </w:rPr>
      </w:pPr>
      <w:r w:rsidRPr="000A28D4">
        <w:rPr>
          <w:i/>
          <w:iCs/>
          <w:lang w:val="kk"/>
        </w:rPr>
        <w:t>Жынысы</w:t>
      </w:r>
    </w:p>
    <w:p w14:paraId="32BD7A79" w14:textId="2F35028B" w:rsidR="00D46EF7" w:rsidRPr="0054098D" w:rsidRDefault="0054098D" w:rsidP="00962CF5">
      <w:pPr>
        <w:tabs>
          <w:tab w:val="center" w:pos="4153"/>
          <w:tab w:val="right" w:pos="8306"/>
        </w:tabs>
        <w:spacing w:after="120"/>
        <w:contextualSpacing/>
        <w:jc w:val="both"/>
        <w:rPr>
          <w:lang w:val="kk"/>
        </w:rPr>
      </w:pPr>
      <w:r w:rsidRPr="006153DC">
        <w:rPr>
          <w:lang w:val="kk"/>
        </w:rPr>
        <w:t xml:space="preserve">Ерлер мен әйелдерде фармакокинетикасы мен фармакодинамикасының клиникалық тұрғыдан елеулі айырмашылықтары анықталған жоқ.  </w:t>
      </w:r>
    </w:p>
    <w:p w14:paraId="32BD7A7A" w14:textId="3219B7DD" w:rsidR="00D46EF7" w:rsidRPr="0054098D" w:rsidRDefault="0054098D" w:rsidP="00962CF5">
      <w:pPr>
        <w:tabs>
          <w:tab w:val="center" w:pos="4153"/>
          <w:tab w:val="right" w:pos="8306"/>
        </w:tabs>
        <w:spacing w:after="120"/>
        <w:contextualSpacing/>
        <w:jc w:val="both"/>
        <w:rPr>
          <w:i/>
          <w:lang w:val="kk"/>
        </w:rPr>
      </w:pPr>
      <w:r>
        <w:rPr>
          <w:i/>
          <w:lang w:val="kk"/>
        </w:rPr>
        <w:t>Егде жастағы пациенттер</w:t>
      </w:r>
    </w:p>
    <w:p w14:paraId="32BD7A7C" w14:textId="20AFAE61" w:rsidR="00D46EF7" w:rsidRPr="0054098D" w:rsidRDefault="0054098D" w:rsidP="00962CF5">
      <w:pPr>
        <w:tabs>
          <w:tab w:val="center" w:pos="4153"/>
          <w:tab w:val="right" w:pos="8306"/>
        </w:tabs>
        <w:spacing w:after="120"/>
        <w:contextualSpacing/>
        <w:jc w:val="both"/>
        <w:rPr>
          <w:lang w:val="kk"/>
        </w:rPr>
      </w:pPr>
      <w:r w:rsidRPr="006153DC">
        <w:rPr>
          <w:lang w:val="kk"/>
        </w:rPr>
        <w:t>Егде жастағы пациенттерде ривароксабанның плазмадағы концентрациялары жас пациенттердегіге қарағанда жоғарырақ; орташа AUC негізінен, жалпы және бүйректік клиренсінің төмендеуі салдарынан, жас пациенттердегіге қарағанда шамамен 1,5 есе көп.  Дозаны түзету қажет емес.</w:t>
      </w:r>
    </w:p>
    <w:p w14:paraId="32BD7A7D" w14:textId="77777777" w:rsidR="00D46EF7" w:rsidRPr="0054098D" w:rsidRDefault="0054098D" w:rsidP="00962CF5">
      <w:pPr>
        <w:tabs>
          <w:tab w:val="center" w:pos="4153"/>
          <w:tab w:val="right" w:pos="8306"/>
        </w:tabs>
        <w:spacing w:after="120"/>
        <w:contextualSpacing/>
        <w:jc w:val="both"/>
        <w:rPr>
          <w:i/>
          <w:lang w:val="kk"/>
        </w:rPr>
      </w:pPr>
      <w:r w:rsidRPr="006153DC">
        <w:rPr>
          <w:i/>
          <w:lang w:val="kk"/>
        </w:rPr>
        <w:t xml:space="preserve">Түрлі салмақ санаттары   </w:t>
      </w:r>
    </w:p>
    <w:p w14:paraId="32BD7A7F" w14:textId="0EC19436" w:rsidR="00D46EF7" w:rsidRPr="0054098D" w:rsidRDefault="0054098D" w:rsidP="00962CF5">
      <w:pPr>
        <w:tabs>
          <w:tab w:val="center" w:pos="4153"/>
          <w:tab w:val="right" w:pos="8306"/>
        </w:tabs>
        <w:spacing w:after="120"/>
        <w:contextualSpacing/>
        <w:jc w:val="both"/>
        <w:rPr>
          <w:lang w:val="kk"/>
        </w:rPr>
      </w:pPr>
      <w:r w:rsidRPr="006153DC">
        <w:rPr>
          <w:lang w:val="kk"/>
        </w:rPr>
        <w:t>Салмақтың тым аз немесе тым көп болуы (50 кг аз немесе 120 кг көп) ривароксабанның плазмадағы концентрациясына (25%-дан аз) болар-болмас қана әсер етеді.  Дозаны түзету қажет емес.</w:t>
      </w:r>
    </w:p>
    <w:p w14:paraId="32BD7A80" w14:textId="77777777" w:rsidR="00D46EF7" w:rsidRPr="0054098D" w:rsidRDefault="0054098D" w:rsidP="00962CF5">
      <w:pPr>
        <w:tabs>
          <w:tab w:val="center" w:pos="4153"/>
          <w:tab w:val="right" w:pos="8306"/>
        </w:tabs>
        <w:spacing w:after="120"/>
        <w:contextualSpacing/>
        <w:jc w:val="both"/>
        <w:rPr>
          <w:i/>
          <w:lang w:val="kk"/>
        </w:rPr>
      </w:pPr>
      <w:r w:rsidRPr="006153DC">
        <w:rPr>
          <w:i/>
          <w:lang w:val="kk"/>
        </w:rPr>
        <w:t xml:space="preserve">Этностық өзгешеліктер   </w:t>
      </w:r>
    </w:p>
    <w:p w14:paraId="32BD7A82" w14:textId="73E49EAE" w:rsidR="00D46EF7" w:rsidRPr="0054098D" w:rsidRDefault="0054098D" w:rsidP="00962CF5">
      <w:pPr>
        <w:tabs>
          <w:tab w:val="center" w:pos="4153"/>
          <w:tab w:val="right" w:pos="8306"/>
        </w:tabs>
        <w:spacing w:after="120"/>
        <w:contextualSpacing/>
        <w:jc w:val="both"/>
        <w:rPr>
          <w:lang w:val="kk"/>
        </w:rPr>
      </w:pPr>
      <w:r w:rsidRPr="006153DC">
        <w:rPr>
          <w:lang w:val="kk"/>
        </w:rPr>
        <w:t xml:space="preserve">Еуропалық, афро-американдық, латынамерикандық, жапон немесе қытай ұлтының өкілдерінде пациенттерде фармакокинетикасы мен фармакодинамикасында клиникалық тұрғыдан маңызды айырмашылықтар байқалған жоқ.  </w:t>
      </w:r>
    </w:p>
    <w:p w14:paraId="32BD7A83" w14:textId="77777777" w:rsidR="00D46EF7" w:rsidRPr="0054098D" w:rsidRDefault="0054098D" w:rsidP="00962CF5">
      <w:pPr>
        <w:tabs>
          <w:tab w:val="center" w:pos="4153"/>
          <w:tab w:val="right" w:pos="8306"/>
        </w:tabs>
        <w:spacing w:after="120"/>
        <w:contextualSpacing/>
        <w:jc w:val="both"/>
        <w:rPr>
          <w:i/>
          <w:lang w:val="kk"/>
        </w:rPr>
      </w:pPr>
      <w:r w:rsidRPr="006153DC">
        <w:rPr>
          <w:i/>
          <w:lang w:val="kk"/>
        </w:rPr>
        <w:t>Бауыр функциясының жеткіліксіздігі</w:t>
      </w:r>
    </w:p>
    <w:p w14:paraId="32BD7A85" w14:textId="52133E45" w:rsidR="00D46EF7" w:rsidRPr="0054098D" w:rsidRDefault="0054098D" w:rsidP="00962CF5">
      <w:pPr>
        <w:tabs>
          <w:tab w:val="center" w:pos="4153"/>
          <w:tab w:val="right" w:pos="8306"/>
        </w:tabs>
        <w:spacing w:after="120"/>
        <w:contextualSpacing/>
        <w:jc w:val="both"/>
        <w:rPr>
          <w:lang w:val="kk"/>
        </w:rPr>
      </w:pPr>
      <w:r w:rsidRPr="006153DC">
        <w:rPr>
          <w:lang w:val="kk"/>
        </w:rPr>
        <w:t xml:space="preserve">Бауыр циррозы және бауыр функциясының жеңіл жеткіліксіздігі (Чайлд-Пью бойынша А класы) бар пациенттерде ривароксабанның фармакокинетикасы болар-болмас өзгешеленеді, бұл ривароксабанның AUC орташа алғанда 1,2 есе жоғарылауымен көрініс береді және дені сау еріктілердің бақылау тобындағы көрсеткішпен салыстырымды.    Бауыр функциясының орташа жеткіліксіздігімен (Чайлд-Пью бойынша В класы) жүретін бауыр циррозы бар пациенттер үшін, орташа AUC дені сау еріктілермен салыстырғанда 2,3 есе едәуір, ал бос АUC – 2,6 есе жоғарылаған.  Бүйрек функциясының орташа жеткіліксіздігі бар пациенттердегі сияқты, бұл пациенттерде ривароксабанның бүйрек арқылы шығарылуының да төмендегені байқалады.  Бауыр функциясының ауыр жеткіліксіздігі бар пациенттер үшін деректер жоқ.   </w:t>
      </w:r>
    </w:p>
    <w:p w14:paraId="32BD7A87" w14:textId="68825E2D" w:rsidR="00D46EF7" w:rsidRPr="0054098D" w:rsidRDefault="0054098D" w:rsidP="00962CF5">
      <w:pPr>
        <w:tabs>
          <w:tab w:val="center" w:pos="4153"/>
          <w:tab w:val="right" w:pos="8306"/>
        </w:tabs>
        <w:spacing w:after="120"/>
        <w:contextualSpacing/>
        <w:jc w:val="both"/>
        <w:rPr>
          <w:lang w:val="kk"/>
        </w:rPr>
      </w:pPr>
      <w:r w:rsidRPr="00810340">
        <w:rPr>
          <w:lang w:val="kk"/>
        </w:rPr>
        <w:t xml:space="preserve">Бауыр функциясының орташа жеткіліксіздігі бар пациенттерде Ха фактор белсенділігі бәсеңдеуінің айқындығы дені сау еріктілердегіге қарағанда күштірек (2,6 есе) болды.  Протромбин уақыты да дені сау еріктілердегі көрсеткіштерінен 2,1 есе жоғары болды.  Бауыр </w:t>
      </w:r>
      <w:r w:rsidRPr="00810340">
        <w:rPr>
          <w:lang w:val="kk"/>
        </w:rPr>
        <w:lastRenderedPageBreak/>
        <w:t xml:space="preserve">функциясының орташа жеткіліксіздігі бар пациенттер ривароксабанға сезімталырақ болды, бұл ривароксабанның плазмадағы концентрациясы мен протромбин уақыты арасындағы  фармакокинетикалық және фармакодинамикалық өзара байланыстың жоғарырақ болуымен көрініс берді.  </w:t>
      </w:r>
    </w:p>
    <w:p w14:paraId="32BD7A89" w14:textId="12AB194E" w:rsidR="00D46EF7" w:rsidRPr="0054098D" w:rsidRDefault="0054098D" w:rsidP="00962CF5">
      <w:pPr>
        <w:tabs>
          <w:tab w:val="center" w:pos="4153"/>
          <w:tab w:val="right" w:pos="8306"/>
        </w:tabs>
        <w:spacing w:after="120"/>
        <w:contextualSpacing/>
        <w:jc w:val="both"/>
        <w:rPr>
          <w:lang w:val="kk"/>
        </w:rPr>
      </w:pPr>
      <w:r>
        <w:rPr>
          <w:lang w:val="kk"/>
        </w:rPr>
        <w:t xml:space="preserve">Ривароксабанды бауырдың Чайлд-Пью бойынша В және С класты циррозы бар пациенттерді қоса, коагулопатиямен және клиникалық тұрғыдан елеулі қан кету қаупімен қатар жүретін бауыр аурулары бар пациенттерге қолдануға болмайды (4.3 бөлімін қараңыз)  </w:t>
      </w:r>
    </w:p>
    <w:p w14:paraId="32BD7A8A" w14:textId="77777777" w:rsidR="00D46EF7" w:rsidRPr="0054098D" w:rsidRDefault="0054098D" w:rsidP="00962CF5">
      <w:pPr>
        <w:tabs>
          <w:tab w:val="center" w:pos="4153"/>
          <w:tab w:val="right" w:pos="8306"/>
        </w:tabs>
        <w:spacing w:after="120"/>
        <w:contextualSpacing/>
        <w:jc w:val="both"/>
        <w:rPr>
          <w:i/>
          <w:lang w:val="kk"/>
        </w:rPr>
      </w:pPr>
      <w:r w:rsidRPr="00962CF5">
        <w:rPr>
          <w:i/>
          <w:lang w:val="kk"/>
        </w:rPr>
        <w:t>Бүйрек функциясының жеткіліксіздігі</w:t>
      </w:r>
    </w:p>
    <w:p w14:paraId="32BD7A8C" w14:textId="338289DB" w:rsidR="00D46EF7" w:rsidRPr="0054098D" w:rsidRDefault="0054098D" w:rsidP="00962CF5">
      <w:pPr>
        <w:tabs>
          <w:tab w:val="center" w:pos="4153"/>
          <w:tab w:val="right" w:pos="8306"/>
        </w:tabs>
        <w:spacing w:after="120"/>
        <w:contextualSpacing/>
        <w:jc w:val="both"/>
        <w:rPr>
          <w:lang w:val="kk"/>
        </w:rPr>
      </w:pPr>
      <w:r w:rsidRPr="00810340">
        <w:rPr>
          <w:lang w:val="kk"/>
        </w:rPr>
        <w:t xml:space="preserve">Бүйрек функциясының жеткіліксіздігі бар пациенттерде ривароксабан экспозициясының креатинин клиренсі бойынша бағаланатын бүйрек функциясының төмендеуімен өзара байланысты артуы байқалады.  Бүйрек функциясының жеңіл (креатинин клиренсі 50-80 мл/мин), орташа (клиренс креатинина 30-49 мл/мин) немесе ауыр (креатинин клиренсі 15-29 мл/мин) жеткіліксіздігі бар пациенттерде ривароксабанның плазмадағы концентрацияларының (AUC) сәйкесінше 1,4- 1,5- және 1,6-есе жоғарылағаны байқалды.  Фармакодинамикалық әсерінің сәйкесінше жоғарылауы айқынырақ болды.  Бүйрек функциясының жеңіл, орташа және ауыр жеткіліксіздігі бар пациенттерде Ха фактор белсенділігінің жалпы бәсеңдеуі протромбин уақытының сәйкесінше 1,3, 2,2 және 2,4 есе ұзару жағдайында дені сау еріктілермен салыстырғанда, сәйкесінше 1,5, 1,9 және 2 есе артқан.  Креатинин клиренсі &lt; 15 мл/мин болатын  пациенттер туралы деректер жоқ.    </w:t>
      </w:r>
    </w:p>
    <w:p w14:paraId="32BD7A8D" w14:textId="77777777" w:rsidR="00D46EF7" w:rsidRPr="0054098D" w:rsidRDefault="0054098D" w:rsidP="00962CF5">
      <w:pPr>
        <w:tabs>
          <w:tab w:val="center" w:pos="4153"/>
          <w:tab w:val="right" w:pos="8306"/>
        </w:tabs>
        <w:spacing w:after="120"/>
        <w:contextualSpacing/>
        <w:jc w:val="both"/>
        <w:rPr>
          <w:lang w:val="kk"/>
        </w:rPr>
      </w:pPr>
      <w:r w:rsidRPr="00810340">
        <w:rPr>
          <w:lang w:val="kk"/>
        </w:rPr>
        <w:t xml:space="preserve">Плазма ақуыздарымен байланысуының жоғарылығы салдарынан, ривароксабанның диализ аясында шығарылуы күтілмейді.   </w:t>
      </w:r>
    </w:p>
    <w:p w14:paraId="32BD7A90" w14:textId="72E2024B" w:rsidR="00D46EF7" w:rsidRPr="0054098D" w:rsidRDefault="0054098D" w:rsidP="00962CF5">
      <w:pPr>
        <w:tabs>
          <w:tab w:val="center" w:pos="4153"/>
          <w:tab w:val="right" w:pos="8306"/>
        </w:tabs>
        <w:spacing w:after="120"/>
        <w:contextualSpacing/>
        <w:jc w:val="both"/>
        <w:rPr>
          <w:lang w:val="kk"/>
        </w:rPr>
      </w:pPr>
      <w:r w:rsidRPr="00810340">
        <w:rPr>
          <w:lang w:val="kk"/>
        </w:rPr>
        <w:t xml:space="preserve">Препаратты креатинин клиренсі &lt;15 мл/мин пациенттерде қолдану ұсынылмайды.    Ривароксабанды креатинин клиренсі 15-29 мл/минут пациенттерде қолданғанда сақтық таныту керек (4.4 бөлімін қараңыз).    </w:t>
      </w:r>
    </w:p>
    <w:p w14:paraId="32BD7A91" w14:textId="77777777" w:rsidR="00D46EF7" w:rsidRPr="0054098D" w:rsidRDefault="0054098D" w:rsidP="00962CF5">
      <w:pPr>
        <w:tabs>
          <w:tab w:val="center" w:pos="4153"/>
          <w:tab w:val="right" w:pos="8306"/>
        </w:tabs>
        <w:spacing w:after="120"/>
        <w:contextualSpacing/>
        <w:jc w:val="both"/>
        <w:rPr>
          <w:i/>
          <w:lang w:val="kk"/>
        </w:rPr>
      </w:pPr>
      <w:r w:rsidRPr="00962CF5">
        <w:rPr>
          <w:i/>
          <w:lang w:val="kk"/>
        </w:rPr>
        <w:t>Пациенттердегі фармакокинетикалық деректері</w:t>
      </w:r>
    </w:p>
    <w:p w14:paraId="32BD7A93" w14:textId="60D77187" w:rsidR="00D46EF7" w:rsidRPr="0054098D" w:rsidRDefault="0054098D" w:rsidP="00962CF5">
      <w:pPr>
        <w:jc w:val="both"/>
        <w:rPr>
          <w:lang w:val="kk"/>
        </w:rPr>
      </w:pPr>
      <w:r w:rsidRPr="00810340">
        <w:rPr>
          <w:lang w:val="kk"/>
        </w:rPr>
        <w:t xml:space="preserve">Ривароксабанды ВТЭ профилактикасы үшін тәулігіне бір рет 10 мг дозада қабылдап жүрген пациенттерде, орташа геометриялық концентрациясы (болжамды аралығы 90%) қабылдағаннан кейін 2-4 сағаттан соң және 24 сағатқа жуық уақыттан соң (бұл шамамен, қабылдаулар арасындағы кезеңде есептеп шығарылған ең жоғарғы және ең төменгі концентрацияларын көрсетеді) сәйкесінше 101 (7-273) және 14 (4-51) мкг/л құрады.  </w:t>
      </w:r>
    </w:p>
    <w:p w14:paraId="32BD7A94" w14:textId="77777777" w:rsidR="00D46EF7" w:rsidRPr="0054098D" w:rsidRDefault="0054098D" w:rsidP="00962CF5">
      <w:pPr>
        <w:tabs>
          <w:tab w:val="center" w:pos="4153"/>
          <w:tab w:val="right" w:pos="8306"/>
        </w:tabs>
        <w:spacing w:after="120"/>
        <w:contextualSpacing/>
        <w:jc w:val="both"/>
        <w:rPr>
          <w:i/>
          <w:lang w:val="kk"/>
        </w:rPr>
      </w:pPr>
      <w:r w:rsidRPr="00962CF5">
        <w:rPr>
          <w:i/>
          <w:lang w:val="kk"/>
        </w:rPr>
        <w:t xml:space="preserve">Фармакокинетикасы мен фармакодинамикасының өзара байланыстылығы  </w:t>
      </w:r>
    </w:p>
    <w:p w14:paraId="32BD7A96" w14:textId="5DD34BB6" w:rsidR="00D46EF7" w:rsidRPr="0054098D" w:rsidRDefault="0054098D" w:rsidP="00962CF5">
      <w:pPr>
        <w:tabs>
          <w:tab w:val="center" w:pos="4153"/>
          <w:tab w:val="right" w:pos="8306"/>
        </w:tabs>
        <w:spacing w:after="120"/>
        <w:contextualSpacing/>
        <w:jc w:val="both"/>
        <w:rPr>
          <w:lang w:val="kk"/>
        </w:rPr>
      </w:pPr>
      <w:r w:rsidRPr="00810340">
        <w:rPr>
          <w:lang w:val="kk"/>
        </w:rPr>
        <w:t xml:space="preserve">Ривароксабанның қан плазмасындағы концентрациясы мен бірнеше ФД көрсеткіштері (Ха факторының тежелуі, протромбиндік уақыт (ПУ), ішінара белсенділенген тромбопластин уақыты (ІБТУ), Heptest) арасындағы фармакокинетикасы мен фармакодинамикасының өзара байланыстылығын бағалау кең ауқымды  5–30 мг дозаларын тәулігіне 2 рет тағайындағаннан кейін жүргізілді.  Ривароксабан концентрациясы мен Ха фактор белсенділігі арасындағы байланыс Емакс моделі арқылы өте жақсы сипатталады. ПУ қатысты кесінділердің дозаға тәуелді моделі деректерді өте жақсы дәрежеде сипаттап береді.  ПУ анықтау үшін пайдаланылған реагентке байланысты, қисығының ауытқуы едәуір өзгешеленеді.  Neoplastin PT реагентін пайдаланғанда бастапқы ПУ 13 секундқа жуықты құрады, ал ауытқуы 3-4 секундты/(100 мкг л) құрады.  II және III фазалардағы зерттеулердегі ФК/ФД талдаулардың нәтижелері дені сау адамдарда анықталған деректерге сәйкес келді.  </w:t>
      </w:r>
    </w:p>
    <w:p w14:paraId="32BD7A97" w14:textId="77777777" w:rsidR="00D46EF7" w:rsidRPr="0054098D" w:rsidRDefault="0054098D" w:rsidP="00962CF5">
      <w:pPr>
        <w:tabs>
          <w:tab w:val="center" w:pos="4153"/>
          <w:tab w:val="right" w:pos="8306"/>
        </w:tabs>
        <w:spacing w:after="120"/>
        <w:contextualSpacing/>
        <w:jc w:val="both"/>
        <w:rPr>
          <w:i/>
          <w:lang w:val="kk"/>
        </w:rPr>
      </w:pPr>
      <w:r w:rsidRPr="00962CF5">
        <w:rPr>
          <w:i/>
          <w:lang w:val="kk"/>
        </w:rPr>
        <w:t xml:space="preserve">Балалар жасы </w:t>
      </w:r>
    </w:p>
    <w:p w14:paraId="32BD7A98" w14:textId="13135EEA" w:rsidR="00B07C97" w:rsidRPr="0054098D" w:rsidRDefault="0054098D" w:rsidP="00962CF5">
      <w:pPr>
        <w:widowControl w:val="0"/>
        <w:kinsoku w:val="0"/>
        <w:overflowPunct w:val="0"/>
        <w:autoSpaceDE w:val="0"/>
        <w:autoSpaceDN w:val="0"/>
        <w:adjustRightInd w:val="0"/>
        <w:ind w:right="108"/>
        <w:jc w:val="both"/>
        <w:rPr>
          <w:lang w:val="kk"/>
        </w:rPr>
      </w:pPr>
      <w:r w:rsidRPr="00810340">
        <w:rPr>
          <w:lang w:val="kk"/>
        </w:rPr>
        <w:t>Балалар мен 18 жасқа дейінгі жасөспірімдерде веналық тромбоэмболияның (ВТЭ) профилактикасы кезіндегі қауіпсіздігі мен тиімділігі анықталмаған.</w:t>
      </w:r>
    </w:p>
    <w:p w14:paraId="32BD7A99" w14:textId="77777777" w:rsidR="009C25DD" w:rsidRPr="0054098D" w:rsidRDefault="009C25DD" w:rsidP="00D46EF7">
      <w:pPr>
        <w:widowControl w:val="0"/>
        <w:kinsoku w:val="0"/>
        <w:overflowPunct w:val="0"/>
        <w:autoSpaceDE w:val="0"/>
        <w:autoSpaceDN w:val="0"/>
        <w:adjustRightInd w:val="0"/>
        <w:ind w:right="108"/>
        <w:jc w:val="both"/>
        <w:rPr>
          <w:spacing w:val="-1"/>
          <w:lang w:val="kk"/>
        </w:rPr>
      </w:pPr>
    </w:p>
    <w:p w14:paraId="32BD7A9A" w14:textId="77777777" w:rsidR="00B13C47" w:rsidRPr="0054098D" w:rsidRDefault="0054098D" w:rsidP="00962CF5">
      <w:pPr>
        <w:shd w:val="clear" w:color="auto" w:fill="FFFFFF"/>
        <w:tabs>
          <w:tab w:val="left" w:pos="6926"/>
          <w:tab w:val="left" w:leader="underscore" w:pos="8040"/>
        </w:tabs>
        <w:outlineLvl w:val="0"/>
        <w:rPr>
          <w:b/>
          <w:bCs/>
          <w:iCs/>
          <w:lang w:val="kk"/>
        </w:rPr>
      </w:pPr>
      <w:r w:rsidRPr="00EC7C9F">
        <w:rPr>
          <w:b/>
          <w:bCs/>
          <w:iCs/>
          <w:lang w:val="kk"/>
        </w:rPr>
        <w:t>5.3 Клиникаға дейінгі қауіпсіздік деректері</w:t>
      </w:r>
    </w:p>
    <w:p w14:paraId="32BD7A9B" w14:textId="77777777" w:rsidR="00827AAF" w:rsidRPr="0054098D" w:rsidRDefault="0054098D" w:rsidP="00962CF5">
      <w:pPr>
        <w:shd w:val="clear" w:color="auto" w:fill="FFFFFF"/>
        <w:tabs>
          <w:tab w:val="left" w:pos="6926"/>
          <w:tab w:val="left" w:leader="underscore" w:pos="8040"/>
        </w:tabs>
        <w:jc w:val="both"/>
        <w:outlineLvl w:val="0"/>
        <w:rPr>
          <w:rFonts w:eastAsia="SimSun"/>
          <w:lang w:val="kk" w:eastAsia="zh-CN"/>
        </w:rPr>
      </w:pPr>
      <w:r w:rsidRPr="00810340">
        <w:rPr>
          <w:rFonts w:eastAsia="SimSun"/>
          <w:lang w:val="kk" w:eastAsia="zh-CN"/>
        </w:rPr>
        <w:t xml:space="preserve">Фармакологиялық қауіпсіздігін, бір реттік дозасының уыттылығын, цитоуыттылығын, гендік уыттылығын, канцерогенділік ықтималдылығын және кәмелет жасына толмағандарға қатысты уыттылығын дәстүрлі зерттеулерден алынған клиникаға дейінгі деректер, адам үшін ерекше қауіп факторлары анықталған жоқ. </w:t>
      </w:r>
    </w:p>
    <w:p w14:paraId="32BD7A9C" w14:textId="77777777" w:rsidR="00827AAF" w:rsidRPr="0054098D" w:rsidRDefault="0054098D" w:rsidP="00962CF5">
      <w:pPr>
        <w:shd w:val="clear" w:color="auto" w:fill="FFFFFF"/>
        <w:tabs>
          <w:tab w:val="left" w:pos="6926"/>
          <w:tab w:val="left" w:leader="underscore" w:pos="8040"/>
        </w:tabs>
        <w:jc w:val="both"/>
        <w:outlineLvl w:val="0"/>
        <w:rPr>
          <w:rFonts w:eastAsia="SimSun"/>
          <w:lang w:val="kk" w:eastAsia="zh-CN"/>
        </w:rPr>
      </w:pPr>
      <w:r w:rsidRPr="00810340">
        <w:rPr>
          <w:rFonts w:eastAsia="SimSun"/>
          <w:lang w:val="kk" w:eastAsia="zh-CN"/>
        </w:rPr>
        <w:lastRenderedPageBreak/>
        <w:t xml:space="preserve">Дозаларын қайталап енгізгендегі уыттылығын зерттеулерде байқалған әсерлеріне, негізінен ривароксабанның фармакодинамикалық белсенділігінің жоғарылауы түрткі болады.  Клиникалық тұрғыдан маңызды әсер ету деңгейлері жағдайларында егеуқұйрықтарда плазмадағы IgG мен IgA концентрациясының жоғарылағаны байқалды.  </w:t>
      </w:r>
    </w:p>
    <w:p w14:paraId="6285E168" w14:textId="77777777" w:rsidR="002C36DA" w:rsidRPr="0054098D" w:rsidRDefault="0054098D" w:rsidP="002C36DA">
      <w:pPr>
        <w:jc w:val="both"/>
        <w:rPr>
          <w:rFonts w:eastAsia="SimSun"/>
          <w:lang w:val="kk" w:eastAsia="zh-CN"/>
        </w:rPr>
      </w:pPr>
      <w:r w:rsidRPr="00810340">
        <w:rPr>
          <w:rFonts w:eastAsia="SimSun"/>
          <w:lang w:val="kk" w:eastAsia="zh-CN"/>
        </w:rPr>
        <w:t xml:space="preserve">Еркек және ұрғашы егеуқұйрықтарда фертильділікке ықпалы анықталмаған.  Жануарларға жүргізілген зерттеулерден ривароксабанның фармакологиялық әсерімен (мысалы, геморрагиялық асқынулар түрткі болған) байланысты репродукциялық уыттылығы анықталды.  Плазмадағы клиникалық тұрғыдан маңызды концентрациялары жағдайларында эмбриондық уыттылығы (имплантациядан кейінгі шарана өлімі, оссификациясының тежелуі / үдеуі, бауырдағы көптеген ақшыл түсті ошақтар), және туа біткен ақаулар жиілігінің артқаны, сондай-ақ, плацентарлық өзгерістер байқалды.  Егеуқұйрықтарға жүргізілген зерттеуде оларды туғанға дейін және туғаннан кейін қадағалау кезінде уытты дозаларын қабылдаған ұрғашы егеуқұйрықтардан туған ұрпақтарының тіршілікке қабілеттілігінің төмендегені анықталды.  </w:t>
      </w:r>
    </w:p>
    <w:p w14:paraId="3DF42405" w14:textId="77777777" w:rsidR="002C36DA" w:rsidRPr="0054098D" w:rsidRDefault="002C36DA" w:rsidP="002C36DA">
      <w:pPr>
        <w:jc w:val="both"/>
        <w:rPr>
          <w:rFonts w:eastAsia="SimSun"/>
          <w:lang w:val="kk" w:eastAsia="zh-CN"/>
        </w:rPr>
      </w:pPr>
    </w:p>
    <w:p w14:paraId="32BD7A9F" w14:textId="45252B1F" w:rsidR="00B13C47" w:rsidRPr="0054098D" w:rsidRDefault="0054098D" w:rsidP="002C36DA">
      <w:pPr>
        <w:jc w:val="both"/>
        <w:rPr>
          <w:rFonts w:eastAsia="SimSun"/>
          <w:lang w:val="kk" w:eastAsia="zh-CN"/>
        </w:rPr>
      </w:pPr>
      <w:r w:rsidRPr="00810340">
        <w:rPr>
          <w:b/>
          <w:bCs/>
          <w:lang w:val="kk"/>
        </w:rPr>
        <w:t xml:space="preserve">6. Фармацевтикалық сипаттамалары </w:t>
      </w:r>
    </w:p>
    <w:p w14:paraId="32BD7AA0" w14:textId="77777777" w:rsidR="00B13C47" w:rsidRPr="0054098D" w:rsidRDefault="0054098D" w:rsidP="00B13C47">
      <w:pPr>
        <w:shd w:val="clear" w:color="auto" w:fill="FFFFFF"/>
        <w:rPr>
          <w:b/>
          <w:bCs/>
          <w:lang w:val="kk"/>
        </w:rPr>
      </w:pPr>
      <w:r w:rsidRPr="00962CF5">
        <w:rPr>
          <w:b/>
          <w:bCs/>
          <w:lang w:val="kk"/>
        </w:rPr>
        <w:t>6.1 Қосымша заттардың тізбесі</w:t>
      </w:r>
    </w:p>
    <w:p w14:paraId="7947F352" w14:textId="26345E82" w:rsidR="000D0E70" w:rsidRPr="0054098D" w:rsidRDefault="0054098D" w:rsidP="00EC28F8">
      <w:pPr>
        <w:jc w:val="both"/>
        <w:rPr>
          <w:rStyle w:val="FontStyle29"/>
          <w:color w:val="auto"/>
          <w:sz w:val="24"/>
          <w:szCs w:val="24"/>
          <w:highlight w:val="yellow"/>
          <w:lang w:val="kk"/>
        </w:rPr>
      </w:pPr>
      <w:r w:rsidRPr="000D0E70">
        <w:rPr>
          <w:rStyle w:val="FontStyle29"/>
          <w:color w:val="auto"/>
          <w:sz w:val="24"/>
          <w:szCs w:val="24"/>
          <w:lang w:val="kk"/>
        </w:rPr>
        <w:t>Микрокристалды целлюлоза (</w:t>
      </w:r>
      <w:r w:rsidR="002218DF" w:rsidRPr="002218DF">
        <w:rPr>
          <w:rStyle w:val="FontStyle29"/>
          <w:color w:val="auto"/>
          <w:sz w:val="24"/>
          <w:szCs w:val="24"/>
          <w:lang w:val="kk"/>
        </w:rPr>
        <w:t>Ph</w:t>
      </w:r>
      <w:r w:rsidRPr="000D0E70">
        <w:rPr>
          <w:rStyle w:val="FontStyle29"/>
          <w:color w:val="auto"/>
          <w:sz w:val="24"/>
          <w:szCs w:val="24"/>
          <w:lang w:val="kk"/>
        </w:rPr>
        <w:t>armacel 101)</w:t>
      </w:r>
    </w:p>
    <w:p w14:paraId="29A1738F" w14:textId="1683D76D" w:rsidR="000D0E70" w:rsidRPr="000D0E70" w:rsidRDefault="0054098D" w:rsidP="00EC28F8">
      <w:pPr>
        <w:jc w:val="both"/>
        <w:rPr>
          <w:rStyle w:val="FontStyle29"/>
          <w:color w:val="auto"/>
          <w:sz w:val="24"/>
          <w:szCs w:val="24"/>
        </w:rPr>
      </w:pPr>
      <w:r w:rsidRPr="000D0E70">
        <w:rPr>
          <w:rStyle w:val="FontStyle29"/>
          <w:color w:val="auto"/>
          <w:sz w:val="24"/>
          <w:szCs w:val="24"/>
          <w:lang w:val="kk"/>
        </w:rPr>
        <w:t>Лактоза моногидраты (</w:t>
      </w:r>
      <w:proofErr w:type="spellStart"/>
      <w:r w:rsidR="002218DF">
        <w:rPr>
          <w:rStyle w:val="FontStyle29"/>
          <w:color w:val="auto"/>
          <w:sz w:val="24"/>
          <w:szCs w:val="24"/>
          <w:lang w:val="en-US"/>
        </w:rPr>
        <w:t>Pharmatose</w:t>
      </w:r>
      <w:proofErr w:type="spellEnd"/>
      <w:r w:rsidRPr="000D0E70">
        <w:rPr>
          <w:rStyle w:val="FontStyle29"/>
          <w:color w:val="auto"/>
          <w:sz w:val="24"/>
          <w:szCs w:val="24"/>
          <w:lang w:val="kk"/>
        </w:rPr>
        <w:t xml:space="preserve"> 200</w:t>
      </w:r>
      <w:r w:rsidR="002218DF">
        <w:rPr>
          <w:rStyle w:val="FontStyle29"/>
          <w:color w:val="auto"/>
          <w:sz w:val="24"/>
          <w:szCs w:val="24"/>
          <w:lang w:val="en-US"/>
        </w:rPr>
        <w:t>M</w:t>
      </w:r>
      <w:r w:rsidRPr="000D0E70">
        <w:rPr>
          <w:rStyle w:val="FontStyle29"/>
          <w:color w:val="auto"/>
          <w:sz w:val="24"/>
          <w:szCs w:val="24"/>
          <w:lang w:val="kk"/>
        </w:rPr>
        <w:t xml:space="preserve">) </w:t>
      </w:r>
    </w:p>
    <w:p w14:paraId="661F13CF" w14:textId="3AB8582D" w:rsidR="000D0E70" w:rsidRPr="000D0E70" w:rsidRDefault="0054098D" w:rsidP="00EC28F8">
      <w:pPr>
        <w:jc w:val="both"/>
        <w:rPr>
          <w:rStyle w:val="FontStyle29"/>
          <w:color w:val="auto"/>
          <w:sz w:val="24"/>
          <w:szCs w:val="24"/>
        </w:rPr>
      </w:pPr>
      <w:r w:rsidRPr="000D0E70">
        <w:rPr>
          <w:rStyle w:val="FontStyle29"/>
          <w:color w:val="auto"/>
          <w:sz w:val="24"/>
          <w:szCs w:val="24"/>
          <w:lang w:val="kk"/>
        </w:rPr>
        <w:t>Натрий кроскармеллозасы</w:t>
      </w:r>
    </w:p>
    <w:p w14:paraId="4D1B9A27" w14:textId="2CD8A1FC" w:rsidR="000D0E70" w:rsidRPr="000D0E70" w:rsidRDefault="0054098D" w:rsidP="00EC28F8">
      <w:pPr>
        <w:jc w:val="both"/>
        <w:rPr>
          <w:rStyle w:val="FontStyle29"/>
          <w:color w:val="auto"/>
          <w:sz w:val="24"/>
          <w:szCs w:val="24"/>
        </w:rPr>
      </w:pPr>
      <w:r w:rsidRPr="000D0E70">
        <w:rPr>
          <w:rStyle w:val="FontStyle29"/>
          <w:color w:val="auto"/>
          <w:sz w:val="24"/>
          <w:szCs w:val="24"/>
          <w:lang w:val="kk"/>
        </w:rPr>
        <w:t>Гипромеллоза (Methocel E5 premium)</w:t>
      </w:r>
    </w:p>
    <w:p w14:paraId="724B8E70" w14:textId="5AEC40FF" w:rsidR="000D0E70" w:rsidRPr="000D0E70" w:rsidRDefault="0054098D" w:rsidP="00EC28F8">
      <w:pPr>
        <w:jc w:val="both"/>
        <w:rPr>
          <w:rStyle w:val="FontStyle29"/>
          <w:color w:val="auto"/>
          <w:sz w:val="24"/>
          <w:szCs w:val="24"/>
        </w:rPr>
      </w:pPr>
      <w:r w:rsidRPr="000D0E70">
        <w:rPr>
          <w:rStyle w:val="FontStyle29"/>
          <w:color w:val="auto"/>
          <w:sz w:val="24"/>
          <w:szCs w:val="24"/>
          <w:lang w:val="kk"/>
        </w:rPr>
        <w:t>Натрий лаурилсульфаты (Kolliphore SLS fine)</w:t>
      </w:r>
    </w:p>
    <w:p w14:paraId="0EE910BC" w14:textId="48069CD8" w:rsidR="00230639" w:rsidRPr="000D0E70" w:rsidRDefault="0054098D" w:rsidP="00EC28F8">
      <w:pPr>
        <w:jc w:val="both"/>
        <w:rPr>
          <w:rStyle w:val="FontStyle29"/>
          <w:color w:val="auto"/>
          <w:sz w:val="24"/>
          <w:szCs w:val="24"/>
        </w:rPr>
      </w:pPr>
      <w:r w:rsidRPr="000D0E70">
        <w:rPr>
          <w:rStyle w:val="FontStyle29"/>
          <w:color w:val="auto"/>
          <w:sz w:val="24"/>
          <w:szCs w:val="24"/>
          <w:lang w:val="kk"/>
        </w:rPr>
        <w:t>Натрий кроскармеллозасы (Primollose)</w:t>
      </w:r>
    </w:p>
    <w:p w14:paraId="40BBD9E5" w14:textId="09F6A196" w:rsidR="000D0E70" w:rsidRPr="000D0E70" w:rsidRDefault="0054098D" w:rsidP="00EC28F8">
      <w:pPr>
        <w:jc w:val="both"/>
        <w:rPr>
          <w:rStyle w:val="FontStyle29"/>
          <w:color w:val="auto"/>
          <w:sz w:val="24"/>
          <w:szCs w:val="24"/>
        </w:rPr>
      </w:pPr>
      <w:r w:rsidRPr="000D0E70">
        <w:rPr>
          <w:rStyle w:val="FontStyle29"/>
          <w:color w:val="auto"/>
          <w:sz w:val="24"/>
          <w:szCs w:val="24"/>
          <w:lang w:val="kk"/>
        </w:rPr>
        <w:t>Магний стеараты (Ligamed MF-2-V)</w:t>
      </w:r>
    </w:p>
    <w:p w14:paraId="1CCAAB27" w14:textId="77777777" w:rsidR="000D0E70" w:rsidRPr="000D0E70" w:rsidRDefault="0054098D" w:rsidP="00EC28F8">
      <w:pPr>
        <w:jc w:val="both"/>
        <w:rPr>
          <w:rStyle w:val="FontStyle29"/>
          <w:i/>
          <w:color w:val="auto"/>
          <w:sz w:val="24"/>
          <w:szCs w:val="24"/>
        </w:rPr>
      </w:pPr>
      <w:r w:rsidRPr="000D0E70">
        <w:rPr>
          <w:rStyle w:val="FontStyle29"/>
          <w:i/>
          <w:color w:val="auto"/>
          <w:sz w:val="24"/>
          <w:szCs w:val="24"/>
          <w:lang w:val="kk"/>
        </w:rPr>
        <w:t>Опадрай II 85F540176 қызғылт қабығының құрамы:</w:t>
      </w:r>
    </w:p>
    <w:p w14:paraId="32BD7AA3" w14:textId="259D9DA7" w:rsidR="00EC28F8" w:rsidRDefault="0054098D" w:rsidP="00EC28F8">
      <w:pPr>
        <w:jc w:val="both"/>
        <w:rPr>
          <w:rStyle w:val="FontStyle29"/>
          <w:color w:val="auto"/>
          <w:sz w:val="24"/>
          <w:szCs w:val="24"/>
        </w:rPr>
      </w:pPr>
      <w:r w:rsidRPr="000D0E70">
        <w:rPr>
          <w:rStyle w:val="FontStyle29"/>
          <w:color w:val="auto"/>
          <w:sz w:val="24"/>
          <w:szCs w:val="24"/>
          <w:lang w:val="kk"/>
        </w:rPr>
        <w:t xml:space="preserve">Ішінара гидролизденген поливинил спирті  </w:t>
      </w:r>
    </w:p>
    <w:p w14:paraId="5D901DEF" w14:textId="62F10143" w:rsidR="000D0E70" w:rsidRPr="000D0E70" w:rsidRDefault="0054098D" w:rsidP="00EC28F8">
      <w:pPr>
        <w:jc w:val="both"/>
        <w:rPr>
          <w:iCs/>
        </w:rPr>
      </w:pPr>
      <w:r w:rsidRPr="000D0E70">
        <w:rPr>
          <w:iCs/>
          <w:lang w:val="kk"/>
        </w:rPr>
        <w:t xml:space="preserve">Титанның қостотығы  </w:t>
      </w:r>
      <w:r w:rsidR="00842ED3">
        <w:rPr>
          <w:iCs/>
          <w:lang w:val="kk"/>
        </w:rPr>
        <w:t>(Е 171)</w:t>
      </w:r>
    </w:p>
    <w:p w14:paraId="79EE495E" w14:textId="391C4AD1" w:rsidR="000D0E70" w:rsidRPr="000D0E70" w:rsidRDefault="0054098D" w:rsidP="00EC28F8">
      <w:pPr>
        <w:jc w:val="both"/>
        <w:rPr>
          <w:iCs/>
        </w:rPr>
      </w:pPr>
      <w:r w:rsidRPr="000D0E70">
        <w:rPr>
          <w:iCs/>
          <w:lang w:val="kk"/>
        </w:rPr>
        <w:t>Тальк</w:t>
      </w:r>
    </w:p>
    <w:p w14:paraId="0D6EFC03" w14:textId="3745160E" w:rsidR="000D0E70" w:rsidRPr="000D0E70" w:rsidRDefault="0054098D" w:rsidP="00EC28F8">
      <w:pPr>
        <w:jc w:val="both"/>
        <w:rPr>
          <w:iCs/>
        </w:rPr>
      </w:pPr>
      <w:r w:rsidRPr="000D0E70">
        <w:rPr>
          <w:iCs/>
          <w:lang w:val="kk"/>
        </w:rPr>
        <w:t>Макрогол</w:t>
      </w:r>
      <w:r w:rsidR="00842ED3">
        <w:rPr>
          <w:iCs/>
          <w:lang w:val="kk"/>
        </w:rPr>
        <w:t>/ПЭГ</w:t>
      </w:r>
    </w:p>
    <w:p w14:paraId="1ED1E6F0" w14:textId="4757D3E9" w:rsidR="000D0E70" w:rsidRDefault="0054098D" w:rsidP="00EC28F8">
      <w:pPr>
        <w:jc w:val="both"/>
        <w:rPr>
          <w:iCs/>
          <w:lang w:val="kk"/>
        </w:rPr>
      </w:pPr>
      <w:r w:rsidRPr="000D0E70">
        <w:rPr>
          <w:iCs/>
          <w:lang w:val="kk"/>
        </w:rPr>
        <w:t xml:space="preserve">Темірдің қызыл тотығы </w:t>
      </w:r>
      <w:r w:rsidR="00842ED3">
        <w:rPr>
          <w:iCs/>
          <w:lang w:val="kk"/>
        </w:rPr>
        <w:t>(Е 172)</w:t>
      </w:r>
    </w:p>
    <w:p w14:paraId="764ECF86" w14:textId="77777777" w:rsidR="00512475" w:rsidRPr="000D0E70" w:rsidRDefault="00512475" w:rsidP="00EC28F8">
      <w:pPr>
        <w:jc w:val="both"/>
        <w:rPr>
          <w:iCs/>
        </w:rPr>
      </w:pPr>
    </w:p>
    <w:p w14:paraId="32BD7AA4" w14:textId="77777777" w:rsidR="00B13C47" w:rsidRPr="00962CF5" w:rsidRDefault="0054098D" w:rsidP="00B13C47">
      <w:pPr>
        <w:shd w:val="clear" w:color="auto" w:fill="FFFFFF"/>
        <w:rPr>
          <w:b/>
        </w:rPr>
      </w:pPr>
      <w:r w:rsidRPr="00962CF5">
        <w:rPr>
          <w:b/>
          <w:lang w:val="kk"/>
        </w:rPr>
        <w:t>6.2 Үйлесімсіздігі</w:t>
      </w:r>
    </w:p>
    <w:p w14:paraId="32BD7AA6" w14:textId="487C35C0" w:rsidR="00B13C47" w:rsidRDefault="0054098D" w:rsidP="00B13C47">
      <w:pPr>
        <w:shd w:val="clear" w:color="auto" w:fill="FFFFFF"/>
        <w:rPr>
          <w:lang w:val="kk"/>
        </w:rPr>
      </w:pPr>
      <w:r>
        <w:rPr>
          <w:lang w:val="kk"/>
        </w:rPr>
        <w:t>Қатысты емес</w:t>
      </w:r>
    </w:p>
    <w:p w14:paraId="6026F112" w14:textId="77777777" w:rsidR="00512475" w:rsidRPr="00810340" w:rsidRDefault="00512475" w:rsidP="00B13C47">
      <w:pPr>
        <w:shd w:val="clear" w:color="auto" w:fill="FFFFFF"/>
      </w:pPr>
    </w:p>
    <w:p w14:paraId="32BD7AA7" w14:textId="77777777" w:rsidR="00B13C47" w:rsidRPr="00962CF5" w:rsidRDefault="0054098D" w:rsidP="00B13C47">
      <w:pPr>
        <w:pStyle w:val="6"/>
        <w:keepNext w:val="0"/>
        <w:spacing w:before="0"/>
        <w:ind w:right="0"/>
        <w:outlineLvl w:val="0"/>
        <w:rPr>
          <w:color w:val="auto"/>
          <w:szCs w:val="24"/>
        </w:rPr>
      </w:pPr>
      <w:r w:rsidRPr="00962CF5">
        <w:rPr>
          <w:color w:val="auto"/>
          <w:szCs w:val="24"/>
          <w:lang w:val="kk"/>
        </w:rPr>
        <w:t xml:space="preserve">6.3 Жарамдылық мерзімі </w:t>
      </w:r>
    </w:p>
    <w:p w14:paraId="32BD7AA8" w14:textId="2CD8EDB0" w:rsidR="00B13C47" w:rsidRPr="00810340" w:rsidRDefault="0054098D" w:rsidP="00B13C47">
      <w:pPr>
        <w:jc w:val="both"/>
      </w:pPr>
      <w:r>
        <w:rPr>
          <w:lang w:val="kk"/>
        </w:rPr>
        <w:t>2 жыл</w:t>
      </w:r>
    </w:p>
    <w:p w14:paraId="32BD7AAA" w14:textId="50FB3613" w:rsidR="005309FB" w:rsidRDefault="0054098D" w:rsidP="00B13C47">
      <w:pPr>
        <w:shd w:val="clear" w:color="auto" w:fill="FFFFFF"/>
        <w:rPr>
          <w:lang w:val="kk"/>
        </w:rPr>
      </w:pPr>
      <w:r w:rsidRPr="00810340">
        <w:rPr>
          <w:lang w:val="kk"/>
        </w:rPr>
        <w:t>Жарамдылық мерзімі өткеннен кейін қолдануға болмайды.</w:t>
      </w:r>
    </w:p>
    <w:p w14:paraId="50565E61" w14:textId="77777777" w:rsidR="00512475" w:rsidRPr="00810340" w:rsidRDefault="00512475" w:rsidP="00B13C47">
      <w:pPr>
        <w:shd w:val="clear" w:color="auto" w:fill="FFFFFF"/>
      </w:pPr>
    </w:p>
    <w:p w14:paraId="32BD7AAB" w14:textId="77777777" w:rsidR="00B13C47" w:rsidRPr="00E064EF" w:rsidRDefault="0054098D" w:rsidP="00B13C47">
      <w:pPr>
        <w:shd w:val="clear" w:color="auto" w:fill="FFFFFF"/>
        <w:rPr>
          <w:b/>
        </w:rPr>
      </w:pPr>
      <w:r w:rsidRPr="00E064EF">
        <w:rPr>
          <w:b/>
          <w:lang w:val="kk"/>
        </w:rPr>
        <w:t>6.4 Сақтау кезіндегі айрықша сақтандыру шаралары</w:t>
      </w:r>
    </w:p>
    <w:p w14:paraId="32BD7AAC" w14:textId="4FC9607E" w:rsidR="00B13C47" w:rsidRPr="00810340" w:rsidRDefault="0054098D" w:rsidP="00B13C47">
      <w:pPr>
        <w:jc w:val="both"/>
      </w:pPr>
      <w:r w:rsidRPr="00810340">
        <w:rPr>
          <w:lang w:val="kk"/>
        </w:rPr>
        <w:t xml:space="preserve">30 </w:t>
      </w:r>
      <w:r w:rsidRPr="00810340">
        <w:rPr>
          <w:vertAlign w:val="superscript"/>
          <w:lang w:val="kk"/>
        </w:rPr>
        <w:t>о</w:t>
      </w:r>
      <w:r w:rsidRPr="00810340">
        <w:rPr>
          <w:lang w:val="kk"/>
        </w:rPr>
        <w:t>С-ден аспайтын температурада сақтау керек.</w:t>
      </w:r>
    </w:p>
    <w:p w14:paraId="32BD7AAE" w14:textId="1C6F8329" w:rsidR="00B13C47" w:rsidRDefault="0054098D" w:rsidP="00E064EF">
      <w:pPr>
        <w:jc w:val="both"/>
        <w:rPr>
          <w:lang w:val="kk" w:eastAsia="ko-KR"/>
        </w:rPr>
      </w:pPr>
      <w:r w:rsidRPr="00810340">
        <w:rPr>
          <w:lang w:val="kk" w:eastAsia="ko-KR"/>
        </w:rPr>
        <w:t>Балалардың қолы жетпейтін жерде сақтау керек!</w:t>
      </w:r>
    </w:p>
    <w:p w14:paraId="7D078027" w14:textId="77777777" w:rsidR="00512475" w:rsidRPr="00E064EF" w:rsidRDefault="00512475" w:rsidP="00E064EF">
      <w:pPr>
        <w:jc w:val="both"/>
        <w:rPr>
          <w:lang w:eastAsia="ko-KR"/>
        </w:rPr>
      </w:pPr>
    </w:p>
    <w:p w14:paraId="32BD7AAF" w14:textId="6F506B29" w:rsidR="00B13C47" w:rsidRPr="00E064EF" w:rsidRDefault="0054098D" w:rsidP="00E064EF">
      <w:pPr>
        <w:shd w:val="clear" w:color="auto" w:fill="FFFFFF"/>
        <w:tabs>
          <w:tab w:val="left" w:pos="6926"/>
          <w:tab w:val="left" w:leader="underscore" w:pos="8040"/>
        </w:tabs>
        <w:outlineLvl w:val="0"/>
        <w:rPr>
          <w:b/>
          <w:bCs/>
        </w:rPr>
      </w:pPr>
      <w:r w:rsidRPr="00E064EF">
        <w:rPr>
          <w:b/>
          <w:bCs/>
          <w:lang w:val="kk"/>
        </w:rPr>
        <w:t>6.5 Шығарылу түрі және қаптамасы</w:t>
      </w:r>
    </w:p>
    <w:p w14:paraId="7C80F43D" w14:textId="0BC23E9B" w:rsidR="00734575" w:rsidRDefault="0054098D" w:rsidP="00734575">
      <w:pPr>
        <w:shd w:val="clear" w:color="auto" w:fill="FFFFFF"/>
        <w:tabs>
          <w:tab w:val="left" w:pos="6926"/>
          <w:tab w:val="left" w:leader="underscore" w:pos="8040"/>
        </w:tabs>
        <w:jc w:val="both"/>
        <w:outlineLvl w:val="0"/>
      </w:pPr>
      <w:r>
        <w:rPr>
          <w:lang w:val="kk"/>
        </w:rPr>
        <w:t>10 таблеткадан ПВХ/ПВДХ (поливинилхлорид/поливинилденхлорид) үлбірінен және алюминий фольгадан жасалған пішінді ұяшықты қаптамаға салынады.</w:t>
      </w:r>
    </w:p>
    <w:p w14:paraId="32C2A66B" w14:textId="23CC4437" w:rsidR="00734575" w:rsidRDefault="0054098D" w:rsidP="00734575">
      <w:pPr>
        <w:shd w:val="clear" w:color="auto" w:fill="FFFFFF"/>
        <w:tabs>
          <w:tab w:val="left" w:pos="6926"/>
          <w:tab w:val="left" w:leader="underscore" w:pos="8040"/>
        </w:tabs>
        <w:jc w:val="both"/>
        <w:outlineLvl w:val="0"/>
        <w:rPr>
          <w:lang w:val="kk"/>
        </w:rPr>
      </w:pPr>
      <w:r>
        <w:rPr>
          <w:lang w:val="kk"/>
        </w:rPr>
        <w:t xml:space="preserve">Пішінді ұяшықты 10 қаптама медициналық қолдану жөнінде қазақ және орыс тілдеріндегі нұсқаулықпен бірге картон қорапшаға салынады.    </w:t>
      </w:r>
    </w:p>
    <w:p w14:paraId="6E61C91F" w14:textId="77777777" w:rsidR="00512475" w:rsidRDefault="00512475" w:rsidP="00734575">
      <w:pPr>
        <w:shd w:val="clear" w:color="auto" w:fill="FFFFFF"/>
        <w:tabs>
          <w:tab w:val="left" w:pos="6926"/>
          <w:tab w:val="left" w:leader="underscore" w:pos="8040"/>
        </w:tabs>
        <w:jc w:val="both"/>
        <w:outlineLvl w:val="0"/>
      </w:pPr>
    </w:p>
    <w:p w14:paraId="32BD7AB3" w14:textId="3B7FD95D" w:rsidR="00B13C47" w:rsidRPr="00E064EF" w:rsidRDefault="0054098D" w:rsidP="00734575">
      <w:pPr>
        <w:shd w:val="clear" w:color="auto" w:fill="FFFFFF"/>
        <w:tabs>
          <w:tab w:val="left" w:pos="6926"/>
          <w:tab w:val="left" w:leader="underscore" w:pos="8040"/>
        </w:tabs>
        <w:jc w:val="both"/>
        <w:outlineLvl w:val="0"/>
        <w:rPr>
          <w:b/>
          <w:bCs/>
        </w:rPr>
      </w:pPr>
      <w:r w:rsidRPr="00734575">
        <w:rPr>
          <w:b/>
          <w:bCs/>
          <w:iCs/>
          <w:lang w:val="kk"/>
        </w:rPr>
        <w:t>6.6. Пайдаланылған дәрілік препаратты немесе дәрілік препаратты қолданудан немесе онымен жұмыс істеуден кейін алынған қалдықтарды жою кезіндегі айрықша сақтану шаралары</w:t>
      </w:r>
    </w:p>
    <w:p w14:paraId="41BA1F2F" w14:textId="3EAFCE13" w:rsidR="008C2F6E" w:rsidRDefault="0054098D" w:rsidP="008C2F6E">
      <w:pPr>
        <w:widowControl w:val="0"/>
        <w:shd w:val="clear" w:color="auto" w:fill="FFFFFF"/>
        <w:autoSpaceDE w:val="0"/>
        <w:autoSpaceDN w:val="0"/>
        <w:adjustRightInd w:val="0"/>
        <w:jc w:val="both"/>
      </w:pPr>
      <w:r>
        <w:rPr>
          <w:lang w:val="kk"/>
        </w:rPr>
        <w:t xml:space="preserve">Кез келген пайдаланылмаған өнім немесе қалдықтар бекітілген талаптарға сәйкес </w:t>
      </w:r>
      <w:r>
        <w:rPr>
          <w:lang w:val="kk"/>
        </w:rPr>
        <w:lastRenderedPageBreak/>
        <w:t>утилизациялануы тиіс.</w:t>
      </w:r>
    </w:p>
    <w:p w14:paraId="08DCDDFA" w14:textId="77777777" w:rsidR="008C2F6E" w:rsidRPr="008C2F6E" w:rsidRDefault="0054098D" w:rsidP="008C2F6E">
      <w:pPr>
        <w:widowControl w:val="0"/>
        <w:shd w:val="clear" w:color="auto" w:fill="FFFFFF"/>
        <w:autoSpaceDE w:val="0"/>
        <w:autoSpaceDN w:val="0"/>
        <w:adjustRightInd w:val="0"/>
        <w:jc w:val="both"/>
        <w:rPr>
          <w:i/>
          <w:iCs/>
        </w:rPr>
      </w:pPr>
      <w:r w:rsidRPr="008C2F6E">
        <w:rPr>
          <w:i/>
          <w:iCs/>
          <w:lang w:val="kk"/>
        </w:rPr>
        <w:t>Таблеткаларды ұнтақтау</w:t>
      </w:r>
    </w:p>
    <w:p w14:paraId="224DF492" w14:textId="386D8D9E" w:rsidR="0065406A" w:rsidRDefault="0054098D" w:rsidP="008C2F6E">
      <w:pPr>
        <w:widowControl w:val="0"/>
        <w:shd w:val="clear" w:color="auto" w:fill="FFFFFF"/>
        <w:autoSpaceDE w:val="0"/>
        <w:autoSpaceDN w:val="0"/>
        <w:adjustRightInd w:val="0"/>
        <w:jc w:val="both"/>
        <w:rPr>
          <w:lang w:val="kk"/>
        </w:rPr>
      </w:pPr>
      <w:r>
        <w:rPr>
          <w:lang w:val="kk"/>
        </w:rPr>
        <w:t>Ривароксабан таблеткаларын ұсақтап, 50 мл сумен араластырып, асқазанда сүңгінің орналасқанына көз жеткізгеннен кейін назогастральдік сүңгі немесе асқазан сүңгісімен енгізуге болады. Осыдан кейін түтікті сумен жуу керек. Ривароксабанның сіңуі белсенді заттың шығарылу орнына байланысты болғандықтан, ривароксабанды асқазанға қатысты дистальды енгізуден аулақ болу керек, өйткені бұл сіңірілуінің төмендеуіне және белсенді зат әсерінің төмендеуіне әкелуі мүмкін. 10 мг-ден таблеткаларды  қабылдағаннан кейін бірден энтеральдық тамақтану қажет емес.</w:t>
      </w:r>
    </w:p>
    <w:p w14:paraId="5DDEBAD7" w14:textId="77777777" w:rsidR="00512475" w:rsidRPr="0054098D" w:rsidRDefault="00512475" w:rsidP="008C2F6E">
      <w:pPr>
        <w:widowControl w:val="0"/>
        <w:shd w:val="clear" w:color="auto" w:fill="FFFFFF"/>
        <w:autoSpaceDE w:val="0"/>
        <w:autoSpaceDN w:val="0"/>
        <w:adjustRightInd w:val="0"/>
        <w:jc w:val="both"/>
        <w:rPr>
          <w:lang w:val="kk"/>
        </w:rPr>
      </w:pPr>
    </w:p>
    <w:p w14:paraId="02ED33D6" w14:textId="046142D7" w:rsidR="00E064EF" w:rsidRPr="0054098D" w:rsidRDefault="0054098D" w:rsidP="008C2F6E">
      <w:pPr>
        <w:widowControl w:val="0"/>
        <w:shd w:val="clear" w:color="auto" w:fill="FFFFFF"/>
        <w:autoSpaceDE w:val="0"/>
        <w:autoSpaceDN w:val="0"/>
        <w:adjustRightInd w:val="0"/>
        <w:jc w:val="both"/>
        <w:rPr>
          <w:b/>
          <w:bCs/>
          <w:lang w:val="kk"/>
        </w:rPr>
      </w:pPr>
      <w:r w:rsidRPr="00D84F30">
        <w:rPr>
          <w:b/>
          <w:lang w:val="kk"/>
        </w:rPr>
        <w:t>6.7 Дәріханалардан босатылу шарттары</w:t>
      </w:r>
    </w:p>
    <w:p w14:paraId="290D0269" w14:textId="77777777" w:rsidR="006E3B90" w:rsidRPr="0054098D" w:rsidRDefault="0054098D" w:rsidP="008C2F6E">
      <w:pPr>
        <w:jc w:val="both"/>
        <w:rPr>
          <w:bCs/>
          <w:lang w:val="kk"/>
        </w:rPr>
      </w:pPr>
      <w:r w:rsidRPr="00A04010">
        <w:rPr>
          <w:bCs/>
          <w:lang w:val="kk"/>
        </w:rPr>
        <w:t>Рецепт арқылы</w:t>
      </w:r>
    </w:p>
    <w:p w14:paraId="32BD7AB5" w14:textId="77777777" w:rsidR="00B13C47" w:rsidRPr="0054098D" w:rsidRDefault="00B13C47" w:rsidP="00E064EF">
      <w:pPr>
        <w:rPr>
          <w:lang w:val="kk"/>
        </w:rPr>
      </w:pPr>
    </w:p>
    <w:p w14:paraId="6B6D2469" w14:textId="77777777" w:rsidR="00D15117" w:rsidRPr="0054098D" w:rsidRDefault="0054098D" w:rsidP="00D15117">
      <w:pPr>
        <w:autoSpaceDE w:val="0"/>
        <w:autoSpaceDN w:val="0"/>
        <w:jc w:val="both"/>
        <w:rPr>
          <w:b/>
          <w:lang w:val="kk"/>
        </w:rPr>
      </w:pPr>
      <w:r w:rsidRPr="00D15117">
        <w:rPr>
          <w:b/>
          <w:lang w:val="kk"/>
        </w:rPr>
        <w:t>7. ТІРКЕУ КУӘЛІГІНІҢ ҰСТАУШЫСЫ</w:t>
      </w:r>
    </w:p>
    <w:p w14:paraId="551ACB2D" w14:textId="77777777" w:rsidR="00D15117" w:rsidRPr="0054098D" w:rsidRDefault="0054098D" w:rsidP="00D15117">
      <w:pPr>
        <w:autoSpaceDE w:val="0"/>
        <w:autoSpaceDN w:val="0"/>
        <w:jc w:val="both"/>
        <w:rPr>
          <w:rFonts w:eastAsia="Microsoft Sans Serif"/>
          <w:lang w:val="en-US" w:bidi="ru-RU"/>
        </w:rPr>
      </w:pPr>
      <w:bookmarkStart w:id="18" w:name="_Hlk75182578"/>
      <w:r w:rsidRPr="00D15117">
        <w:rPr>
          <w:rFonts w:eastAsia="Microsoft Sans Serif"/>
          <w:lang w:val="kk" w:bidi="ru-RU"/>
        </w:rPr>
        <w:t>Optimus Pharma Private Limited, Үндістан</w:t>
      </w:r>
    </w:p>
    <w:p w14:paraId="4E67F281" w14:textId="77777777" w:rsidR="00A4749F" w:rsidRDefault="0054098D" w:rsidP="00D15117">
      <w:pPr>
        <w:autoSpaceDE w:val="0"/>
        <w:autoSpaceDN w:val="0"/>
        <w:jc w:val="both"/>
        <w:rPr>
          <w:bCs/>
          <w:lang w:val="uk-UA"/>
        </w:rPr>
      </w:pPr>
      <w:r w:rsidRPr="00D15117">
        <w:rPr>
          <w:bCs/>
          <w:lang w:val="kk"/>
        </w:rPr>
        <w:t xml:space="preserve">Plot No.: 73/B, 73/B/2, EPIP, Pashamylaram Village/Пашамыларам Виллидж, </w:t>
      </w:r>
    </w:p>
    <w:p w14:paraId="6A260D09" w14:textId="17E523B6" w:rsidR="00D15117" w:rsidRPr="00D15117" w:rsidRDefault="0054098D" w:rsidP="00D15117">
      <w:pPr>
        <w:autoSpaceDE w:val="0"/>
        <w:autoSpaceDN w:val="0"/>
        <w:jc w:val="both"/>
        <w:rPr>
          <w:bCs/>
          <w:lang w:val="uk-UA"/>
        </w:rPr>
      </w:pPr>
      <w:r w:rsidRPr="00D15117">
        <w:rPr>
          <w:bCs/>
          <w:lang w:val="kk"/>
        </w:rPr>
        <w:t>Patancheru Mandal, Sangareddy District - 502307, Telangana State, Үндістан.</w:t>
      </w:r>
    </w:p>
    <w:p w14:paraId="50CF0B47" w14:textId="1F4ECB23" w:rsidR="00D15117" w:rsidRPr="00D15117" w:rsidRDefault="0054098D" w:rsidP="00D15117">
      <w:pPr>
        <w:autoSpaceDE w:val="0"/>
        <w:autoSpaceDN w:val="0"/>
        <w:jc w:val="both"/>
        <w:rPr>
          <w:bCs/>
          <w:lang w:val="uk-UA"/>
        </w:rPr>
      </w:pPr>
      <w:r w:rsidRPr="00D15117">
        <w:rPr>
          <w:bCs/>
          <w:lang w:val="kk"/>
        </w:rPr>
        <w:t xml:space="preserve">Тел. + 914033889898, электронды пошта: </w:t>
      </w:r>
      <w:hyperlink r:id="rId10" w:history="1">
        <w:r w:rsidRPr="00D15117">
          <w:rPr>
            <w:bCs/>
            <w:color w:val="0000FF"/>
            <w:u w:val="single"/>
            <w:lang w:val="kk"/>
          </w:rPr>
          <w:t>info@optimuspharma.com</w:t>
        </w:r>
      </w:hyperlink>
    </w:p>
    <w:bookmarkEnd w:id="18"/>
    <w:p w14:paraId="31F08A0C" w14:textId="77777777" w:rsidR="00D15117" w:rsidRPr="00D15117" w:rsidRDefault="00D15117" w:rsidP="00D15117">
      <w:pPr>
        <w:autoSpaceDE w:val="0"/>
        <w:autoSpaceDN w:val="0"/>
        <w:jc w:val="both"/>
        <w:rPr>
          <w:bCs/>
          <w:lang w:val="uk-UA"/>
        </w:rPr>
      </w:pPr>
    </w:p>
    <w:p w14:paraId="73ECAD5F" w14:textId="77777777" w:rsidR="00D15117" w:rsidRPr="00D15117" w:rsidRDefault="0054098D" w:rsidP="00D15117">
      <w:pPr>
        <w:autoSpaceDE w:val="0"/>
        <w:autoSpaceDN w:val="0"/>
        <w:jc w:val="both"/>
        <w:rPr>
          <w:b/>
          <w:lang w:val="uk-UA"/>
        </w:rPr>
      </w:pPr>
      <w:r w:rsidRPr="00D15117">
        <w:rPr>
          <w:b/>
          <w:lang w:val="kk"/>
        </w:rPr>
        <w:t>7.1. ТІРКЕУ КУӘЛІГІ ҰСТАУШЫСЫНЫҢ ӨКІЛІ</w:t>
      </w:r>
    </w:p>
    <w:p w14:paraId="59C40C7F" w14:textId="77777777" w:rsidR="00D15117" w:rsidRPr="0054098D" w:rsidRDefault="0054098D" w:rsidP="00D15117">
      <w:pPr>
        <w:jc w:val="both"/>
        <w:rPr>
          <w:rFonts w:eastAsia="Calibri"/>
          <w:bCs/>
          <w:iCs/>
          <w:lang w:val="uk-UA" w:eastAsia="en-US"/>
        </w:rPr>
      </w:pPr>
      <w:r w:rsidRPr="00D15117">
        <w:rPr>
          <w:rFonts w:eastAsia="Calibri"/>
          <w:bCs/>
          <w:iCs/>
          <w:lang w:val="kk" w:eastAsia="en-US"/>
        </w:rPr>
        <w:t xml:space="preserve">Тұтынушылардың шағымдарын мына мекенжайға жіберу керек:  </w:t>
      </w:r>
    </w:p>
    <w:p w14:paraId="51204F0F" w14:textId="77777777" w:rsidR="00D15117" w:rsidRPr="0054098D" w:rsidRDefault="0054098D" w:rsidP="00D15117">
      <w:pPr>
        <w:jc w:val="both"/>
        <w:rPr>
          <w:rFonts w:eastAsia="Calibri"/>
          <w:bCs/>
          <w:lang w:val="uk-UA" w:eastAsia="en-US"/>
        </w:rPr>
      </w:pPr>
      <w:r w:rsidRPr="00D15117">
        <w:rPr>
          <w:rFonts w:eastAsia="Calibri"/>
          <w:bCs/>
          <w:iCs/>
          <w:lang w:val="kk" w:eastAsia="en-US"/>
        </w:rPr>
        <w:t>Қазақстан</w:t>
      </w:r>
    </w:p>
    <w:p w14:paraId="5F85D401" w14:textId="77777777" w:rsidR="00D15117" w:rsidRPr="0054098D" w:rsidRDefault="0054098D" w:rsidP="00D15117">
      <w:pPr>
        <w:jc w:val="both"/>
        <w:rPr>
          <w:rFonts w:eastAsia="Calibri"/>
          <w:bCs/>
          <w:iCs/>
          <w:lang w:val="uk-UA" w:eastAsia="en-US"/>
        </w:rPr>
      </w:pPr>
      <w:r w:rsidRPr="00D15117">
        <w:rPr>
          <w:rFonts w:eastAsia="Calibri"/>
          <w:bCs/>
          <w:iCs/>
          <w:lang w:val="kk" w:eastAsia="en-US"/>
        </w:rPr>
        <w:t>"Rogers Pharma" ЖШС</w:t>
      </w:r>
    </w:p>
    <w:p w14:paraId="2C23173C" w14:textId="77777777" w:rsidR="00D15117" w:rsidRPr="0054098D" w:rsidRDefault="0054098D" w:rsidP="00D15117">
      <w:pPr>
        <w:jc w:val="both"/>
        <w:rPr>
          <w:rFonts w:eastAsia="Calibri"/>
          <w:bCs/>
          <w:iCs/>
          <w:lang w:val="uk-UA" w:eastAsia="en-US"/>
        </w:rPr>
      </w:pPr>
      <w:r w:rsidRPr="00D15117">
        <w:rPr>
          <w:rFonts w:eastAsia="Calibri"/>
          <w:bCs/>
          <w:iCs/>
          <w:lang w:val="kk" w:eastAsia="en-US"/>
        </w:rPr>
        <w:t xml:space="preserve">050043, Алматы қ., Мирас ш.а., 157, 2-блок, т. е. 819, </w:t>
      </w:r>
    </w:p>
    <w:p w14:paraId="32BD7ABE" w14:textId="12E20566" w:rsidR="00FE15A4" w:rsidRDefault="0054098D" w:rsidP="00192B03">
      <w:pPr>
        <w:jc w:val="both"/>
        <w:rPr>
          <w:rFonts w:eastAsia="Calibri"/>
          <w:bCs/>
          <w:iCs/>
          <w:lang w:val="kk" w:eastAsia="en-US"/>
        </w:rPr>
      </w:pPr>
      <w:r w:rsidRPr="00D15117">
        <w:rPr>
          <w:rFonts w:eastAsia="Calibri"/>
          <w:bCs/>
          <w:iCs/>
          <w:lang w:val="kk" w:eastAsia="en-US"/>
        </w:rPr>
        <w:t xml:space="preserve">Тел.: +7 (727) 3118196/97, электронды пошта: </w:t>
      </w:r>
      <w:hyperlink r:id="rId11" w:history="1">
        <w:r w:rsidR="00512475" w:rsidRPr="0098438C">
          <w:rPr>
            <w:rStyle w:val="af"/>
            <w:rFonts w:eastAsia="Calibri"/>
            <w:bCs/>
            <w:iCs/>
            <w:lang w:val="kk" w:eastAsia="en-US"/>
          </w:rPr>
          <w:t>office.secretary@rogersgroup.in</w:t>
        </w:r>
      </w:hyperlink>
    </w:p>
    <w:p w14:paraId="185BBDA5" w14:textId="77777777" w:rsidR="00512475" w:rsidRPr="00192B03" w:rsidRDefault="00512475" w:rsidP="00192B03">
      <w:pPr>
        <w:jc w:val="both"/>
        <w:rPr>
          <w:rFonts w:eastAsia="Calibri"/>
          <w:bCs/>
          <w:iCs/>
          <w:lang w:eastAsia="en-US"/>
        </w:rPr>
      </w:pPr>
    </w:p>
    <w:p w14:paraId="32BD7ABF" w14:textId="77777777" w:rsidR="00B13C47" w:rsidRPr="00810340" w:rsidRDefault="0054098D" w:rsidP="006E3B90">
      <w:pPr>
        <w:numPr>
          <w:ilvl w:val="0"/>
          <w:numId w:val="25"/>
        </w:numPr>
        <w:jc w:val="both"/>
        <w:rPr>
          <w:b/>
        </w:rPr>
      </w:pPr>
      <w:r w:rsidRPr="00810340">
        <w:rPr>
          <w:b/>
          <w:lang w:val="kk"/>
        </w:rPr>
        <w:t xml:space="preserve">ТІРКЕУ КУӘЛІГІНІҢ НӨМІРІ </w:t>
      </w:r>
    </w:p>
    <w:p w14:paraId="32BD7AC1" w14:textId="3A4ECB32" w:rsidR="00827AAF" w:rsidRPr="006B2B71" w:rsidRDefault="006B2B71" w:rsidP="006B2B71">
      <w:pPr>
        <w:rPr>
          <w:bCs/>
        </w:rPr>
      </w:pPr>
      <w:r w:rsidRPr="006B2B71">
        <w:rPr>
          <w:bCs/>
        </w:rPr>
        <w:t>ҚР-ДЗ-5№025990</w:t>
      </w:r>
    </w:p>
    <w:p w14:paraId="7BD620E4" w14:textId="77777777" w:rsidR="006B2B71" w:rsidRPr="00810340" w:rsidRDefault="006B2B71" w:rsidP="006B2B71">
      <w:pPr>
        <w:rPr>
          <w:b/>
        </w:rPr>
      </w:pPr>
    </w:p>
    <w:p w14:paraId="32BD7AC2" w14:textId="77777777" w:rsidR="00B13C47" w:rsidRPr="00810340" w:rsidRDefault="0054098D" w:rsidP="006E3B90">
      <w:pPr>
        <w:widowControl w:val="0"/>
        <w:numPr>
          <w:ilvl w:val="0"/>
          <w:numId w:val="25"/>
        </w:numPr>
        <w:autoSpaceDE w:val="0"/>
        <w:autoSpaceDN w:val="0"/>
        <w:adjustRightInd w:val="0"/>
        <w:jc w:val="both"/>
        <w:rPr>
          <w:b/>
        </w:rPr>
      </w:pPr>
      <w:r w:rsidRPr="00810340">
        <w:rPr>
          <w:b/>
          <w:bCs/>
          <w:lang w:val="kk"/>
        </w:rPr>
        <w:t>БАСТАПҚЫ ТІРКЕУ КҮНІ</w:t>
      </w:r>
    </w:p>
    <w:p w14:paraId="32BD7AC4" w14:textId="0C6A45DC" w:rsidR="00827AAF" w:rsidRDefault="006B2B71" w:rsidP="006B2B71">
      <w:pPr>
        <w:pStyle w:val="afa"/>
        <w:ind w:left="0"/>
        <w:rPr>
          <w:bCs/>
          <w:sz w:val="24"/>
          <w:szCs w:val="24"/>
        </w:rPr>
      </w:pPr>
      <w:r w:rsidRPr="006B2B71">
        <w:rPr>
          <w:bCs/>
          <w:sz w:val="24"/>
          <w:szCs w:val="24"/>
        </w:rPr>
        <w:t>19.09.2022</w:t>
      </w:r>
    </w:p>
    <w:p w14:paraId="6406B953" w14:textId="77777777" w:rsidR="006B2B71" w:rsidRPr="006B2B71" w:rsidRDefault="006B2B71" w:rsidP="006B2B71">
      <w:pPr>
        <w:pStyle w:val="afa"/>
        <w:ind w:left="0"/>
        <w:rPr>
          <w:bCs/>
          <w:sz w:val="24"/>
          <w:szCs w:val="24"/>
        </w:rPr>
      </w:pPr>
    </w:p>
    <w:p w14:paraId="32BD7AC5" w14:textId="33910E00" w:rsidR="00B13C47" w:rsidRPr="00810340" w:rsidRDefault="0054098D" w:rsidP="006E3B90">
      <w:pPr>
        <w:widowControl w:val="0"/>
        <w:numPr>
          <w:ilvl w:val="0"/>
          <w:numId w:val="25"/>
        </w:numPr>
        <w:autoSpaceDE w:val="0"/>
        <w:autoSpaceDN w:val="0"/>
        <w:adjustRightInd w:val="0"/>
        <w:jc w:val="both"/>
      </w:pPr>
      <w:r w:rsidRPr="00810340">
        <w:rPr>
          <w:b/>
          <w:lang w:val="kk"/>
        </w:rPr>
        <w:t>МӘТІН</w:t>
      </w:r>
      <w:r w:rsidR="00B625B5">
        <w:rPr>
          <w:b/>
          <w:lang w:val="kk-KZ"/>
        </w:rPr>
        <w:t>НІҢ</w:t>
      </w:r>
      <w:r w:rsidRPr="00810340">
        <w:rPr>
          <w:b/>
          <w:lang w:val="kk"/>
        </w:rPr>
        <w:t xml:space="preserve"> ҚАЙТА ҚАРАЛҒАН КҮН</w:t>
      </w:r>
      <w:r w:rsidR="00B625B5">
        <w:rPr>
          <w:b/>
          <w:lang w:val="kk-KZ"/>
        </w:rPr>
        <w:t>І</w:t>
      </w:r>
      <w:r w:rsidRPr="00810340">
        <w:rPr>
          <w:b/>
          <w:lang w:val="kk"/>
        </w:rPr>
        <w:t xml:space="preserve">  </w:t>
      </w:r>
    </w:p>
    <w:p w14:paraId="332C0B37" w14:textId="77777777" w:rsidR="00192B03" w:rsidRDefault="00192B03" w:rsidP="006E3B90">
      <w:pPr>
        <w:jc w:val="both"/>
      </w:pPr>
    </w:p>
    <w:p w14:paraId="04DE0C53" w14:textId="05F56B8F" w:rsidR="00192B03" w:rsidRDefault="0054098D" w:rsidP="006E3B90">
      <w:pPr>
        <w:jc w:val="both"/>
      </w:pPr>
      <w:r w:rsidRPr="00F92826">
        <w:rPr>
          <w:lang w:val="kk"/>
        </w:rPr>
        <w:t xml:space="preserve">Дәрілік препараттың жалпы сипаттамасын  </w:t>
      </w:r>
    </w:p>
    <w:p w14:paraId="32BD7ACA" w14:textId="35CBDC01" w:rsidR="00B07C97" w:rsidRPr="00810340" w:rsidRDefault="006B2B71" w:rsidP="006E3B90">
      <w:pPr>
        <w:jc w:val="both"/>
      </w:pPr>
      <w:hyperlink r:id="rId12" w:history="1">
        <w:r w:rsidR="00192B03" w:rsidRPr="000215DD">
          <w:rPr>
            <w:rStyle w:val="af"/>
            <w:lang w:val="kk"/>
          </w:rPr>
          <w:t xml:space="preserve">http://www.ndda.kz ресми сайтынан көруге болады  </w:t>
        </w:r>
      </w:hyperlink>
    </w:p>
    <w:p w14:paraId="32BD7ACB" w14:textId="77777777" w:rsidR="00972C74" w:rsidRPr="00810340" w:rsidRDefault="00972C74" w:rsidP="006E3B90"/>
    <w:sectPr w:rsidR="00972C74" w:rsidRPr="00810340" w:rsidSect="00962CF5">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K)">
    <w:altName w:val="Times New Roman"/>
    <w:charset w:val="CC"/>
    <w:family w:val="roman"/>
    <w:pitch w:val="variable"/>
    <w:sig w:usb0="8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Times Kaz">
    <w:altName w:val="Courier New"/>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0000402"/>
    <w:multiLevelType w:val="multilevel"/>
    <w:tmpl w:val="00000885"/>
    <w:lvl w:ilvl="0">
      <w:numFmt w:val="bullet"/>
      <w:lvlText w:val=""/>
      <w:lvlJc w:val="left"/>
      <w:pPr>
        <w:ind w:left="642" w:hanging="540"/>
      </w:pPr>
      <w:rPr>
        <w:rFonts w:ascii="Symbol" w:hAnsi="Symbol" w:cs="Symbol"/>
        <w:b w:val="0"/>
        <w:bCs w:val="0"/>
        <w:sz w:val="24"/>
        <w:szCs w:val="24"/>
      </w:rPr>
    </w:lvl>
    <w:lvl w:ilvl="1">
      <w:numFmt w:val="bullet"/>
      <w:lvlText w:val=""/>
      <w:lvlJc w:val="left"/>
      <w:pPr>
        <w:ind w:left="822" w:hanging="360"/>
      </w:pPr>
      <w:rPr>
        <w:rFonts w:ascii="Symbol" w:hAnsi="Symbol" w:cs="Symbol"/>
        <w:b w:val="0"/>
        <w:bCs w:val="0"/>
        <w:sz w:val="24"/>
        <w:szCs w:val="24"/>
      </w:rPr>
    </w:lvl>
    <w:lvl w:ilvl="2">
      <w:numFmt w:val="bullet"/>
      <w:lvlText w:val="•"/>
      <w:lvlJc w:val="left"/>
      <w:pPr>
        <w:ind w:left="1793" w:hanging="360"/>
      </w:pPr>
    </w:lvl>
    <w:lvl w:ilvl="3">
      <w:numFmt w:val="bullet"/>
      <w:lvlText w:val="•"/>
      <w:lvlJc w:val="left"/>
      <w:pPr>
        <w:ind w:left="2765" w:hanging="360"/>
      </w:pPr>
    </w:lvl>
    <w:lvl w:ilvl="4">
      <w:numFmt w:val="bullet"/>
      <w:lvlText w:val="•"/>
      <w:lvlJc w:val="left"/>
      <w:pPr>
        <w:ind w:left="3736" w:hanging="360"/>
      </w:pPr>
    </w:lvl>
    <w:lvl w:ilvl="5">
      <w:numFmt w:val="bullet"/>
      <w:lvlText w:val="•"/>
      <w:lvlJc w:val="left"/>
      <w:pPr>
        <w:ind w:left="4708" w:hanging="360"/>
      </w:pPr>
    </w:lvl>
    <w:lvl w:ilvl="6">
      <w:numFmt w:val="bullet"/>
      <w:lvlText w:val="•"/>
      <w:lvlJc w:val="left"/>
      <w:pPr>
        <w:ind w:left="5680" w:hanging="360"/>
      </w:pPr>
    </w:lvl>
    <w:lvl w:ilvl="7">
      <w:numFmt w:val="bullet"/>
      <w:lvlText w:val="•"/>
      <w:lvlJc w:val="left"/>
      <w:pPr>
        <w:ind w:left="6651" w:hanging="360"/>
      </w:pPr>
    </w:lvl>
    <w:lvl w:ilvl="8">
      <w:numFmt w:val="bullet"/>
      <w:lvlText w:val="•"/>
      <w:lvlJc w:val="left"/>
      <w:pPr>
        <w:ind w:left="7623" w:hanging="360"/>
      </w:pPr>
    </w:lvl>
  </w:abstractNum>
  <w:abstractNum w:abstractNumId="2" w15:restartNumberingAfterBreak="0">
    <w:nsid w:val="00000404"/>
    <w:multiLevelType w:val="multilevel"/>
    <w:tmpl w:val="00000887"/>
    <w:lvl w:ilvl="0">
      <w:start w:val="1"/>
      <w:numFmt w:val="decimal"/>
      <w:lvlText w:val="%1."/>
      <w:lvlJc w:val="left"/>
      <w:pPr>
        <w:ind w:left="102" w:hanging="360"/>
      </w:pPr>
      <w:rPr>
        <w:rFonts w:ascii="Times New Roman" w:hAnsi="Times New Roman" w:cs="Times New Roman"/>
        <w:b w:val="0"/>
        <w:bCs w:val="0"/>
        <w:sz w:val="24"/>
        <w:szCs w:val="24"/>
      </w:rPr>
    </w:lvl>
    <w:lvl w:ilvl="1">
      <w:numFmt w:val="bullet"/>
      <w:lvlText w:val=""/>
      <w:lvlJc w:val="left"/>
      <w:pPr>
        <w:ind w:left="788" w:hanging="567"/>
      </w:pPr>
      <w:rPr>
        <w:rFonts w:ascii="Symbol" w:hAnsi="Symbol" w:cs="Symbol"/>
        <w:b w:val="0"/>
        <w:bCs w:val="0"/>
        <w:sz w:val="24"/>
        <w:szCs w:val="24"/>
      </w:rPr>
    </w:lvl>
    <w:lvl w:ilvl="2">
      <w:numFmt w:val="bullet"/>
      <w:lvlText w:val="•"/>
      <w:lvlJc w:val="left"/>
      <w:pPr>
        <w:ind w:left="1763" w:hanging="567"/>
      </w:pPr>
    </w:lvl>
    <w:lvl w:ilvl="3">
      <w:numFmt w:val="bullet"/>
      <w:lvlText w:val="•"/>
      <w:lvlJc w:val="left"/>
      <w:pPr>
        <w:ind w:left="2739" w:hanging="567"/>
      </w:pPr>
    </w:lvl>
    <w:lvl w:ilvl="4">
      <w:numFmt w:val="bullet"/>
      <w:lvlText w:val="•"/>
      <w:lvlJc w:val="left"/>
      <w:pPr>
        <w:ind w:left="3714" w:hanging="567"/>
      </w:pPr>
    </w:lvl>
    <w:lvl w:ilvl="5">
      <w:numFmt w:val="bullet"/>
      <w:lvlText w:val="•"/>
      <w:lvlJc w:val="left"/>
      <w:pPr>
        <w:ind w:left="4689" w:hanging="567"/>
      </w:pPr>
    </w:lvl>
    <w:lvl w:ilvl="6">
      <w:numFmt w:val="bullet"/>
      <w:lvlText w:val="•"/>
      <w:lvlJc w:val="left"/>
      <w:pPr>
        <w:ind w:left="5665" w:hanging="567"/>
      </w:pPr>
    </w:lvl>
    <w:lvl w:ilvl="7">
      <w:numFmt w:val="bullet"/>
      <w:lvlText w:val="•"/>
      <w:lvlJc w:val="left"/>
      <w:pPr>
        <w:ind w:left="6640" w:hanging="567"/>
      </w:pPr>
    </w:lvl>
    <w:lvl w:ilvl="8">
      <w:numFmt w:val="bullet"/>
      <w:lvlText w:val="•"/>
      <w:lvlJc w:val="left"/>
      <w:pPr>
        <w:ind w:left="7615" w:hanging="567"/>
      </w:pPr>
    </w:lvl>
  </w:abstractNum>
  <w:abstractNum w:abstractNumId="3" w15:restartNumberingAfterBreak="0">
    <w:nsid w:val="03091754"/>
    <w:multiLevelType w:val="hybridMultilevel"/>
    <w:tmpl w:val="C5AAAB4A"/>
    <w:lvl w:ilvl="0" w:tplc="B4943E02">
      <w:start w:val="1"/>
      <w:numFmt w:val="decimal"/>
      <w:lvlText w:val="%1."/>
      <w:lvlJc w:val="left"/>
      <w:pPr>
        <w:ind w:left="720" w:hanging="360"/>
      </w:pPr>
      <w:rPr>
        <w:rFonts w:hint="default"/>
        <w:b/>
      </w:rPr>
    </w:lvl>
    <w:lvl w:ilvl="1" w:tplc="330CBC3C">
      <w:start w:val="1"/>
      <w:numFmt w:val="lowerLetter"/>
      <w:lvlText w:val="%2."/>
      <w:lvlJc w:val="left"/>
      <w:pPr>
        <w:ind w:left="1440" w:hanging="360"/>
      </w:pPr>
    </w:lvl>
    <w:lvl w:ilvl="2" w:tplc="E4ECCF24" w:tentative="1">
      <w:start w:val="1"/>
      <w:numFmt w:val="lowerRoman"/>
      <w:lvlText w:val="%3."/>
      <w:lvlJc w:val="right"/>
      <w:pPr>
        <w:ind w:left="2160" w:hanging="180"/>
      </w:pPr>
    </w:lvl>
    <w:lvl w:ilvl="3" w:tplc="33547A1A" w:tentative="1">
      <w:start w:val="1"/>
      <w:numFmt w:val="decimal"/>
      <w:lvlText w:val="%4."/>
      <w:lvlJc w:val="left"/>
      <w:pPr>
        <w:ind w:left="2880" w:hanging="360"/>
      </w:pPr>
    </w:lvl>
    <w:lvl w:ilvl="4" w:tplc="A9D26A00" w:tentative="1">
      <w:start w:val="1"/>
      <w:numFmt w:val="lowerLetter"/>
      <w:lvlText w:val="%5."/>
      <w:lvlJc w:val="left"/>
      <w:pPr>
        <w:ind w:left="3600" w:hanging="360"/>
      </w:pPr>
    </w:lvl>
    <w:lvl w:ilvl="5" w:tplc="FA1E032E" w:tentative="1">
      <w:start w:val="1"/>
      <w:numFmt w:val="lowerRoman"/>
      <w:lvlText w:val="%6."/>
      <w:lvlJc w:val="right"/>
      <w:pPr>
        <w:ind w:left="4320" w:hanging="180"/>
      </w:pPr>
    </w:lvl>
    <w:lvl w:ilvl="6" w:tplc="3E021D6E" w:tentative="1">
      <w:start w:val="1"/>
      <w:numFmt w:val="decimal"/>
      <w:lvlText w:val="%7."/>
      <w:lvlJc w:val="left"/>
      <w:pPr>
        <w:ind w:left="5040" w:hanging="360"/>
      </w:pPr>
    </w:lvl>
    <w:lvl w:ilvl="7" w:tplc="578034CC" w:tentative="1">
      <w:start w:val="1"/>
      <w:numFmt w:val="lowerLetter"/>
      <w:lvlText w:val="%8."/>
      <w:lvlJc w:val="left"/>
      <w:pPr>
        <w:ind w:left="5760" w:hanging="360"/>
      </w:pPr>
    </w:lvl>
    <w:lvl w:ilvl="8" w:tplc="C77EE042" w:tentative="1">
      <w:start w:val="1"/>
      <w:numFmt w:val="lowerRoman"/>
      <w:lvlText w:val="%9."/>
      <w:lvlJc w:val="right"/>
      <w:pPr>
        <w:ind w:left="6480" w:hanging="180"/>
      </w:pPr>
    </w:lvl>
  </w:abstractNum>
  <w:abstractNum w:abstractNumId="4" w15:restartNumberingAfterBreak="0">
    <w:nsid w:val="0310310F"/>
    <w:multiLevelType w:val="hybridMultilevel"/>
    <w:tmpl w:val="AAF63550"/>
    <w:lvl w:ilvl="0" w:tplc="F0AEE3EE">
      <w:start w:val="1"/>
      <w:numFmt w:val="lowerLetter"/>
      <w:lvlText w:val="%1)"/>
      <w:lvlJc w:val="left"/>
      <w:pPr>
        <w:ind w:left="1206" w:hanging="533"/>
      </w:pPr>
      <w:rPr>
        <w:rFonts w:ascii="Times New Roman" w:eastAsia="Times New Roman" w:hAnsi="Times New Roman" w:cs="Times New Roman" w:hint="default"/>
        <w:spacing w:val="-4"/>
        <w:w w:val="103"/>
        <w:sz w:val="20"/>
        <w:szCs w:val="20"/>
      </w:rPr>
    </w:lvl>
    <w:lvl w:ilvl="1" w:tplc="A5D09192">
      <w:numFmt w:val="bullet"/>
      <w:lvlText w:val="•"/>
      <w:lvlJc w:val="left"/>
      <w:pPr>
        <w:ind w:left="2048" w:hanging="533"/>
      </w:pPr>
      <w:rPr>
        <w:rFonts w:hint="default"/>
      </w:rPr>
    </w:lvl>
    <w:lvl w:ilvl="2" w:tplc="1ABE6A08">
      <w:numFmt w:val="bullet"/>
      <w:lvlText w:val="•"/>
      <w:lvlJc w:val="left"/>
      <w:pPr>
        <w:ind w:left="2896" w:hanging="533"/>
      </w:pPr>
      <w:rPr>
        <w:rFonts w:hint="default"/>
      </w:rPr>
    </w:lvl>
    <w:lvl w:ilvl="3" w:tplc="33188F94">
      <w:numFmt w:val="bullet"/>
      <w:lvlText w:val="•"/>
      <w:lvlJc w:val="left"/>
      <w:pPr>
        <w:ind w:left="3744" w:hanging="533"/>
      </w:pPr>
      <w:rPr>
        <w:rFonts w:hint="default"/>
      </w:rPr>
    </w:lvl>
    <w:lvl w:ilvl="4" w:tplc="9E302B84">
      <w:numFmt w:val="bullet"/>
      <w:lvlText w:val="•"/>
      <w:lvlJc w:val="left"/>
      <w:pPr>
        <w:ind w:left="4592" w:hanging="533"/>
      </w:pPr>
      <w:rPr>
        <w:rFonts w:hint="default"/>
      </w:rPr>
    </w:lvl>
    <w:lvl w:ilvl="5" w:tplc="EABA6D6E">
      <w:numFmt w:val="bullet"/>
      <w:lvlText w:val="•"/>
      <w:lvlJc w:val="left"/>
      <w:pPr>
        <w:ind w:left="5440" w:hanging="533"/>
      </w:pPr>
      <w:rPr>
        <w:rFonts w:hint="default"/>
      </w:rPr>
    </w:lvl>
    <w:lvl w:ilvl="6" w:tplc="81C615DA">
      <w:numFmt w:val="bullet"/>
      <w:lvlText w:val="•"/>
      <w:lvlJc w:val="left"/>
      <w:pPr>
        <w:ind w:left="6288" w:hanging="533"/>
      </w:pPr>
      <w:rPr>
        <w:rFonts w:hint="default"/>
      </w:rPr>
    </w:lvl>
    <w:lvl w:ilvl="7" w:tplc="D020DE84">
      <w:numFmt w:val="bullet"/>
      <w:lvlText w:val="•"/>
      <w:lvlJc w:val="left"/>
      <w:pPr>
        <w:ind w:left="7136" w:hanging="533"/>
      </w:pPr>
      <w:rPr>
        <w:rFonts w:hint="default"/>
      </w:rPr>
    </w:lvl>
    <w:lvl w:ilvl="8" w:tplc="2BD86388">
      <w:numFmt w:val="bullet"/>
      <w:lvlText w:val="•"/>
      <w:lvlJc w:val="left"/>
      <w:pPr>
        <w:ind w:left="7984" w:hanging="533"/>
      </w:pPr>
      <w:rPr>
        <w:rFonts w:hint="default"/>
      </w:rPr>
    </w:lvl>
  </w:abstractNum>
  <w:abstractNum w:abstractNumId="5" w15:restartNumberingAfterBreak="0">
    <w:nsid w:val="07377859"/>
    <w:multiLevelType w:val="hybridMultilevel"/>
    <w:tmpl w:val="FDAA2B10"/>
    <w:lvl w:ilvl="0" w:tplc="4B22CD7E">
      <w:start w:val="14"/>
      <w:numFmt w:val="bullet"/>
      <w:lvlText w:val="-"/>
      <w:lvlJc w:val="left"/>
      <w:pPr>
        <w:ind w:left="720" w:hanging="360"/>
      </w:pPr>
      <w:rPr>
        <w:rFonts w:ascii="Times New Roman" w:eastAsia="SimSun" w:hAnsi="Times New Roman" w:cs="Times New Roman" w:hint="default"/>
      </w:rPr>
    </w:lvl>
    <w:lvl w:ilvl="1" w:tplc="D65C2C14" w:tentative="1">
      <w:start w:val="1"/>
      <w:numFmt w:val="bullet"/>
      <w:lvlText w:val="o"/>
      <w:lvlJc w:val="left"/>
      <w:pPr>
        <w:ind w:left="1440" w:hanging="360"/>
      </w:pPr>
      <w:rPr>
        <w:rFonts w:ascii="Courier New" w:hAnsi="Courier New" w:cs="Courier New" w:hint="default"/>
      </w:rPr>
    </w:lvl>
    <w:lvl w:ilvl="2" w:tplc="613245DC" w:tentative="1">
      <w:start w:val="1"/>
      <w:numFmt w:val="bullet"/>
      <w:lvlText w:val=""/>
      <w:lvlJc w:val="left"/>
      <w:pPr>
        <w:ind w:left="2160" w:hanging="360"/>
      </w:pPr>
      <w:rPr>
        <w:rFonts w:ascii="Wingdings" w:hAnsi="Wingdings" w:hint="default"/>
      </w:rPr>
    </w:lvl>
    <w:lvl w:ilvl="3" w:tplc="9882415C" w:tentative="1">
      <w:start w:val="1"/>
      <w:numFmt w:val="bullet"/>
      <w:lvlText w:val=""/>
      <w:lvlJc w:val="left"/>
      <w:pPr>
        <w:ind w:left="2880" w:hanging="360"/>
      </w:pPr>
      <w:rPr>
        <w:rFonts w:ascii="Symbol" w:hAnsi="Symbol" w:hint="default"/>
      </w:rPr>
    </w:lvl>
    <w:lvl w:ilvl="4" w:tplc="DC5C3B0A" w:tentative="1">
      <w:start w:val="1"/>
      <w:numFmt w:val="bullet"/>
      <w:lvlText w:val="o"/>
      <w:lvlJc w:val="left"/>
      <w:pPr>
        <w:ind w:left="3600" w:hanging="360"/>
      </w:pPr>
      <w:rPr>
        <w:rFonts w:ascii="Courier New" w:hAnsi="Courier New" w:cs="Courier New" w:hint="default"/>
      </w:rPr>
    </w:lvl>
    <w:lvl w:ilvl="5" w:tplc="820A5FAC" w:tentative="1">
      <w:start w:val="1"/>
      <w:numFmt w:val="bullet"/>
      <w:lvlText w:val=""/>
      <w:lvlJc w:val="left"/>
      <w:pPr>
        <w:ind w:left="4320" w:hanging="360"/>
      </w:pPr>
      <w:rPr>
        <w:rFonts w:ascii="Wingdings" w:hAnsi="Wingdings" w:hint="default"/>
      </w:rPr>
    </w:lvl>
    <w:lvl w:ilvl="6" w:tplc="A872B400" w:tentative="1">
      <w:start w:val="1"/>
      <w:numFmt w:val="bullet"/>
      <w:lvlText w:val=""/>
      <w:lvlJc w:val="left"/>
      <w:pPr>
        <w:ind w:left="5040" w:hanging="360"/>
      </w:pPr>
      <w:rPr>
        <w:rFonts w:ascii="Symbol" w:hAnsi="Symbol" w:hint="default"/>
      </w:rPr>
    </w:lvl>
    <w:lvl w:ilvl="7" w:tplc="F8FA4FE2" w:tentative="1">
      <w:start w:val="1"/>
      <w:numFmt w:val="bullet"/>
      <w:lvlText w:val="o"/>
      <w:lvlJc w:val="left"/>
      <w:pPr>
        <w:ind w:left="5760" w:hanging="360"/>
      </w:pPr>
      <w:rPr>
        <w:rFonts w:ascii="Courier New" w:hAnsi="Courier New" w:cs="Courier New" w:hint="default"/>
      </w:rPr>
    </w:lvl>
    <w:lvl w:ilvl="8" w:tplc="ED882B0E" w:tentative="1">
      <w:start w:val="1"/>
      <w:numFmt w:val="bullet"/>
      <w:lvlText w:val=""/>
      <w:lvlJc w:val="left"/>
      <w:pPr>
        <w:ind w:left="6480" w:hanging="360"/>
      </w:pPr>
      <w:rPr>
        <w:rFonts w:ascii="Wingdings" w:hAnsi="Wingdings" w:hint="default"/>
      </w:rPr>
    </w:lvl>
  </w:abstractNum>
  <w:abstractNum w:abstractNumId="6" w15:restartNumberingAfterBreak="0">
    <w:nsid w:val="0B155A31"/>
    <w:multiLevelType w:val="hybridMultilevel"/>
    <w:tmpl w:val="F7F640E8"/>
    <w:lvl w:ilvl="0" w:tplc="9418ECDE">
      <w:start w:val="1"/>
      <w:numFmt w:val="decimal"/>
      <w:lvlText w:val="%1."/>
      <w:lvlJc w:val="left"/>
      <w:pPr>
        <w:ind w:left="435" w:hanging="360"/>
      </w:pPr>
      <w:rPr>
        <w:rFonts w:ascii="Times New Roman" w:eastAsia="Times New Roman" w:hAnsi="Times New Roman" w:cs="Times New Roman"/>
      </w:rPr>
    </w:lvl>
    <w:lvl w:ilvl="1" w:tplc="C380AEA2" w:tentative="1">
      <w:start w:val="1"/>
      <w:numFmt w:val="bullet"/>
      <w:lvlText w:val="o"/>
      <w:lvlJc w:val="left"/>
      <w:pPr>
        <w:ind w:left="1155" w:hanging="360"/>
      </w:pPr>
      <w:rPr>
        <w:rFonts w:ascii="Courier New" w:hAnsi="Courier New" w:cs="Courier New" w:hint="default"/>
      </w:rPr>
    </w:lvl>
    <w:lvl w:ilvl="2" w:tplc="258CED22" w:tentative="1">
      <w:start w:val="1"/>
      <w:numFmt w:val="bullet"/>
      <w:lvlText w:val=""/>
      <w:lvlJc w:val="left"/>
      <w:pPr>
        <w:ind w:left="1875" w:hanging="360"/>
      </w:pPr>
      <w:rPr>
        <w:rFonts w:ascii="Wingdings" w:hAnsi="Wingdings" w:hint="default"/>
      </w:rPr>
    </w:lvl>
    <w:lvl w:ilvl="3" w:tplc="BF7A496E" w:tentative="1">
      <w:start w:val="1"/>
      <w:numFmt w:val="bullet"/>
      <w:lvlText w:val=""/>
      <w:lvlJc w:val="left"/>
      <w:pPr>
        <w:ind w:left="2595" w:hanging="360"/>
      </w:pPr>
      <w:rPr>
        <w:rFonts w:ascii="Symbol" w:hAnsi="Symbol" w:hint="default"/>
      </w:rPr>
    </w:lvl>
    <w:lvl w:ilvl="4" w:tplc="52980610" w:tentative="1">
      <w:start w:val="1"/>
      <w:numFmt w:val="bullet"/>
      <w:lvlText w:val="o"/>
      <w:lvlJc w:val="left"/>
      <w:pPr>
        <w:ind w:left="3315" w:hanging="360"/>
      </w:pPr>
      <w:rPr>
        <w:rFonts w:ascii="Courier New" w:hAnsi="Courier New" w:cs="Courier New" w:hint="default"/>
      </w:rPr>
    </w:lvl>
    <w:lvl w:ilvl="5" w:tplc="EA0C5E56" w:tentative="1">
      <w:start w:val="1"/>
      <w:numFmt w:val="bullet"/>
      <w:lvlText w:val=""/>
      <w:lvlJc w:val="left"/>
      <w:pPr>
        <w:ind w:left="4035" w:hanging="360"/>
      </w:pPr>
      <w:rPr>
        <w:rFonts w:ascii="Wingdings" w:hAnsi="Wingdings" w:hint="default"/>
      </w:rPr>
    </w:lvl>
    <w:lvl w:ilvl="6" w:tplc="88046E9E" w:tentative="1">
      <w:start w:val="1"/>
      <w:numFmt w:val="bullet"/>
      <w:lvlText w:val=""/>
      <w:lvlJc w:val="left"/>
      <w:pPr>
        <w:ind w:left="4755" w:hanging="360"/>
      </w:pPr>
      <w:rPr>
        <w:rFonts w:ascii="Symbol" w:hAnsi="Symbol" w:hint="default"/>
      </w:rPr>
    </w:lvl>
    <w:lvl w:ilvl="7" w:tplc="1FC06C4E" w:tentative="1">
      <w:start w:val="1"/>
      <w:numFmt w:val="bullet"/>
      <w:lvlText w:val="o"/>
      <w:lvlJc w:val="left"/>
      <w:pPr>
        <w:ind w:left="5475" w:hanging="360"/>
      </w:pPr>
      <w:rPr>
        <w:rFonts w:ascii="Courier New" w:hAnsi="Courier New" w:cs="Courier New" w:hint="default"/>
      </w:rPr>
    </w:lvl>
    <w:lvl w:ilvl="8" w:tplc="6A94479E" w:tentative="1">
      <w:start w:val="1"/>
      <w:numFmt w:val="bullet"/>
      <w:lvlText w:val=""/>
      <w:lvlJc w:val="left"/>
      <w:pPr>
        <w:ind w:left="6195" w:hanging="360"/>
      </w:pPr>
      <w:rPr>
        <w:rFonts w:ascii="Wingdings" w:hAnsi="Wingdings" w:hint="default"/>
      </w:rPr>
    </w:lvl>
  </w:abstractNum>
  <w:abstractNum w:abstractNumId="7" w15:restartNumberingAfterBreak="0">
    <w:nsid w:val="0BDC2BCB"/>
    <w:multiLevelType w:val="hybridMultilevel"/>
    <w:tmpl w:val="CAC8ECEA"/>
    <w:lvl w:ilvl="0" w:tplc="1BAE4814">
      <w:start w:val="14"/>
      <w:numFmt w:val="bullet"/>
      <w:lvlText w:val="-"/>
      <w:lvlJc w:val="left"/>
      <w:pPr>
        <w:ind w:left="525" w:hanging="360"/>
      </w:pPr>
      <w:rPr>
        <w:rFonts w:ascii="Times New Roman" w:eastAsia="SimSun" w:hAnsi="Times New Roman" w:cs="Times New Roman" w:hint="default"/>
      </w:rPr>
    </w:lvl>
    <w:lvl w:ilvl="1" w:tplc="8076C204" w:tentative="1">
      <w:start w:val="1"/>
      <w:numFmt w:val="bullet"/>
      <w:lvlText w:val="o"/>
      <w:lvlJc w:val="left"/>
      <w:pPr>
        <w:ind w:left="1245" w:hanging="360"/>
      </w:pPr>
      <w:rPr>
        <w:rFonts w:ascii="Courier New" w:hAnsi="Courier New" w:cs="Courier New" w:hint="default"/>
      </w:rPr>
    </w:lvl>
    <w:lvl w:ilvl="2" w:tplc="C4323E8C" w:tentative="1">
      <w:start w:val="1"/>
      <w:numFmt w:val="bullet"/>
      <w:lvlText w:val=""/>
      <w:lvlJc w:val="left"/>
      <w:pPr>
        <w:ind w:left="1965" w:hanging="360"/>
      </w:pPr>
      <w:rPr>
        <w:rFonts w:ascii="Wingdings" w:hAnsi="Wingdings" w:hint="default"/>
      </w:rPr>
    </w:lvl>
    <w:lvl w:ilvl="3" w:tplc="037AC550" w:tentative="1">
      <w:start w:val="1"/>
      <w:numFmt w:val="bullet"/>
      <w:lvlText w:val=""/>
      <w:lvlJc w:val="left"/>
      <w:pPr>
        <w:ind w:left="2685" w:hanging="360"/>
      </w:pPr>
      <w:rPr>
        <w:rFonts w:ascii="Symbol" w:hAnsi="Symbol" w:hint="default"/>
      </w:rPr>
    </w:lvl>
    <w:lvl w:ilvl="4" w:tplc="083E70B0" w:tentative="1">
      <w:start w:val="1"/>
      <w:numFmt w:val="bullet"/>
      <w:lvlText w:val="o"/>
      <w:lvlJc w:val="left"/>
      <w:pPr>
        <w:ind w:left="3405" w:hanging="360"/>
      </w:pPr>
      <w:rPr>
        <w:rFonts w:ascii="Courier New" w:hAnsi="Courier New" w:cs="Courier New" w:hint="default"/>
      </w:rPr>
    </w:lvl>
    <w:lvl w:ilvl="5" w:tplc="7B98F3BA" w:tentative="1">
      <w:start w:val="1"/>
      <w:numFmt w:val="bullet"/>
      <w:lvlText w:val=""/>
      <w:lvlJc w:val="left"/>
      <w:pPr>
        <w:ind w:left="4125" w:hanging="360"/>
      </w:pPr>
      <w:rPr>
        <w:rFonts w:ascii="Wingdings" w:hAnsi="Wingdings" w:hint="default"/>
      </w:rPr>
    </w:lvl>
    <w:lvl w:ilvl="6" w:tplc="DDD272EE" w:tentative="1">
      <w:start w:val="1"/>
      <w:numFmt w:val="bullet"/>
      <w:lvlText w:val=""/>
      <w:lvlJc w:val="left"/>
      <w:pPr>
        <w:ind w:left="4845" w:hanging="360"/>
      </w:pPr>
      <w:rPr>
        <w:rFonts w:ascii="Symbol" w:hAnsi="Symbol" w:hint="default"/>
      </w:rPr>
    </w:lvl>
    <w:lvl w:ilvl="7" w:tplc="7348F028" w:tentative="1">
      <w:start w:val="1"/>
      <w:numFmt w:val="bullet"/>
      <w:lvlText w:val="o"/>
      <w:lvlJc w:val="left"/>
      <w:pPr>
        <w:ind w:left="5565" w:hanging="360"/>
      </w:pPr>
      <w:rPr>
        <w:rFonts w:ascii="Courier New" w:hAnsi="Courier New" w:cs="Courier New" w:hint="default"/>
      </w:rPr>
    </w:lvl>
    <w:lvl w:ilvl="8" w:tplc="C8C2359E" w:tentative="1">
      <w:start w:val="1"/>
      <w:numFmt w:val="bullet"/>
      <w:lvlText w:val=""/>
      <w:lvlJc w:val="left"/>
      <w:pPr>
        <w:ind w:left="6285" w:hanging="360"/>
      </w:pPr>
      <w:rPr>
        <w:rFonts w:ascii="Wingdings" w:hAnsi="Wingdings" w:hint="default"/>
      </w:rPr>
    </w:lvl>
  </w:abstractNum>
  <w:abstractNum w:abstractNumId="8" w15:restartNumberingAfterBreak="0">
    <w:nsid w:val="0DD009FA"/>
    <w:multiLevelType w:val="hybridMultilevel"/>
    <w:tmpl w:val="205A9B9C"/>
    <w:lvl w:ilvl="0" w:tplc="FD28A1F2">
      <w:start w:val="4"/>
      <w:numFmt w:val="bullet"/>
      <w:lvlText w:val="-"/>
      <w:lvlJc w:val="left"/>
      <w:pPr>
        <w:ind w:left="720" w:hanging="360"/>
      </w:pPr>
      <w:rPr>
        <w:rFonts w:ascii="Times New Roman" w:eastAsia="Times New Roman" w:hAnsi="Times New Roman" w:cs="Times New Roman" w:hint="default"/>
        <w:sz w:val="28"/>
      </w:rPr>
    </w:lvl>
    <w:lvl w:ilvl="1" w:tplc="6A8E3D9E" w:tentative="1">
      <w:start w:val="1"/>
      <w:numFmt w:val="bullet"/>
      <w:lvlText w:val="o"/>
      <w:lvlJc w:val="left"/>
      <w:pPr>
        <w:ind w:left="1440" w:hanging="360"/>
      </w:pPr>
      <w:rPr>
        <w:rFonts w:ascii="Courier New" w:hAnsi="Courier New" w:cs="Courier New" w:hint="default"/>
      </w:rPr>
    </w:lvl>
    <w:lvl w:ilvl="2" w:tplc="6A78F96E" w:tentative="1">
      <w:start w:val="1"/>
      <w:numFmt w:val="bullet"/>
      <w:lvlText w:val=""/>
      <w:lvlJc w:val="left"/>
      <w:pPr>
        <w:ind w:left="2160" w:hanging="360"/>
      </w:pPr>
      <w:rPr>
        <w:rFonts w:ascii="Wingdings" w:hAnsi="Wingdings" w:hint="default"/>
      </w:rPr>
    </w:lvl>
    <w:lvl w:ilvl="3" w:tplc="88ACC8EA" w:tentative="1">
      <w:start w:val="1"/>
      <w:numFmt w:val="bullet"/>
      <w:lvlText w:val=""/>
      <w:lvlJc w:val="left"/>
      <w:pPr>
        <w:ind w:left="2880" w:hanging="360"/>
      </w:pPr>
      <w:rPr>
        <w:rFonts w:ascii="Symbol" w:hAnsi="Symbol" w:hint="default"/>
      </w:rPr>
    </w:lvl>
    <w:lvl w:ilvl="4" w:tplc="3D6A5DF4" w:tentative="1">
      <w:start w:val="1"/>
      <w:numFmt w:val="bullet"/>
      <w:lvlText w:val="o"/>
      <w:lvlJc w:val="left"/>
      <w:pPr>
        <w:ind w:left="3600" w:hanging="360"/>
      </w:pPr>
      <w:rPr>
        <w:rFonts w:ascii="Courier New" w:hAnsi="Courier New" w:cs="Courier New" w:hint="default"/>
      </w:rPr>
    </w:lvl>
    <w:lvl w:ilvl="5" w:tplc="C5607654" w:tentative="1">
      <w:start w:val="1"/>
      <w:numFmt w:val="bullet"/>
      <w:lvlText w:val=""/>
      <w:lvlJc w:val="left"/>
      <w:pPr>
        <w:ind w:left="4320" w:hanging="360"/>
      </w:pPr>
      <w:rPr>
        <w:rFonts w:ascii="Wingdings" w:hAnsi="Wingdings" w:hint="default"/>
      </w:rPr>
    </w:lvl>
    <w:lvl w:ilvl="6" w:tplc="FC1C844A" w:tentative="1">
      <w:start w:val="1"/>
      <w:numFmt w:val="bullet"/>
      <w:lvlText w:val=""/>
      <w:lvlJc w:val="left"/>
      <w:pPr>
        <w:ind w:left="5040" w:hanging="360"/>
      </w:pPr>
      <w:rPr>
        <w:rFonts w:ascii="Symbol" w:hAnsi="Symbol" w:hint="default"/>
      </w:rPr>
    </w:lvl>
    <w:lvl w:ilvl="7" w:tplc="ABB01242" w:tentative="1">
      <w:start w:val="1"/>
      <w:numFmt w:val="bullet"/>
      <w:lvlText w:val="o"/>
      <w:lvlJc w:val="left"/>
      <w:pPr>
        <w:ind w:left="5760" w:hanging="360"/>
      </w:pPr>
      <w:rPr>
        <w:rFonts w:ascii="Courier New" w:hAnsi="Courier New" w:cs="Courier New" w:hint="default"/>
      </w:rPr>
    </w:lvl>
    <w:lvl w:ilvl="8" w:tplc="C09831F2" w:tentative="1">
      <w:start w:val="1"/>
      <w:numFmt w:val="bullet"/>
      <w:lvlText w:val=""/>
      <w:lvlJc w:val="left"/>
      <w:pPr>
        <w:ind w:left="6480" w:hanging="360"/>
      </w:pPr>
      <w:rPr>
        <w:rFonts w:ascii="Wingdings" w:hAnsi="Wingdings" w:hint="default"/>
      </w:rPr>
    </w:lvl>
  </w:abstractNum>
  <w:abstractNum w:abstractNumId="9" w15:restartNumberingAfterBreak="0">
    <w:nsid w:val="12F91E44"/>
    <w:multiLevelType w:val="hybridMultilevel"/>
    <w:tmpl w:val="98AC6EA2"/>
    <w:lvl w:ilvl="0" w:tplc="BF386854">
      <w:start w:val="1"/>
      <w:numFmt w:val="bullet"/>
      <w:lvlText w:val=""/>
      <w:lvlJc w:val="left"/>
      <w:pPr>
        <w:tabs>
          <w:tab w:val="num" w:pos="1428"/>
        </w:tabs>
        <w:ind w:left="1428" w:hanging="360"/>
      </w:pPr>
      <w:rPr>
        <w:rFonts w:ascii="Symbol" w:hAnsi="Symbol" w:hint="default"/>
        <w:color w:val="auto"/>
      </w:rPr>
    </w:lvl>
    <w:lvl w:ilvl="1" w:tplc="DBFCD876" w:tentative="1">
      <w:start w:val="1"/>
      <w:numFmt w:val="bullet"/>
      <w:lvlText w:val="o"/>
      <w:lvlJc w:val="left"/>
      <w:pPr>
        <w:tabs>
          <w:tab w:val="num" w:pos="1440"/>
        </w:tabs>
        <w:ind w:left="1440" w:hanging="360"/>
      </w:pPr>
      <w:rPr>
        <w:rFonts w:ascii="Courier New" w:hAnsi="Courier New" w:cs="Courier New" w:hint="default"/>
      </w:rPr>
    </w:lvl>
    <w:lvl w:ilvl="2" w:tplc="C48A9612" w:tentative="1">
      <w:start w:val="1"/>
      <w:numFmt w:val="bullet"/>
      <w:lvlText w:val=""/>
      <w:lvlJc w:val="left"/>
      <w:pPr>
        <w:tabs>
          <w:tab w:val="num" w:pos="2160"/>
        </w:tabs>
        <w:ind w:left="2160" w:hanging="360"/>
      </w:pPr>
      <w:rPr>
        <w:rFonts w:ascii="Wingdings" w:hAnsi="Wingdings" w:hint="default"/>
      </w:rPr>
    </w:lvl>
    <w:lvl w:ilvl="3" w:tplc="C77C7C00" w:tentative="1">
      <w:start w:val="1"/>
      <w:numFmt w:val="bullet"/>
      <w:lvlText w:val=""/>
      <w:lvlJc w:val="left"/>
      <w:pPr>
        <w:tabs>
          <w:tab w:val="num" w:pos="2880"/>
        </w:tabs>
        <w:ind w:left="2880" w:hanging="360"/>
      </w:pPr>
      <w:rPr>
        <w:rFonts w:ascii="Symbol" w:hAnsi="Symbol" w:hint="default"/>
      </w:rPr>
    </w:lvl>
    <w:lvl w:ilvl="4" w:tplc="8F7AD6C8" w:tentative="1">
      <w:start w:val="1"/>
      <w:numFmt w:val="bullet"/>
      <w:lvlText w:val="o"/>
      <w:lvlJc w:val="left"/>
      <w:pPr>
        <w:tabs>
          <w:tab w:val="num" w:pos="3600"/>
        </w:tabs>
        <w:ind w:left="3600" w:hanging="360"/>
      </w:pPr>
      <w:rPr>
        <w:rFonts w:ascii="Courier New" w:hAnsi="Courier New" w:cs="Courier New" w:hint="default"/>
      </w:rPr>
    </w:lvl>
    <w:lvl w:ilvl="5" w:tplc="35A4507E" w:tentative="1">
      <w:start w:val="1"/>
      <w:numFmt w:val="bullet"/>
      <w:lvlText w:val=""/>
      <w:lvlJc w:val="left"/>
      <w:pPr>
        <w:tabs>
          <w:tab w:val="num" w:pos="4320"/>
        </w:tabs>
        <w:ind w:left="4320" w:hanging="360"/>
      </w:pPr>
      <w:rPr>
        <w:rFonts w:ascii="Wingdings" w:hAnsi="Wingdings" w:hint="default"/>
      </w:rPr>
    </w:lvl>
    <w:lvl w:ilvl="6" w:tplc="69AA2C36" w:tentative="1">
      <w:start w:val="1"/>
      <w:numFmt w:val="bullet"/>
      <w:lvlText w:val=""/>
      <w:lvlJc w:val="left"/>
      <w:pPr>
        <w:tabs>
          <w:tab w:val="num" w:pos="5040"/>
        </w:tabs>
        <w:ind w:left="5040" w:hanging="360"/>
      </w:pPr>
      <w:rPr>
        <w:rFonts w:ascii="Symbol" w:hAnsi="Symbol" w:hint="default"/>
      </w:rPr>
    </w:lvl>
    <w:lvl w:ilvl="7" w:tplc="A32EC4A0" w:tentative="1">
      <w:start w:val="1"/>
      <w:numFmt w:val="bullet"/>
      <w:lvlText w:val="o"/>
      <w:lvlJc w:val="left"/>
      <w:pPr>
        <w:tabs>
          <w:tab w:val="num" w:pos="5760"/>
        </w:tabs>
        <w:ind w:left="5760" w:hanging="360"/>
      </w:pPr>
      <w:rPr>
        <w:rFonts w:ascii="Courier New" w:hAnsi="Courier New" w:cs="Courier New" w:hint="default"/>
      </w:rPr>
    </w:lvl>
    <w:lvl w:ilvl="8" w:tplc="D9CC22C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643B51"/>
    <w:multiLevelType w:val="hybridMultilevel"/>
    <w:tmpl w:val="8A823856"/>
    <w:lvl w:ilvl="0" w:tplc="850450D8">
      <w:start w:val="72"/>
      <w:numFmt w:val="decimal"/>
      <w:lvlText w:val="%1"/>
      <w:lvlJc w:val="left"/>
      <w:pPr>
        <w:ind w:left="720" w:hanging="360"/>
      </w:pPr>
      <w:rPr>
        <w:rFonts w:hint="default"/>
      </w:rPr>
    </w:lvl>
    <w:lvl w:ilvl="1" w:tplc="F8706184" w:tentative="1">
      <w:start w:val="1"/>
      <w:numFmt w:val="lowerLetter"/>
      <w:lvlText w:val="%2."/>
      <w:lvlJc w:val="left"/>
      <w:pPr>
        <w:ind w:left="1440" w:hanging="360"/>
      </w:pPr>
    </w:lvl>
    <w:lvl w:ilvl="2" w:tplc="912240FA" w:tentative="1">
      <w:start w:val="1"/>
      <w:numFmt w:val="lowerRoman"/>
      <w:lvlText w:val="%3."/>
      <w:lvlJc w:val="right"/>
      <w:pPr>
        <w:ind w:left="2160" w:hanging="180"/>
      </w:pPr>
    </w:lvl>
    <w:lvl w:ilvl="3" w:tplc="15C69156" w:tentative="1">
      <w:start w:val="1"/>
      <w:numFmt w:val="decimal"/>
      <w:lvlText w:val="%4."/>
      <w:lvlJc w:val="left"/>
      <w:pPr>
        <w:ind w:left="2880" w:hanging="360"/>
      </w:pPr>
    </w:lvl>
    <w:lvl w:ilvl="4" w:tplc="2AF44FDE" w:tentative="1">
      <w:start w:val="1"/>
      <w:numFmt w:val="lowerLetter"/>
      <w:lvlText w:val="%5."/>
      <w:lvlJc w:val="left"/>
      <w:pPr>
        <w:ind w:left="3600" w:hanging="360"/>
      </w:pPr>
    </w:lvl>
    <w:lvl w:ilvl="5" w:tplc="5F3E367E" w:tentative="1">
      <w:start w:val="1"/>
      <w:numFmt w:val="lowerRoman"/>
      <w:lvlText w:val="%6."/>
      <w:lvlJc w:val="right"/>
      <w:pPr>
        <w:ind w:left="4320" w:hanging="180"/>
      </w:pPr>
    </w:lvl>
    <w:lvl w:ilvl="6" w:tplc="05862E3C" w:tentative="1">
      <w:start w:val="1"/>
      <w:numFmt w:val="decimal"/>
      <w:lvlText w:val="%7."/>
      <w:lvlJc w:val="left"/>
      <w:pPr>
        <w:ind w:left="5040" w:hanging="360"/>
      </w:pPr>
    </w:lvl>
    <w:lvl w:ilvl="7" w:tplc="4412E254" w:tentative="1">
      <w:start w:val="1"/>
      <w:numFmt w:val="lowerLetter"/>
      <w:lvlText w:val="%8."/>
      <w:lvlJc w:val="left"/>
      <w:pPr>
        <w:ind w:left="5760" w:hanging="360"/>
      </w:pPr>
    </w:lvl>
    <w:lvl w:ilvl="8" w:tplc="2F46F490" w:tentative="1">
      <w:start w:val="1"/>
      <w:numFmt w:val="lowerRoman"/>
      <w:lvlText w:val="%9."/>
      <w:lvlJc w:val="right"/>
      <w:pPr>
        <w:ind w:left="6480" w:hanging="180"/>
      </w:pPr>
    </w:lvl>
  </w:abstractNum>
  <w:abstractNum w:abstractNumId="11" w15:restartNumberingAfterBreak="0">
    <w:nsid w:val="17873A4B"/>
    <w:multiLevelType w:val="hybridMultilevel"/>
    <w:tmpl w:val="2918C674"/>
    <w:lvl w:ilvl="0" w:tplc="8AAA1AE0">
      <w:start w:val="1"/>
      <w:numFmt w:val="lowerLetter"/>
      <w:lvlText w:val="%1)"/>
      <w:lvlJc w:val="left"/>
      <w:pPr>
        <w:ind w:left="1206" w:hanging="533"/>
      </w:pPr>
      <w:rPr>
        <w:rFonts w:ascii="Times New Roman" w:eastAsia="Times New Roman" w:hAnsi="Times New Roman" w:cs="Times New Roman" w:hint="default"/>
        <w:spacing w:val="-4"/>
        <w:w w:val="103"/>
        <w:sz w:val="20"/>
        <w:szCs w:val="20"/>
      </w:rPr>
    </w:lvl>
    <w:lvl w:ilvl="1" w:tplc="62466D96">
      <w:numFmt w:val="bullet"/>
      <w:lvlText w:val="•"/>
      <w:lvlJc w:val="left"/>
      <w:pPr>
        <w:ind w:left="2048" w:hanging="533"/>
      </w:pPr>
      <w:rPr>
        <w:rFonts w:hint="default"/>
      </w:rPr>
    </w:lvl>
    <w:lvl w:ilvl="2" w:tplc="82AEDEF8">
      <w:numFmt w:val="bullet"/>
      <w:lvlText w:val="•"/>
      <w:lvlJc w:val="left"/>
      <w:pPr>
        <w:ind w:left="2896" w:hanging="533"/>
      </w:pPr>
      <w:rPr>
        <w:rFonts w:hint="default"/>
      </w:rPr>
    </w:lvl>
    <w:lvl w:ilvl="3" w:tplc="75ACD234">
      <w:numFmt w:val="bullet"/>
      <w:lvlText w:val="•"/>
      <w:lvlJc w:val="left"/>
      <w:pPr>
        <w:ind w:left="3744" w:hanging="533"/>
      </w:pPr>
      <w:rPr>
        <w:rFonts w:hint="default"/>
      </w:rPr>
    </w:lvl>
    <w:lvl w:ilvl="4" w:tplc="965CB050">
      <w:numFmt w:val="bullet"/>
      <w:lvlText w:val="•"/>
      <w:lvlJc w:val="left"/>
      <w:pPr>
        <w:ind w:left="4592" w:hanging="533"/>
      </w:pPr>
      <w:rPr>
        <w:rFonts w:hint="default"/>
      </w:rPr>
    </w:lvl>
    <w:lvl w:ilvl="5" w:tplc="8FFAFD78">
      <w:numFmt w:val="bullet"/>
      <w:lvlText w:val="•"/>
      <w:lvlJc w:val="left"/>
      <w:pPr>
        <w:ind w:left="5440" w:hanging="533"/>
      </w:pPr>
      <w:rPr>
        <w:rFonts w:hint="default"/>
      </w:rPr>
    </w:lvl>
    <w:lvl w:ilvl="6" w:tplc="7856F954">
      <w:numFmt w:val="bullet"/>
      <w:lvlText w:val="•"/>
      <w:lvlJc w:val="left"/>
      <w:pPr>
        <w:ind w:left="6288" w:hanging="533"/>
      </w:pPr>
      <w:rPr>
        <w:rFonts w:hint="default"/>
      </w:rPr>
    </w:lvl>
    <w:lvl w:ilvl="7" w:tplc="A85A060C">
      <w:numFmt w:val="bullet"/>
      <w:lvlText w:val="•"/>
      <w:lvlJc w:val="left"/>
      <w:pPr>
        <w:ind w:left="7136" w:hanging="533"/>
      </w:pPr>
      <w:rPr>
        <w:rFonts w:hint="default"/>
      </w:rPr>
    </w:lvl>
    <w:lvl w:ilvl="8" w:tplc="66B6DF06">
      <w:numFmt w:val="bullet"/>
      <w:lvlText w:val="•"/>
      <w:lvlJc w:val="left"/>
      <w:pPr>
        <w:ind w:left="7984" w:hanging="533"/>
      </w:pPr>
      <w:rPr>
        <w:rFonts w:hint="default"/>
      </w:rPr>
    </w:lvl>
  </w:abstractNum>
  <w:abstractNum w:abstractNumId="12" w15:restartNumberingAfterBreak="0">
    <w:nsid w:val="18E2412C"/>
    <w:multiLevelType w:val="hybridMultilevel"/>
    <w:tmpl w:val="C5AAAB4A"/>
    <w:lvl w:ilvl="0" w:tplc="DB4A43CA">
      <w:start w:val="1"/>
      <w:numFmt w:val="decimal"/>
      <w:lvlText w:val="%1."/>
      <w:lvlJc w:val="left"/>
      <w:pPr>
        <w:ind w:left="720" w:hanging="360"/>
      </w:pPr>
      <w:rPr>
        <w:rFonts w:hint="default"/>
        <w:b/>
      </w:rPr>
    </w:lvl>
    <w:lvl w:ilvl="1" w:tplc="0BE001BA">
      <w:start w:val="1"/>
      <w:numFmt w:val="lowerLetter"/>
      <w:lvlText w:val="%2."/>
      <w:lvlJc w:val="left"/>
      <w:pPr>
        <w:ind w:left="1440" w:hanging="360"/>
      </w:pPr>
    </w:lvl>
    <w:lvl w:ilvl="2" w:tplc="8EEEBBE2" w:tentative="1">
      <w:start w:val="1"/>
      <w:numFmt w:val="lowerRoman"/>
      <w:lvlText w:val="%3."/>
      <w:lvlJc w:val="right"/>
      <w:pPr>
        <w:ind w:left="2160" w:hanging="180"/>
      </w:pPr>
    </w:lvl>
    <w:lvl w:ilvl="3" w:tplc="59C416B8" w:tentative="1">
      <w:start w:val="1"/>
      <w:numFmt w:val="decimal"/>
      <w:lvlText w:val="%4."/>
      <w:lvlJc w:val="left"/>
      <w:pPr>
        <w:ind w:left="2880" w:hanging="360"/>
      </w:pPr>
    </w:lvl>
    <w:lvl w:ilvl="4" w:tplc="D7186D78" w:tentative="1">
      <w:start w:val="1"/>
      <w:numFmt w:val="lowerLetter"/>
      <w:lvlText w:val="%5."/>
      <w:lvlJc w:val="left"/>
      <w:pPr>
        <w:ind w:left="3600" w:hanging="360"/>
      </w:pPr>
    </w:lvl>
    <w:lvl w:ilvl="5" w:tplc="35A207A2" w:tentative="1">
      <w:start w:val="1"/>
      <w:numFmt w:val="lowerRoman"/>
      <w:lvlText w:val="%6."/>
      <w:lvlJc w:val="right"/>
      <w:pPr>
        <w:ind w:left="4320" w:hanging="180"/>
      </w:pPr>
    </w:lvl>
    <w:lvl w:ilvl="6" w:tplc="30BAA8DC" w:tentative="1">
      <w:start w:val="1"/>
      <w:numFmt w:val="decimal"/>
      <w:lvlText w:val="%7."/>
      <w:lvlJc w:val="left"/>
      <w:pPr>
        <w:ind w:left="5040" w:hanging="360"/>
      </w:pPr>
    </w:lvl>
    <w:lvl w:ilvl="7" w:tplc="B0E4B7CC" w:tentative="1">
      <w:start w:val="1"/>
      <w:numFmt w:val="lowerLetter"/>
      <w:lvlText w:val="%8."/>
      <w:lvlJc w:val="left"/>
      <w:pPr>
        <w:ind w:left="5760" w:hanging="360"/>
      </w:pPr>
    </w:lvl>
    <w:lvl w:ilvl="8" w:tplc="9554241A" w:tentative="1">
      <w:start w:val="1"/>
      <w:numFmt w:val="lowerRoman"/>
      <w:lvlText w:val="%9."/>
      <w:lvlJc w:val="right"/>
      <w:pPr>
        <w:ind w:left="6480" w:hanging="180"/>
      </w:pPr>
    </w:lvl>
  </w:abstractNum>
  <w:abstractNum w:abstractNumId="13" w15:restartNumberingAfterBreak="0">
    <w:nsid w:val="1E9F7609"/>
    <w:multiLevelType w:val="hybridMultilevel"/>
    <w:tmpl w:val="C5AAAB4A"/>
    <w:lvl w:ilvl="0" w:tplc="0AA6ED1E">
      <w:start w:val="1"/>
      <w:numFmt w:val="decimal"/>
      <w:lvlText w:val="%1."/>
      <w:lvlJc w:val="left"/>
      <w:pPr>
        <w:ind w:left="720" w:hanging="360"/>
      </w:pPr>
      <w:rPr>
        <w:rFonts w:hint="default"/>
        <w:b/>
      </w:rPr>
    </w:lvl>
    <w:lvl w:ilvl="1" w:tplc="29EA5C6C">
      <w:start w:val="1"/>
      <w:numFmt w:val="lowerLetter"/>
      <w:lvlText w:val="%2."/>
      <w:lvlJc w:val="left"/>
      <w:pPr>
        <w:ind w:left="1440" w:hanging="360"/>
      </w:pPr>
    </w:lvl>
    <w:lvl w:ilvl="2" w:tplc="0660094E" w:tentative="1">
      <w:start w:val="1"/>
      <w:numFmt w:val="lowerRoman"/>
      <w:lvlText w:val="%3."/>
      <w:lvlJc w:val="right"/>
      <w:pPr>
        <w:ind w:left="2160" w:hanging="180"/>
      </w:pPr>
    </w:lvl>
    <w:lvl w:ilvl="3" w:tplc="755A8080" w:tentative="1">
      <w:start w:val="1"/>
      <w:numFmt w:val="decimal"/>
      <w:lvlText w:val="%4."/>
      <w:lvlJc w:val="left"/>
      <w:pPr>
        <w:ind w:left="2880" w:hanging="360"/>
      </w:pPr>
    </w:lvl>
    <w:lvl w:ilvl="4" w:tplc="1B1C509A" w:tentative="1">
      <w:start w:val="1"/>
      <w:numFmt w:val="lowerLetter"/>
      <w:lvlText w:val="%5."/>
      <w:lvlJc w:val="left"/>
      <w:pPr>
        <w:ind w:left="3600" w:hanging="360"/>
      </w:pPr>
    </w:lvl>
    <w:lvl w:ilvl="5" w:tplc="82384068" w:tentative="1">
      <w:start w:val="1"/>
      <w:numFmt w:val="lowerRoman"/>
      <w:lvlText w:val="%6."/>
      <w:lvlJc w:val="right"/>
      <w:pPr>
        <w:ind w:left="4320" w:hanging="180"/>
      </w:pPr>
    </w:lvl>
    <w:lvl w:ilvl="6" w:tplc="3B28FB78" w:tentative="1">
      <w:start w:val="1"/>
      <w:numFmt w:val="decimal"/>
      <w:lvlText w:val="%7."/>
      <w:lvlJc w:val="left"/>
      <w:pPr>
        <w:ind w:left="5040" w:hanging="360"/>
      </w:pPr>
    </w:lvl>
    <w:lvl w:ilvl="7" w:tplc="F19EFF5E" w:tentative="1">
      <w:start w:val="1"/>
      <w:numFmt w:val="lowerLetter"/>
      <w:lvlText w:val="%8."/>
      <w:lvlJc w:val="left"/>
      <w:pPr>
        <w:ind w:left="5760" w:hanging="360"/>
      </w:pPr>
    </w:lvl>
    <w:lvl w:ilvl="8" w:tplc="4A3E9F36" w:tentative="1">
      <w:start w:val="1"/>
      <w:numFmt w:val="lowerRoman"/>
      <w:lvlText w:val="%9."/>
      <w:lvlJc w:val="right"/>
      <w:pPr>
        <w:ind w:left="6480" w:hanging="180"/>
      </w:pPr>
    </w:lvl>
  </w:abstractNum>
  <w:abstractNum w:abstractNumId="14" w15:restartNumberingAfterBreak="0">
    <w:nsid w:val="261D6201"/>
    <w:multiLevelType w:val="hybridMultilevel"/>
    <w:tmpl w:val="71C8A010"/>
    <w:lvl w:ilvl="0" w:tplc="B36A9340">
      <w:start w:val="1"/>
      <w:numFmt w:val="bullet"/>
      <w:lvlText w:val=""/>
      <w:lvlJc w:val="left"/>
      <w:pPr>
        <w:ind w:left="720" w:hanging="360"/>
      </w:pPr>
      <w:rPr>
        <w:rFonts w:ascii="Symbol" w:hAnsi="Symbol" w:hint="default"/>
      </w:rPr>
    </w:lvl>
    <w:lvl w:ilvl="1" w:tplc="666257CA" w:tentative="1">
      <w:start w:val="1"/>
      <w:numFmt w:val="bullet"/>
      <w:lvlText w:val="o"/>
      <w:lvlJc w:val="left"/>
      <w:pPr>
        <w:ind w:left="1440" w:hanging="360"/>
      </w:pPr>
      <w:rPr>
        <w:rFonts w:ascii="Courier New" w:hAnsi="Courier New" w:cs="Courier New" w:hint="default"/>
      </w:rPr>
    </w:lvl>
    <w:lvl w:ilvl="2" w:tplc="4D2266B6" w:tentative="1">
      <w:start w:val="1"/>
      <w:numFmt w:val="bullet"/>
      <w:lvlText w:val=""/>
      <w:lvlJc w:val="left"/>
      <w:pPr>
        <w:ind w:left="2160" w:hanging="360"/>
      </w:pPr>
      <w:rPr>
        <w:rFonts w:ascii="Wingdings" w:hAnsi="Wingdings" w:hint="default"/>
      </w:rPr>
    </w:lvl>
    <w:lvl w:ilvl="3" w:tplc="D2E432C6" w:tentative="1">
      <w:start w:val="1"/>
      <w:numFmt w:val="bullet"/>
      <w:lvlText w:val=""/>
      <w:lvlJc w:val="left"/>
      <w:pPr>
        <w:ind w:left="2880" w:hanging="360"/>
      </w:pPr>
      <w:rPr>
        <w:rFonts w:ascii="Symbol" w:hAnsi="Symbol" w:hint="default"/>
      </w:rPr>
    </w:lvl>
    <w:lvl w:ilvl="4" w:tplc="305C9134" w:tentative="1">
      <w:start w:val="1"/>
      <w:numFmt w:val="bullet"/>
      <w:lvlText w:val="o"/>
      <w:lvlJc w:val="left"/>
      <w:pPr>
        <w:ind w:left="3600" w:hanging="360"/>
      </w:pPr>
      <w:rPr>
        <w:rFonts w:ascii="Courier New" w:hAnsi="Courier New" w:cs="Courier New" w:hint="default"/>
      </w:rPr>
    </w:lvl>
    <w:lvl w:ilvl="5" w:tplc="EF58A2B2" w:tentative="1">
      <w:start w:val="1"/>
      <w:numFmt w:val="bullet"/>
      <w:lvlText w:val=""/>
      <w:lvlJc w:val="left"/>
      <w:pPr>
        <w:ind w:left="4320" w:hanging="360"/>
      </w:pPr>
      <w:rPr>
        <w:rFonts w:ascii="Wingdings" w:hAnsi="Wingdings" w:hint="default"/>
      </w:rPr>
    </w:lvl>
    <w:lvl w:ilvl="6" w:tplc="02A6EA0E" w:tentative="1">
      <w:start w:val="1"/>
      <w:numFmt w:val="bullet"/>
      <w:lvlText w:val=""/>
      <w:lvlJc w:val="left"/>
      <w:pPr>
        <w:ind w:left="5040" w:hanging="360"/>
      </w:pPr>
      <w:rPr>
        <w:rFonts w:ascii="Symbol" w:hAnsi="Symbol" w:hint="default"/>
      </w:rPr>
    </w:lvl>
    <w:lvl w:ilvl="7" w:tplc="B1AC8CB0" w:tentative="1">
      <w:start w:val="1"/>
      <w:numFmt w:val="bullet"/>
      <w:lvlText w:val="o"/>
      <w:lvlJc w:val="left"/>
      <w:pPr>
        <w:ind w:left="5760" w:hanging="360"/>
      </w:pPr>
      <w:rPr>
        <w:rFonts w:ascii="Courier New" w:hAnsi="Courier New" w:cs="Courier New" w:hint="default"/>
      </w:rPr>
    </w:lvl>
    <w:lvl w:ilvl="8" w:tplc="C6ECEBAA" w:tentative="1">
      <w:start w:val="1"/>
      <w:numFmt w:val="bullet"/>
      <w:lvlText w:val=""/>
      <w:lvlJc w:val="left"/>
      <w:pPr>
        <w:ind w:left="6480" w:hanging="360"/>
      </w:pPr>
      <w:rPr>
        <w:rFonts w:ascii="Wingdings" w:hAnsi="Wingdings" w:hint="default"/>
      </w:rPr>
    </w:lvl>
  </w:abstractNum>
  <w:abstractNum w:abstractNumId="15" w15:restartNumberingAfterBreak="0">
    <w:nsid w:val="27744E7C"/>
    <w:multiLevelType w:val="hybridMultilevel"/>
    <w:tmpl w:val="79E6FFB2"/>
    <w:lvl w:ilvl="0" w:tplc="E1E00256">
      <w:start w:val="1"/>
      <w:numFmt w:val="bullet"/>
      <w:lvlText w:val=""/>
      <w:lvlJc w:val="left"/>
      <w:pPr>
        <w:tabs>
          <w:tab w:val="num" w:pos="720"/>
        </w:tabs>
        <w:ind w:left="720" w:hanging="360"/>
      </w:pPr>
      <w:rPr>
        <w:rFonts w:ascii="Symbol" w:hAnsi="Symbol" w:hint="default"/>
      </w:rPr>
    </w:lvl>
    <w:lvl w:ilvl="1" w:tplc="E7A8CA88" w:tentative="1">
      <w:start w:val="1"/>
      <w:numFmt w:val="bullet"/>
      <w:lvlText w:val="o"/>
      <w:lvlJc w:val="left"/>
      <w:pPr>
        <w:tabs>
          <w:tab w:val="num" w:pos="1440"/>
        </w:tabs>
        <w:ind w:left="1440" w:hanging="360"/>
      </w:pPr>
      <w:rPr>
        <w:rFonts w:ascii="Courier New" w:hAnsi="Courier New" w:cs="Courier New" w:hint="default"/>
      </w:rPr>
    </w:lvl>
    <w:lvl w:ilvl="2" w:tplc="446E7EEC" w:tentative="1">
      <w:start w:val="1"/>
      <w:numFmt w:val="bullet"/>
      <w:lvlText w:val=""/>
      <w:lvlJc w:val="left"/>
      <w:pPr>
        <w:tabs>
          <w:tab w:val="num" w:pos="2160"/>
        </w:tabs>
        <w:ind w:left="2160" w:hanging="360"/>
      </w:pPr>
      <w:rPr>
        <w:rFonts w:ascii="Wingdings" w:hAnsi="Wingdings" w:hint="default"/>
      </w:rPr>
    </w:lvl>
    <w:lvl w:ilvl="3" w:tplc="A732DC58" w:tentative="1">
      <w:start w:val="1"/>
      <w:numFmt w:val="bullet"/>
      <w:lvlText w:val=""/>
      <w:lvlJc w:val="left"/>
      <w:pPr>
        <w:tabs>
          <w:tab w:val="num" w:pos="2880"/>
        </w:tabs>
        <w:ind w:left="2880" w:hanging="360"/>
      </w:pPr>
      <w:rPr>
        <w:rFonts w:ascii="Symbol" w:hAnsi="Symbol" w:hint="default"/>
      </w:rPr>
    </w:lvl>
    <w:lvl w:ilvl="4" w:tplc="9E48CCEE" w:tentative="1">
      <w:start w:val="1"/>
      <w:numFmt w:val="bullet"/>
      <w:lvlText w:val="o"/>
      <w:lvlJc w:val="left"/>
      <w:pPr>
        <w:tabs>
          <w:tab w:val="num" w:pos="3600"/>
        </w:tabs>
        <w:ind w:left="3600" w:hanging="360"/>
      </w:pPr>
      <w:rPr>
        <w:rFonts w:ascii="Courier New" w:hAnsi="Courier New" w:cs="Courier New" w:hint="default"/>
      </w:rPr>
    </w:lvl>
    <w:lvl w:ilvl="5" w:tplc="46E8C15E" w:tentative="1">
      <w:start w:val="1"/>
      <w:numFmt w:val="bullet"/>
      <w:lvlText w:val=""/>
      <w:lvlJc w:val="left"/>
      <w:pPr>
        <w:tabs>
          <w:tab w:val="num" w:pos="4320"/>
        </w:tabs>
        <w:ind w:left="4320" w:hanging="360"/>
      </w:pPr>
      <w:rPr>
        <w:rFonts w:ascii="Wingdings" w:hAnsi="Wingdings" w:hint="default"/>
      </w:rPr>
    </w:lvl>
    <w:lvl w:ilvl="6" w:tplc="AF6AF450" w:tentative="1">
      <w:start w:val="1"/>
      <w:numFmt w:val="bullet"/>
      <w:lvlText w:val=""/>
      <w:lvlJc w:val="left"/>
      <w:pPr>
        <w:tabs>
          <w:tab w:val="num" w:pos="5040"/>
        </w:tabs>
        <w:ind w:left="5040" w:hanging="360"/>
      </w:pPr>
      <w:rPr>
        <w:rFonts w:ascii="Symbol" w:hAnsi="Symbol" w:hint="default"/>
      </w:rPr>
    </w:lvl>
    <w:lvl w:ilvl="7" w:tplc="4582FD40" w:tentative="1">
      <w:start w:val="1"/>
      <w:numFmt w:val="bullet"/>
      <w:lvlText w:val="o"/>
      <w:lvlJc w:val="left"/>
      <w:pPr>
        <w:tabs>
          <w:tab w:val="num" w:pos="5760"/>
        </w:tabs>
        <w:ind w:left="5760" w:hanging="360"/>
      </w:pPr>
      <w:rPr>
        <w:rFonts w:ascii="Courier New" w:hAnsi="Courier New" w:cs="Courier New" w:hint="default"/>
      </w:rPr>
    </w:lvl>
    <w:lvl w:ilvl="8" w:tplc="391C541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137C24"/>
    <w:multiLevelType w:val="hybridMultilevel"/>
    <w:tmpl w:val="F10887BE"/>
    <w:lvl w:ilvl="0" w:tplc="F1086610">
      <w:start w:val="1"/>
      <w:numFmt w:val="bullet"/>
      <w:lvlText w:val=""/>
      <w:lvlJc w:val="left"/>
      <w:pPr>
        <w:tabs>
          <w:tab w:val="num" w:pos="720"/>
        </w:tabs>
        <w:ind w:left="720" w:hanging="360"/>
      </w:pPr>
      <w:rPr>
        <w:rFonts w:ascii="Symbol" w:hAnsi="Symbol" w:hint="default"/>
      </w:rPr>
    </w:lvl>
    <w:lvl w:ilvl="1" w:tplc="D578ED68">
      <w:numFmt w:val="bullet"/>
      <w:lvlText w:val="–"/>
      <w:lvlJc w:val="left"/>
      <w:pPr>
        <w:tabs>
          <w:tab w:val="num" w:pos="1455"/>
        </w:tabs>
        <w:ind w:left="1455" w:hanging="375"/>
      </w:pPr>
      <w:rPr>
        <w:rFonts w:ascii="Times New Roman(K)" w:eastAsia="Times New Roman" w:hAnsi="Times New Roman(K)" w:cs="Times New Roman" w:hint="default"/>
      </w:rPr>
    </w:lvl>
    <w:lvl w:ilvl="2" w:tplc="3CFAB080" w:tentative="1">
      <w:start w:val="1"/>
      <w:numFmt w:val="bullet"/>
      <w:lvlText w:val=""/>
      <w:lvlJc w:val="left"/>
      <w:pPr>
        <w:tabs>
          <w:tab w:val="num" w:pos="2160"/>
        </w:tabs>
        <w:ind w:left="2160" w:hanging="360"/>
      </w:pPr>
      <w:rPr>
        <w:rFonts w:ascii="Wingdings" w:hAnsi="Wingdings" w:hint="default"/>
      </w:rPr>
    </w:lvl>
    <w:lvl w:ilvl="3" w:tplc="912E02D6" w:tentative="1">
      <w:start w:val="1"/>
      <w:numFmt w:val="bullet"/>
      <w:lvlText w:val=""/>
      <w:lvlJc w:val="left"/>
      <w:pPr>
        <w:tabs>
          <w:tab w:val="num" w:pos="2880"/>
        </w:tabs>
        <w:ind w:left="2880" w:hanging="360"/>
      </w:pPr>
      <w:rPr>
        <w:rFonts w:ascii="Symbol" w:hAnsi="Symbol" w:hint="default"/>
      </w:rPr>
    </w:lvl>
    <w:lvl w:ilvl="4" w:tplc="3EA21DDC" w:tentative="1">
      <w:start w:val="1"/>
      <w:numFmt w:val="bullet"/>
      <w:lvlText w:val="o"/>
      <w:lvlJc w:val="left"/>
      <w:pPr>
        <w:tabs>
          <w:tab w:val="num" w:pos="3600"/>
        </w:tabs>
        <w:ind w:left="3600" w:hanging="360"/>
      </w:pPr>
      <w:rPr>
        <w:rFonts w:ascii="Courier New" w:hAnsi="Courier New" w:cs="Courier New" w:hint="default"/>
      </w:rPr>
    </w:lvl>
    <w:lvl w:ilvl="5" w:tplc="E9E200FE" w:tentative="1">
      <w:start w:val="1"/>
      <w:numFmt w:val="bullet"/>
      <w:lvlText w:val=""/>
      <w:lvlJc w:val="left"/>
      <w:pPr>
        <w:tabs>
          <w:tab w:val="num" w:pos="4320"/>
        </w:tabs>
        <w:ind w:left="4320" w:hanging="360"/>
      </w:pPr>
      <w:rPr>
        <w:rFonts w:ascii="Wingdings" w:hAnsi="Wingdings" w:hint="default"/>
      </w:rPr>
    </w:lvl>
    <w:lvl w:ilvl="6" w:tplc="6958E884" w:tentative="1">
      <w:start w:val="1"/>
      <w:numFmt w:val="bullet"/>
      <w:lvlText w:val=""/>
      <w:lvlJc w:val="left"/>
      <w:pPr>
        <w:tabs>
          <w:tab w:val="num" w:pos="5040"/>
        </w:tabs>
        <w:ind w:left="5040" w:hanging="360"/>
      </w:pPr>
      <w:rPr>
        <w:rFonts w:ascii="Symbol" w:hAnsi="Symbol" w:hint="default"/>
      </w:rPr>
    </w:lvl>
    <w:lvl w:ilvl="7" w:tplc="A28C4A08" w:tentative="1">
      <w:start w:val="1"/>
      <w:numFmt w:val="bullet"/>
      <w:lvlText w:val="o"/>
      <w:lvlJc w:val="left"/>
      <w:pPr>
        <w:tabs>
          <w:tab w:val="num" w:pos="5760"/>
        </w:tabs>
        <w:ind w:left="5760" w:hanging="360"/>
      </w:pPr>
      <w:rPr>
        <w:rFonts w:ascii="Courier New" w:hAnsi="Courier New" w:cs="Courier New" w:hint="default"/>
      </w:rPr>
    </w:lvl>
    <w:lvl w:ilvl="8" w:tplc="6D68A84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5371F5"/>
    <w:multiLevelType w:val="hybridMultilevel"/>
    <w:tmpl w:val="5B08D474"/>
    <w:lvl w:ilvl="0" w:tplc="B48C0192">
      <w:start w:val="5"/>
      <w:numFmt w:val="decimal"/>
      <w:lvlText w:val="%1."/>
      <w:lvlJc w:val="left"/>
      <w:pPr>
        <w:ind w:left="360" w:hanging="360"/>
      </w:pPr>
      <w:rPr>
        <w:rFonts w:hint="default"/>
        <w:b/>
      </w:rPr>
    </w:lvl>
    <w:lvl w:ilvl="1" w:tplc="AF804D30" w:tentative="1">
      <w:start w:val="1"/>
      <w:numFmt w:val="lowerLetter"/>
      <w:lvlText w:val="%2."/>
      <w:lvlJc w:val="left"/>
      <w:pPr>
        <w:ind w:left="1080" w:hanging="360"/>
      </w:pPr>
    </w:lvl>
    <w:lvl w:ilvl="2" w:tplc="797ACEEE" w:tentative="1">
      <w:start w:val="1"/>
      <w:numFmt w:val="lowerRoman"/>
      <w:lvlText w:val="%3."/>
      <w:lvlJc w:val="right"/>
      <w:pPr>
        <w:ind w:left="1800" w:hanging="180"/>
      </w:pPr>
    </w:lvl>
    <w:lvl w:ilvl="3" w:tplc="2DA463F6" w:tentative="1">
      <w:start w:val="1"/>
      <w:numFmt w:val="decimal"/>
      <w:lvlText w:val="%4."/>
      <w:lvlJc w:val="left"/>
      <w:pPr>
        <w:ind w:left="2520" w:hanging="360"/>
      </w:pPr>
    </w:lvl>
    <w:lvl w:ilvl="4" w:tplc="3C3C18F2" w:tentative="1">
      <w:start w:val="1"/>
      <w:numFmt w:val="lowerLetter"/>
      <w:lvlText w:val="%5."/>
      <w:lvlJc w:val="left"/>
      <w:pPr>
        <w:ind w:left="3240" w:hanging="360"/>
      </w:pPr>
    </w:lvl>
    <w:lvl w:ilvl="5" w:tplc="4BA8C81A" w:tentative="1">
      <w:start w:val="1"/>
      <w:numFmt w:val="lowerRoman"/>
      <w:lvlText w:val="%6."/>
      <w:lvlJc w:val="right"/>
      <w:pPr>
        <w:ind w:left="3960" w:hanging="180"/>
      </w:pPr>
    </w:lvl>
    <w:lvl w:ilvl="6" w:tplc="436E6130" w:tentative="1">
      <w:start w:val="1"/>
      <w:numFmt w:val="decimal"/>
      <w:lvlText w:val="%7."/>
      <w:lvlJc w:val="left"/>
      <w:pPr>
        <w:ind w:left="4680" w:hanging="360"/>
      </w:pPr>
    </w:lvl>
    <w:lvl w:ilvl="7" w:tplc="FFAC2C66" w:tentative="1">
      <w:start w:val="1"/>
      <w:numFmt w:val="lowerLetter"/>
      <w:lvlText w:val="%8."/>
      <w:lvlJc w:val="left"/>
      <w:pPr>
        <w:ind w:left="5400" w:hanging="360"/>
      </w:pPr>
    </w:lvl>
    <w:lvl w:ilvl="8" w:tplc="BB32F656" w:tentative="1">
      <w:start w:val="1"/>
      <w:numFmt w:val="lowerRoman"/>
      <w:lvlText w:val="%9."/>
      <w:lvlJc w:val="right"/>
      <w:pPr>
        <w:ind w:left="6120" w:hanging="180"/>
      </w:pPr>
    </w:lvl>
  </w:abstractNum>
  <w:abstractNum w:abstractNumId="18" w15:restartNumberingAfterBreak="0">
    <w:nsid w:val="2C2548AA"/>
    <w:multiLevelType w:val="hybridMultilevel"/>
    <w:tmpl w:val="BF8AAFD8"/>
    <w:lvl w:ilvl="0" w:tplc="16062EF8">
      <w:start w:val="14"/>
      <w:numFmt w:val="bullet"/>
      <w:lvlText w:val="-"/>
      <w:lvlJc w:val="left"/>
      <w:pPr>
        <w:ind w:left="360" w:hanging="360"/>
      </w:pPr>
      <w:rPr>
        <w:rFonts w:ascii="Times New Roman" w:eastAsia="SimSun" w:hAnsi="Times New Roman" w:cs="Times New Roman" w:hint="default"/>
        <w:color w:val="auto"/>
      </w:rPr>
    </w:lvl>
    <w:lvl w:ilvl="1" w:tplc="4DF8A98E" w:tentative="1">
      <w:start w:val="1"/>
      <w:numFmt w:val="bullet"/>
      <w:lvlText w:val="o"/>
      <w:lvlJc w:val="left"/>
      <w:pPr>
        <w:ind w:left="1080" w:hanging="360"/>
      </w:pPr>
      <w:rPr>
        <w:rFonts w:ascii="Courier New" w:hAnsi="Courier New" w:cs="Courier New" w:hint="default"/>
      </w:rPr>
    </w:lvl>
    <w:lvl w:ilvl="2" w:tplc="3CCA8A76" w:tentative="1">
      <w:start w:val="1"/>
      <w:numFmt w:val="bullet"/>
      <w:lvlText w:val=""/>
      <w:lvlJc w:val="left"/>
      <w:pPr>
        <w:ind w:left="1800" w:hanging="360"/>
      </w:pPr>
      <w:rPr>
        <w:rFonts w:ascii="Wingdings" w:hAnsi="Wingdings" w:hint="default"/>
      </w:rPr>
    </w:lvl>
    <w:lvl w:ilvl="3" w:tplc="6330BB02" w:tentative="1">
      <w:start w:val="1"/>
      <w:numFmt w:val="bullet"/>
      <w:lvlText w:val=""/>
      <w:lvlJc w:val="left"/>
      <w:pPr>
        <w:ind w:left="2520" w:hanging="360"/>
      </w:pPr>
      <w:rPr>
        <w:rFonts w:ascii="Symbol" w:hAnsi="Symbol" w:hint="default"/>
      </w:rPr>
    </w:lvl>
    <w:lvl w:ilvl="4" w:tplc="EF2C03DE" w:tentative="1">
      <w:start w:val="1"/>
      <w:numFmt w:val="bullet"/>
      <w:lvlText w:val="o"/>
      <w:lvlJc w:val="left"/>
      <w:pPr>
        <w:ind w:left="3240" w:hanging="360"/>
      </w:pPr>
      <w:rPr>
        <w:rFonts w:ascii="Courier New" w:hAnsi="Courier New" w:cs="Courier New" w:hint="default"/>
      </w:rPr>
    </w:lvl>
    <w:lvl w:ilvl="5" w:tplc="936C299E" w:tentative="1">
      <w:start w:val="1"/>
      <w:numFmt w:val="bullet"/>
      <w:lvlText w:val=""/>
      <w:lvlJc w:val="left"/>
      <w:pPr>
        <w:ind w:left="3960" w:hanging="360"/>
      </w:pPr>
      <w:rPr>
        <w:rFonts w:ascii="Wingdings" w:hAnsi="Wingdings" w:hint="default"/>
      </w:rPr>
    </w:lvl>
    <w:lvl w:ilvl="6" w:tplc="20D4E480" w:tentative="1">
      <w:start w:val="1"/>
      <w:numFmt w:val="bullet"/>
      <w:lvlText w:val=""/>
      <w:lvlJc w:val="left"/>
      <w:pPr>
        <w:ind w:left="4680" w:hanging="360"/>
      </w:pPr>
      <w:rPr>
        <w:rFonts w:ascii="Symbol" w:hAnsi="Symbol" w:hint="default"/>
      </w:rPr>
    </w:lvl>
    <w:lvl w:ilvl="7" w:tplc="97447838" w:tentative="1">
      <w:start w:val="1"/>
      <w:numFmt w:val="bullet"/>
      <w:lvlText w:val="o"/>
      <w:lvlJc w:val="left"/>
      <w:pPr>
        <w:ind w:left="5400" w:hanging="360"/>
      </w:pPr>
      <w:rPr>
        <w:rFonts w:ascii="Courier New" w:hAnsi="Courier New" w:cs="Courier New" w:hint="default"/>
      </w:rPr>
    </w:lvl>
    <w:lvl w:ilvl="8" w:tplc="62B413E6" w:tentative="1">
      <w:start w:val="1"/>
      <w:numFmt w:val="bullet"/>
      <w:lvlText w:val=""/>
      <w:lvlJc w:val="left"/>
      <w:pPr>
        <w:ind w:left="6120" w:hanging="360"/>
      </w:pPr>
      <w:rPr>
        <w:rFonts w:ascii="Wingdings" w:hAnsi="Wingdings" w:hint="default"/>
      </w:rPr>
    </w:lvl>
  </w:abstractNum>
  <w:abstractNum w:abstractNumId="19" w15:restartNumberingAfterBreak="0">
    <w:nsid w:val="2F823FE9"/>
    <w:multiLevelType w:val="hybridMultilevel"/>
    <w:tmpl w:val="10A01E28"/>
    <w:lvl w:ilvl="0" w:tplc="11869EB4">
      <w:start w:val="1"/>
      <w:numFmt w:val="bullet"/>
      <w:lvlText w:val=""/>
      <w:lvlJc w:val="left"/>
      <w:pPr>
        <w:ind w:left="644" w:hanging="360"/>
      </w:pPr>
      <w:rPr>
        <w:rFonts w:ascii="Symbol" w:hAnsi="Symbol" w:hint="default"/>
      </w:rPr>
    </w:lvl>
    <w:lvl w:ilvl="1" w:tplc="F4BC9160" w:tentative="1">
      <w:start w:val="1"/>
      <w:numFmt w:val="bullet"/>
      <w:lvlText w:val="o"/>
      <w:lvlJc w:val="left"/>
      <w:pPr>
        <w:ind w:left="1364" w:hanging="360"/>
      </w:pPr>
      <w:rPr>
        <w:rFonts w:ascii="Courier New" w:hAnsi="Courier New" w:cs="Courier New" w:hint="default"/>
      </w:rPr>
    </w:lvl>
    <w:lvl w:ilvl="2" w:tplc="7FB6CBFE" w:tentative="1">
      <w:start w:val="1"/>
      <w:numFmt w:val="bullet"/>
      <w:lvlText w:val=""/>
      <w:lvlJc w:val="left"/>
      <w:pPr>
        <w:ind w:left="2084" w:hanging="360"/>
      </w:pPr>
      <w:rPr>
        <w:rFonts w:ascii="Wingdings" w:hAnsi="Wingdings" w:hint="default"/>
      </w:rPr>
    </w:lvl>
    <w:lvl w:ilvl="3" w:tplc="521C4BC8" w:tentative="1">
      <w:start w:val="1"/>
      <w:numFmt w:val="bullet"/>
      <w:lvlText w:val=""/>
      <w:lvlJc w:val="left"/>
      <w:pPr>
        <w:ind w:left="2804" w:hanging="360"/>
      </w:pPr>
      <w:rPr>
        <w:rFonts w:ascii="Symbol" w:hAnsi="Symbol" w:hint="default"/>
      </w:rPr>
    </w:lvl>
    <w:lvl w:ilvl="4" w:tplc="98F20998" w:tentative="1">
      <w:start w:val="1"/>
      <w:numFmt w:val="bullet"/>
      <w:lvlText w:val="o"/>
      <w:lvlJc w:val="left"/>
      <w:pPr>
        <w:ind w:left="3524" w:hanging="360"/>
      </w:pPr>
      <w:rPr>
        <w:rFonts w:ascii="Courier New" w:hAnsi="Courier New" w:cs="Courier New" w:hint="default"/>
      </w:rPr>
    </w:lvl>
    <w:lvl w:ilvl="5" w:tplc="5C7216D8" w:tentative="1">
      <w:start w:val="1"/>
      <w:numFmt w:val="bullet"/>
      <w:lvlText w:val=""/>
      <w:lvlJc w:val="left"/>
      <w:pPr>
        <w:ind w:left="4244" w:hanging="360"/>
      </w:pPr>
      <w:rPr>
        <w:rFonts w:ascii="Wingdings" w:hAnsi="Wingdings" w:hint="default"/>
      </w:rPr>
    </w:lvl>
    <w:lvl w:ilvl="6" w:tplc="B8288358" w:tentative="1">
      <w:start w:val="1"/>
      <w:numFmt w:val="bullet"/>
      <w:lvlText w:val=""/>
      <w:lvlJc w:val="left"/>
      <w:pPr>
        <w:ind w:left="4964" w:hanging="360"/>
      </w:pPr>
      <w:rPr>
        <w:rFonts w:ascii="Symbol" w:hAnsi="Symbol" w:hint="default"/>
      </w:rPr>
    </w:lvl>
    <w:lvl w:ilvl="7" w:tplc="312606CC" w:tentative="1">
      <w:start w:val="1"/>
      <w:numFmt w:val="bullet"/>
      <w:lvlText w:val="o"/>
      <w:lvlJc w:val="left"/>
      <w:pPr>
        <w:ind w:left="5684" w:hanging="360"/>
      </w:pPr>
      <w:rPr>
        <w:rFonts w:ascii="Courier New" w:hAnsi="Courier New" w:cs="Courier New" w:hint="default"/>
      </w:rPr>
    </w:lvl>
    <w:lvl w:ilvl="8" w:tplc="1F52F710" w:tentative="1">
      <w:start w:val="1"/>
      <w:numFmt w:val="bullet"/>
      <w:lvlText w:val=""/>
      <w:lvlJc w:val="left"/>
      <w:pPr>
        <w:ind w:left="6404" w:hanging="360"/>
      </w:pPr>
      <w:rPr>
        <w:rFonts w:ascii="Wingdings" w:hAnsi="Wingdings" w:hint="default"/>
      </w:rPr>
    </w:lvl>
  </w:abstractNum>
  <w:abstractNum w:abstractNumId="20" w15:restartNumberingAfterBreak="0">
    <w:nsid w:val="37B13E4A"/>
    <w:multiLevelType w:val="hybridMultilevel"/>
    <w:tmpl w:val="1ABCFFF8"/>
    <w:lvl w:ilvl="0" w:tplc="854C43CC">
      <w:start w:val="40"/>
      <w:numFmt w:val="decimal"/>
      <w:lvlText w:val="%1"/>
      <w:lvlJc w:val="left"/>
      <w:pPr>
        <w:ind w:left="720" w:hanging="360"/>
      </w:pPr>
      <w:rPr>
        <w:rFonts w:hint="default"/>
      </w:rPr>
    </w:lvl>
    <w:lvl w:ilvl="1" w:tplc="77B4BEB0" w:tentative="1">
      <w:start w:val="1"/>
      <w:numFmt w:val="lowerLetter"/>
      <w:lvlText w:val="%2."/>
      <w:lvlJc w:val="left"/>
      <w:pPr>
        <w:ind w:left="1440" w:hanging="360"/>
      </w:pPr>
    </w:lvl>
    <w:lvl w:ilvl="2" w:tplc="E85A7520" w:tentative="1">
      <w:start w:val="1"/>
      <w:numFmt w:val="lowerRoman"/>
      <w:lvlText w:val="%3."/>
      <w:lvlJc w:val="right"/>
      <w:pPr>
        <w:ind w:left="2160" w:hanging="180"/>
      </w:pPr>
    </w:lvl>
    <w:lvl w:ilvl="3" w:tplc="B97A1312" w:tentative="1">
      <w:start w:val="1"/>
      <w:numFmt w:val="decimal"/>
      <w:lvlText w:val="%4."/>
      <w:lvlJc w:val="left"/>
      <w:pPr>
        <w:ind w:left="2880" w:hanging="360"/>
      </w:pPr>
    </w:lvl>
    <w:lvl w:ilvl="4" w:tplc="04440FFE" w:tentative="1">
      <w:start w:val="1"/>
      <w:numFmt w:val="lowerLetter"/>
      <w:lvlText w:val="%5."/>
      <w:lvlJc w:val="left"/>
      <w:pPr>
        <w:ind w:left="3600" w:hanging="360"/>
      </w:pPr>
    </w:lvl>
    <w:lvl w:ilvl="5" w:tplc="FB7C8DC8" w:tentative="1">
      <w:start w:val="1"/>
      <w:numFmt w:val="lowerRoman"/>
      <w:lvlText w:val="%6."/>
      <w:lvlJc w:val="right"/>
      <w:pPr>
        <w:ind w:left="4320" w:hanging="180"/>
      </w:pPr>
    </w:lvl>
    <w:lvl w:ilvl="6" w:tplc="DB88879C" w:tentative="1">
      <w:start w:val="1"/>
      <w:numFmt w:val="decimal"/>
      <w:lvlText w:val="%7."/>
      <w:lvlJc w:val="left"/>
      <w:pPr>
        <w:ind w:left="5040" w:hanging="360"/>
      </w:pPr>
    </w:lvl>
    <w:lvl w:ilvl="7" w:tplc="D3EEF7D8" w:tentative="1">
      <w:start w:val="1"/>
      <w:numFmt w:val="lowerLetter"/>
      <w:lvlText w:val="%8."/>
      <w:lvlJc w:val="left"/>
      <w:pPr>
        <w:ind w:left="5760" w:hanging="360"/>
      </w:pPr>
    </w:lvl>
    <w:lvl w:ilvl="8" w:tplc="D1C0734C" w:tentative="1">
      <w:start w:val="1"/>
      <w:numFmt w:val="lowerRoman"/>
      <w:lvlText w:val="%9."/>
      <w:lvlJc w:val="right"/>
      <w:pPr>
        <w:ind w:left="6480" w:hanging="180"/>
      </w:pPr>
    </w:lvl>
  </w:abstractNum>
  <w:abstractNum w:abstractNumId="21" w15:restartNumberingAfterBreak="0">
    <w:nsid w:val="44F230ED"/>
    <w:multiLevelType w:val="multilevel"/>
    <w:tmpl w:val="B07E54EC"/>
    <w:lvl w:ilvl="0">
      <w:start w:val="7"/>
      <w:numFmt w:val="decimal"/>
      <w:lvlText w:val="%1."/>
      <w:lvlJc w:val="left"/>
      <w:pPr>
        <w:ind w:left="360" w:hanging="360"/>
      </w:pPr>
      <w:rPr>
        <w:rFonts w:hint="default"/>
        <w:b/>
        <w:sz w:val="28"/>
        <w:szCs w:val="28"/>
      </w:rPr>
    </w:lvl>
    <w:lvl w:ilvl="1">
      <w:start w:val="1"/>
      <w:numFmt w:val="decimal"/>
      <w:isLgl/>
      <w:lvlText w:val="%1.%2"/>
      <w:lvlJc w:val="left"/>
      <w:pPr>
        <w:ind w:left="555" w:hanging="55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2" w15:restartNumberingAfterBreak="0">
    <w:nsid w:val="47CB041E"/>
    <w:multiLevelType w:val="hybridMultilevel"/>
    <w:tmpl w:val="9AC04E2E"/>
    <w:lvl w:ilvl="0" w:tplc="A5B6B040">
      <w:start w:val="1"/>
      <w:numFmt w:val="bullet"/>
      <w:lvlText w:val=""/>
      <w:lvlJc w:val="left"/>
      <w:pPr>
        <w:tabs>
          <w:tab w:val="num" w:pos="720"/>
        </w:tabs>
        <w:ind w:left="720" w:hanging="360"/>
      </w:pPr>
      <w:rPr>
        <w:rFonts w:ascii="Symbol" w:hAnsi="Symbol" w:hint="default"/>
      </w:rPr>
    </w:lvl>
    <w:lvl w:ilvl="1" w:tplc="02D03474" w:tentative="1">
      <w:start w:val="1"/>
      <w:numFmt w:val="bullet"/>
      <w:lvlText w:val="o"/>
      <w:lvlJc w:val="left"/>
      <w:pPr>
        <w:tabs>
          <w:tab w:val="num" w:pos="1440"/>
        </w:tabs>
        <w:ind w:left="1440" w:hanging="360"/>
      </w:pPr>
      <w:rPr>
        <w:rFonts w:ascii="Courier New" w:hAnsi="Courier New" w:cs="Courier New" w:hint="default"/>
      </w:rPr>
    </w:lvl>
    <w:lvl w:ilvl="2" w:tplc="978AF24A" w:tentative="1">
      <w:start w:val="1"/>
      <w:numFmt w:val="bullet"/>
      <w:lvlText w:val=""/>
      <w:lvlJc w:val="left"/>
      <w:pPr>
        <w:tabs>
          <w:tab w:val="num" w:pos="2160"/>
        </w:tabs>
        <w:ind w:left="2160" w:hanging="360"/>
      </w:pPr>
      <w:rPr>
        <w:rFonts w:ascii="Wingdings" w:hAnsi="Wingdings" w:hint="default"/>
      </w:rPr>
    </w:lvl>
    <w:lvl w:ilvl="3" w:tplc="BDBC7F9A" w:tentative="1">
      <w:start w:val="1"/>
      <w:numFmt w:val="bullet"/>
      <w:lvlText w:val=""/>
      <w:lvlJc w:val="left"/>
      <w:pPr>
        <w:tabs>
          <w:tab w:val="num" w:pos="2880"/>
        </w:tabs>
        <w:ind w:left="2880" w:hanging="360"/>
      </w:pPr>
      <w:rPr>
        <w:rFonts w:ascii="Symbol" w:hAnsi="Symbol" w:hint="default"/>
      </w:rPr>
    </w:lvl>
    <w:lvl w:ilvl="4" w:tplc="C5D04BC8" w:tentative="1">
      <w:start w:val="1"/>
      <w:numFmt w:val="bullet"/>
      <w:lvlText w:val="o"/>
      <w:lvlJc w:val="left"/>
      <w:pPr>
        <w:tabs>
          <w:tab w:val="num" w:pos="3600"/>
        </w:tabs>
        <w:ind w:left="3600" w:hanging="360"/>
      </w:pPr>
      <w:rPr>
        <w:rFonts w:ascii="Courier New" w:hAnsi="Courier New" w:cs="Courier New" w:hint="default"/>
      </w:rPr>
    </w:lvl>
    <w:lvl w:ilvl="5" w:tplc="9224FAC6" w:tentative="1">
      <w:start w:val="1"/>
      <w:numFmt w:val="bullet"/>
      <w:lvlText w:val=""/>
      <w:lvlJc w:val="left"/>
      <w:pPr>
        <w:tabs>
          <w:tab w:val="num" w:pos="4320"/>
        </w:tabs>
        <w:ind w:left="4320" w:hanging="360"/>
      </w:pPr>
      <w:rPr>
        <w:rFonts w:ascii="Wingdings" w:hAnsi="Wingdings" w:hint="default"/>
      </w:rPr>
    </w:lvl>
    <w:lvl w:ilvl="6" w:tplc="0896A866" w:tentative="1">
      <w:start w:val="1"/>
      <w:numFmt w:val="bullet"/>
      <w:lvlText w:val=""/>
      <w:lvlJc w:val="left"/>
      <w:pPr>
        <w:tabs>
          <w:tab w:val="num" w:pos="5040"/>
        </w:tabs>
        <w:ind w:left="5040" w:hanging="360"/>
      </w:pPr>
      <w:rPr>
        <w:rFonts w:ascii="Symbol" w:hAnsi="Symbol" w:hint="default"/>
      </w:rPr>
    </w:lvl>
    <w:lvl w:ilvl="7" w:tplc="CEECCE52" w:tentative="1">
      <w:start w:val="1"/>
      <w:numFmt w:val="bullet"/>
      <w:lvlText w:val="o"/>
      <w:lvlJc w:val="left"/>
      <w:pPr>
        <w:tabs>
          <w:tab w:val="num" w:pos="5760"/>
        </w:tabs>
        <w:ind w:left="5760" w:hanging="360"/>
      </w:pPr>
      <w:rPr>
        <w:rFonts w:ascii="Courier New" w:hAnsi="Courier New" w:cs="Courier New" w:hint="default"/>
      </w:rPr>
    </w:lvl>
    <w:lvl w:ilvl="8" w:tplc="A1688EDE"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227240"/>
    <w:multiLevelType w:val="multilevel"/>
    <w:tmpl w:val="65001BCC"/>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4" w15:restartNumberingAfterBreak="0">
    <w:nsid w:val="4B460798"/>
    <w:multiLevelType w:val="hybridMultilevel"/>
    <w:tmpl w:val="C5AAAB4A"/>
    <w:lvl w:ilvl="0" w:tplc="1B04BE50">
      <w:start w:val="1"/>
      <w:numFmt w:val="decimal"/>
      <w:lvlText w:val="%1."/>
      <w:lvlJc w:val="left"/>
      <w:pPr>
        <w:ind w:left="360" w:hanging="360"/>
      </w:pPr>
      <w:rPr>
        <w:rFonts w:hint="default"/>
        <w:b/>
      </w:rPr>
    </w:lvl>
    <w:lvl w:ilvl="1" w:tplc="9998CD96">
      <w:start w:val="1"/>
      <w:numFmt w:val="lowerLetter"/>
      <w:lvlText w:val="%2."/>
      <w:lvlJc w:val="left"/>
      <w:pPr>
        <w:ind w:left="1080" w:hanging="360"/>
      </w:pPr>
    </w:lvl>
    <w:lvl w:ilvl="2" w:tplc="9866018E" w:tentative="1">
      <w:start w:val="1"/>
      <w:numFmt w:val="lowerRoman"/>
      <w:lvlText w:val="%3."/>
      <w:lvlJc w:val="right"/>
      <w:pPr>
        <w:ind w:left="1800" w:hanging="180"/>
      </w:pPr>
    </w:lvl>
    <w:lvl w:ilvl="3" w:tplc="DC6C97F0" w:tentative="1">
      <w:start w:val="1"/>
      <w:numFmt w:val="decimal"/>
      <w:lvlText w:val="%4."/>
      <w:lvlJc w:val="left"/>
      <w:pPr>
        <w:ind w:left="2520" w:hanging="360"/>
      </w:pPr>
    </w:lvl>
    <w:lvl w:ilvl="4" w:tplc="79B80D7E" w:tentative="1">
      <w:start w:val="1"/>
      <w:numFmt w:val="lowerLetter"/>
      <w:lvlText w:val="%5."/>
      <w:lvlJc w:val="left"/>
      <w:pPr>
        <w:ind w:left="3240" w:hanging="360"/>
      </w:pPr>
    </w:lvl>
    <w:lvl w:ilvl="5" w:tplc="D85829AC" w:tentative="1">
      <w:start w:val="1"/>
      <w:numFmt w:val="lowerRoman"/>
      <w:lvlText w:val="%6."/>
      <w:lvlJc w:val="right"/>
      <w:pPr>
        <w:ind w:left="3960" w:hanging="180"/>
      </w:pPr>
    </w:lvl>
    <w:lvl w:ilvl="6" w:tplc="106EA6AE" w:tentative="1">
      <w:start w:val="1"/>
      <w:numFmt w:val="decimal"/>
      <w:lvlText w:val="%7."/>
      <w:lvlJc w:val="left"/>
      <w:pPr>
        <w:ind w:left="4680" w:hanging="360"/>
      </w:pPr>
    </w:lvl>
    <w:lvl w:ilvl="7" w:tplc="F4FC2EAE" w:tentative="1">
      <w:start w:val="1"/>
      <w:numFmt w:val="lowerLetter"/>
      <w:lvlText w:val="%8."/>
      <w:lvlJc w:val="left"/>
      <w:pPr>
        <w:ind w:left="5400" w:hanging="360"/>
      </w:pPr>
    </w:lvl>
    <w:lvl w:ilvl="8" w:tplc="459E1D1A" w:tentative="1">
      <w:start w:val="1"/>
      <w:numFmt w:val="lowerRoman"/>
      <w:lvlText w:val="%9."/>
      <w:lvlJc w:val="right"/>
      <w:pPr>
        <w:ind w:left="6120" w:hanging="180"/>
      </w:pPr>
    </w:lvl>
  </w:abstractNum>
  <w:abstractNum w:abstractNumId="25" w15:restartNumberingAfterBreak="0">
    <w:nsid w:val="4DAB71B9"/>
    <w:multiLevelType w:val="hybridMultilevel"/>
    <w:tmpl w:val="C5AAAB4A"/>
    <w:lvl w:ilvl="0" w:tplc="C13A470C">
      <w:start w:val="1"/>
      <w:numFmt w:val="decimal"/>
      <w:lvlText w:val="%1."/>
      <w:lvlJc w:val="left"/>
      <w:pPr>
        <w:ind w:left="720" w:hanging="360"/>
      </w:pPr>
      <w:rPr>
        <w:rFonts w:hint="default"/>
        <w:b/>
      </w:rPr>
    </w:lvl>
    <w:lvl w:ilvl="1" w:tplc="0718A080">
      <w:start w:val="1"/>
      <w:numFmt w:val="lowerLetter"/>
      <w:lvlText w:val="%2."/>
      <w:lvlJc w:val="left"/>
      <w:pPr>
        <w:ind w:left="1440" w:hanging="360"/>
      </w:pPr>
    </w:lvl>
    <w:lvl w:ilvl="2" w:tplc="FFC01C80" w:tentative="1">
      <w:start w:val="1"/>
      <w:numFmt w:val="lowerRoman"/>
      <w:lvlText w:val="%3."/>
      <w:lvlJc w:val="right"/>
      <w:pPr>
        <w:ind w:left="2160" w:hanging="180"/>
      </w:pPr>
    </w:lvl>
    <w:lvl w:ilvl="3" w:tplc="D756A4B0" w:tentative="1">
      <w:start w:val="1"/>
      <w:numFmt w:val="decimal"/>
      <w:lvlText w:val="%4."/>
      <w:lvlJc w:val="left"/>
      <w:pPr>
        <w:ind w:left="2880" w:hanging="360"/>
      </w:pPr>
    </w:lvl>
    <w:lvl w:ilvl="4" w:tplc="9746FF2E" w:tentative="1">
      <w:start w:val="1"/>
      <w:numFmt w:val="lowerLetter"/>
      <w:lvlText w:val="%5."/>
      <w:lvlJc w:val="left"/>
      <w:pPr>
        <w:ind w:left="3600" w:hanging="360"/>
      </w:pPr>
    </w:lvl>
    <w:lvl w:ilvl="5" w:tplc="1ACED524" w:tentative="1">
      <w:start w:val="1"/>
      <w:numFmt w:val="lowerRoman"/>
      <w:lvlText w:val="%6."/>
      <w:lvlJc w:val="right"/>
      <w:pPr>
        <w:ind w:left="4320" w:hanging="180"/>
      </w:pPr>
    </w:lvl>
    <w:lvl w:ilvl="6" w:tplc="4F2823B6" w:tentative="1">
      <w:start w:val="1"/>
      <w:numFmt w:val="decimal"/>
      <w:lvlText w:val="%7."/>
      <w:lvlJc w:val="left"/>
      <w:pPr>
        <w:ind w:left="5040" w:hanging="360"/>
      </w:pPr>
    </w:lvl>
    <w:lvl w:ilvl="7" w:tplc="4D4E3582" w:tentative="1">
      <w:start w:val="1"/>
      <w:numFmt w:val="lowerLetter"/>
      <w:lvlText w:val="%8."/>
      <w:lvlJc w:val="left"/>
      <w:pPr>
        <w:ind w:left="5760" w:hanging="360"/>
      </w:pPr>
    </w:lvl>
    <w:lvl w:ilvl="8" w:tplc="4EA21F5C" w:tentative="1">
      <w:start w:val="1"/>
      <w:numFmt w:val="lowerRoman"/>
      <w:lvlText w:val="%9."/>
      <w:lvlJc w:val="right"/>
      <w:pPr>
        <w:ind w:left="6480" w:hanging="180"/>
      </w:pPr>
    </w:lvl>
  </w:abstractNum>
  <w:abstractNum w:abstractNumId="26" w15:restartNumberingAfterBreak="0">
    <w:nsid w:val="5FFF7534"/>
    <w:multiLevelType w:val="hybridMultilevel"/>
    <w:tmpl w:val="5CD853F2"/>
    <w:lvl w:ilvl="0" w:tplc="D7985B6A">
      <w:start w:val="1"/>
      <w:numFmt w:val="bullet"/>
      <w:lvlText w:val=""/>
      <w:lvlJc w:val="left"/>
      <w:pPr>
        <w:tabs>
          <w:tab w:val="num" w:pos="1428"/>
        </w:tabs>
        <w:ind w:left="1428" w:hanging="360"/>
      </w:pPr>
      <w:rPr>
        <w:rFonts w:ascii="Symbol" w:hAnsi="Symbol" w:hint="default"/>
        <w:color w:val="auto"/>
      </w:rPr>
    </w:lvl>
    <w:lvl w:ilvl="1" w:tplc="5E60E7E4" w:tentative="1">
      <w:start w:val="1"/>
      <w:numFmt w:val="bullet"/>
      <w:lvlText w:val="o"/>
      <w:lvlJc w:val="left"/>
      <w:pPr>
        <w:tabs>
          <w:tab w:val="num" w:pos="1440"/>
        </w:tabs>
        <w:ind w:left="1440" w:hanging="360"/>
      </w:pPr>
      <w:rPr>
        <w:rFonts w:ascii="Courier New" w:hAnsi="Courier New" w:cs="Courier New" w:hint="default"/>
      </w:rPr>
    </w:lvl>
    <w:lvl w:ilvl="2" w:tplc="95FA1D4A" w:tentative="1">
      <w:start w:val="1"/>
      <w:numFmt w:val="bullet"/>
      <w:lvlText w:val=""/>
      <w:lvlJc w:val="left"/>
      <w:pPr>
        <w:tabs>
          <w:tab w:val="num" w:pos="2160"/>
        </w:tabs>
        <w:ind w:left="2160" w:hanging="360"/>
      </w:pPr>
      <w:rPr>
        <w:rFonts w:ascii="Wingdings" w:hAnsi="Wingdings" w:hint="default"/>
      </w:rPr>
    </w:lvl>
    <w:lvl w:ilvl="3" w:tplc="29EA7F9A" w:tentative="1">
      <w:start w:val="1"/>
      <w:numFmt w:val="bullet"/>
      <w:lvlText w:val=""/>
      <w:lvlJc w:val="left"/>
      <w:pPr>
        <w:tabs>
          <w:tab w:val="num" w:pos="2880"/>
        </w:tabs>
        <w:ind w:left="2880" w:hanging="360"/>
      </w:pPr>
      <w:rPr>
        <w:rFonts w:ascii="Symbol" w:hAnsi="Symbol" w:hint="default"/>
      </w:rPr>
    </w:lvl>
    <w:lvl w:ilvl="4" w:tplc="A5F65A6E" w:tentative="1">
      <w:start w:val="1"/>
      <w:numFmt w:val="bullet"/>
      <w:lvlText w:val="o"/>
      <w:lvlJc w:val="left"/>
      <w:pPr>
        <w:tabs>
          <w:tab w:val="num" w:pos="3600"/>
        </w:tabs>
        <w:ind w:left="3600" w:hanging="360"/>
      </w:pPr>
      <w:rPr>
        <w:rFonts w:ascii="Courier New" w:hAnsi="Courier New" w:cs="Courier New" w:hint="default"/>
      </w:rPr>
    </w:lvl>
    <w:lvl w:ilvl="5" w:tplc="AB44DCD6" w:tentative="1">
      <w:start w:val="1"/>
      <w:numFmt w:val="bullet"/>
      <w:lvlText w:val=""/>
      <w:lvlJc w:val="left"/>
      <w:pPr>
        <w:tabs>
          <w:tab w:val="num" w:pos="4320"/>
        </w:tabs>
        <w:ind w:left="4320" w:hanging="360"/>
      </w:pPr>
      <w:rPr>
        <w:rFonts w:ascii="Wingdings" w:hAnsi="Wingdings" w:hint="default"/>
      </w:rPr>
    </w:lvl>
    <w:lvl w:ilvl="6" w:tplc="BE9848A6" w:tentative="1">
      <w:start w:val="1"/>
      <w:numFmt w:val="bullet"/>
      <w:lvlText w:val=""/>
      <w:lvlJc w:val="left"/>
      <w:pPr>
        <w:tabs>
          <w:tab w:val="num" w:pos="5040"/>
        </w:tabs>
        <w:ind w:left="5040" w:hanging="360"/>
      </w:pPr>
      <w:rPr>
        <w:rFonts w:ascii="Symbol" w:hAnsi="Symbol" w:hint="default"/>
      </w:rPr>
    </w:lvl>
    <w:lvl w:ilvl="7" w:tplc="8B4677AA" w:tentative="1">
      <w:start w:val="1"/>
      <w:numFmt w:val="bullet"/>
      <w:lvlText w:val="o"/>
      <w:lvlJc w:val="left"/>
      <w:pPr>
        <w:tabs>
          <w:tab w:val="num" w:pos="5760"/>
        </w:tabs>
        <w:ind w:left="5760" w:hanging="360"/>
      </w:pPr>
      <w:rPr>
        <w:rFonts w:ascii="Courier New" w:hAnsi="Courier New" w:cs="Courier New" w:hint="default"/>
      </w:rPr>
    </w:lvl>
    <w:lvl w:ilvl="8" w:tplc="4060078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745916"/>
    <w:multiLevelType w:val="hybridMultilevel"/>
    <w:tmpl w:val="A82E727E"/>
    <w:lvl w:ilvl="0" w:tplc="12D845F2">
      <w:start w:val="1"/>
      <w:numFmt w:val="bullet"/>
      <w:lvlText w:val=""/>
      <w:lvlJc w:val="left"/>
      <w:pPr>
        <w:ind w:left="720" w:hanging="360"/>
      </w:pPr>
      <w:rPr>
        <w:rFonts w:ascii="Symbol" w:hAnsi="Symbol" w:hint="default"/>
      </w:rPr>
    </w:lvl>
    <w:lvl w:ilvl="1" w:tplc="AB18574A" w:tentative="1">
      <w:start w:val="1"/>
      <w:numFmt w:val="bullet"/>
      <w:lvlText w:val="o"/>
      <w:lvlJc w:val="left"/>
      <w:pPr>
        <w:ind w:left="1440" w:hanging="360"/>
      </w:pPr>
      <w:rPr>
        <w:rFonts w:ascii="Courier New" w:hAnsi="Courier New" w:cs="Courier New" w:hint="default"/>
      </w:rPr>
    </w:lvl>
    <w:lvl w:ilvl="2" w:tplc="08DC2456" w:tentative="1">
      <w:start w:val="1"/>
      <w:numFmt w:val="bullet"/>
      <w:lvlText w:val=""/>
      <w:lvlJc w:val="left"/>
      <w:pPr>
        <w:ind w:left="2160" w:hanging="360"/>
      </w:pPr>
      <w:rPr>
        <w:rFonts w:ascii="Wingdings" w:hAnsi="Wingdings" w:hint="default"/>
      </w:rPr>
    </w:lvl>
    <w:lvl w:ilvl="3" w:tplc="3AF887E6" w:tentative="1">
      <w:start w:val="1"/>
      <w:numFmt w:val="bullet"/>
      <w:lvlText w:val=""/>
      <w:lvlJc w:val="left"/>
      <w:pPr>
        <w:ind w:left="2880" w:hanging="360"/>
      </w:pPr>
      <w:rPr>
        <w:rFonts w:ascii="Symbol" w:hAnsi="Symbol" w:hint="default"/>
      </w:rPr>
    </w:lvl>
    <w:lvl w:ilvl="4" w:tplc="E7BCBF9A" w:tentative="1">
      <w:start w:val="1"/>
      <w:numFmt w:val="bullet"/>
      <w:lvlText w:val="o"/>
      <w:lvlJc w:val="left"/>
      <w:pPr>
        <w:ind w:left="3600" w:hanging="360"/>
      </w:pPr>
      <w:rPr>
        <w:rFonts w:ascii="Courier New" w:hAnsi="Courier New" w:cs="Courier New" w:hint="default"/>
      </w:rPr>
    </w:lvl>
    <w:lvl w:ilvl="5" w:tplc="259078FA" w:tentative="1">
      <w:start w:val="1"/>
      <w:numFmt w:val="bullet"/>
      <w:lvlText w:val=""/>
      <w:lvlJc w:val="left"/>
      <w:pPr>
        <w:ind w:left="4320" w:hanging="360"/>
      </w:pPr>
      <w:rPr>
        <w:rFonts w:ascii="Wingdings" w:hAnsi="Wingdings" w:hint="default"/>
      </w:rPr>
    </w:lvl>
    <w:lvl w:ilvl="6" w:tplc="937EAEFE" w:tentative="1">
      <w:start w:val="1"/>
      <w:numFmt w:val="bullet"/>
      <w:lvlText w:val=""/>
      <w:lvlJc w:val="left"/>
      <w:pPr>
        <w:ind w:left="5040" w:hanging="360"/>
      </w:pPr>
      <w:rPr>
        <w:rFonts w:ascii="Symbol" w:hAnsi="Symbol" w:hint="default"/>
      </w:rPr>
    </w:lvl>
    <w:lvl w:ilvl="7" w:tplc="C4E87756" w:tentative="1">
      <w:start w:val="1"/>
      <w:numFmt w:val="bullet"/>
      <w:lvlText w:val="o"/>
      <w:lvlJc w:val="left"/>
      <w:pPr>
        <w:ind w:left="5760" w:hanging="360"/>
      </w:pPr>
      <w:rPr>
        <w:rFonts w:ascii="Courier New" w:hAnsi="Courier New" w:cs="Courier New" w:hint="default"/>
      </w:rPr>
    </w:lvl>
    <w:lvl w:ilvl="8" w:tplc="BA76CB12" w:tentative="1">
      <w:start w:val="1"/>
      <w:numFmt w:val="bullet"/>
      <w:lvlText w:val=""/>
      <w:lvlJc w:val="left"/>
      <w:pPr>
        <w:ind w:left="6480" w:hanging="360"/>
      </w:pPr>
      <w:rPr>
        <w:rFonts w:ascii="Wingdings" w:hAnsi="Wingdings" w:hint="default"/>
      </w:rPr>
    </w:lvl>
  </w:abstractNum>
  <w:abstractNum w:abstractNumId="28" w15:restartNumberingAfterBreak="0">
    <w:nsid w:val="682A5BCE"/>
    <w:multiLevelType w:val="multilevel"/>
    <w:tmpl w:val="B07E54EC"/>
    <w:lvl w:ilvl="0">
      <w:start w:val="7"/>
      <w:numFmt w:val="decimal"/>
      <w:lvlText w:val="%1."/>
      <w:lvlJc w:val="left"/>
      <w:pPr>
        <w:ind w:left="720" w:hanging="360"/>
      </w:pPr>
      <w:rPr>
        <w:rFonts w:hint="default"/>
        <w:b/>
        <w:sz w:val="28"/>
        <w:szCs w:val="28"/>
      </w:rPr>
    </w:lvl>
    <w:lvl w:ilvl="1">
      <w:start w:val="1"/>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6CAF4C2A"/>
    <w:multiLevelType w:val="multilevel"/>
    <w:tmpl w:val="2E8CFE30"/>
    <w:lvl w:ilvl="0">
      <w:start w:val="1"/>
      <w:numFmt w:val="decimal"/>
      <w:lvlText w:val="%1."/>
      <w:lvlJc w:val="left"/>
      <w:pPr>
        <w:ind w:left="1103" w:hanging="531"/>
      </w:pPr>
      <w:rPr>
        <w:rFonts w:ascii="Times New Roman" w:eastAsia="Times New Roman" w:hAnsi="Times New Roman" w:cs="Times New Roman" w:hint="default"/>
        <w:b/>
        <w:bCs/>
        <w:spacing w:val="-1"/>
        <w:w w:val="103"/>
        <w:sz w:val="20"/>
        <w:szCs w:val="20"/>
      </w:rPr>
    </w:lvl>
    <w:lvl w:ilvl="1">
      <w:start w:val="1"/>
      <w:numFmt w:val="decimal"/>
      <w:lvlText w:val="%1.%2"/>
      <w:lvlJc w:val="left"/>
      <w:pPr>
        <w:ind w:left="1103" w:hanging="531"/>
      </w:pPr>
      <w:rPr>
        <w:rFonts w:ascii="Times New Roman" w:eastAsia="Times New Roman" w:hAnsi="Times New Roman" w:cs="Times New Roman" w:hint="default"/>
        <w:b/>
        <w:bCs/>
        <w:spacing w:val="-2"/>
        <w:w w:val="103"/>
        <w:sz w:val="20"/>
        <w:szCs w:val="20"/>
      </w:rPr>
    </w:lvl>
    <w:lvl w:ilvl="2">
      <w:start w:val="1"/>
      <w:numFmt w:val="lowerLetter"/>
      <w:lvlText w:val="%3)"/>
      <w:lvlJc w:val="left"/>
      <w:pPr>
        <w:ind w:left="1206" w:hanging="533"/>
      </w:pPr>
      <w:rPr>
        <w:rFonts w:ascii="Times New Roman" w:eastAsia="Times New Roman" w:hAnsi="Times New Roman" w:cs="Times New Roman" w:hint="default"/>
        <w:spacing w:val="-4"/>
        <w:w w:val="103"/>
        <w:sz w:val="20"/>
        <w:szCs w:val="20"/>
      </w:rPr>
    </w:lvl>
    <w:lvl w:ilvl="3">
      <w:numFmt w:val="bullet"/>
      <w:lvlText w:val="•"/>
      <w:lvlJc w:val="left"/>
      <w:pPr>
        <w:ind w:left="3084" w:hanging="533"/>
      </w:pPr>
      <w:rPr>
        <w:rFonts w:hint="default"/>
      </w:rPr>
    </w:lvl>
    <w:lvl w:ilvl="4">
      <w:numFmt w:val="bullet"/>
      <w:lvlText w:val="•"/>
      <w:lvlJc w:val="left"/>
      <w:pPr>
        <w:ind w:left="4026" w:hanging="533"/>
      </w:pPr>
      <w:rPr>
        <w:rFonts w:hint="default"/>
      </w:rPr>
    </w:lvl>
    <w:lvl w:ilvl="5">
      <w:numFmt w:val="bullet"/>
      <w:lvlText w:val="•"/>
      <w:lvlJc w:val="left"/>
      <w:pPr>
        <w:ind w:left="4968" w:hanging="533"/>
      </w:pPr>
      <w:rPr>
        <w:rFonts w:hint="default"/>
      </w:rPr>
    </w:lvl>
    <w:lvl w:ilvl="6">
      <w:numFmt w:val="bullet"/>
      <w:lvlText w:val="•"/>
      <w:lvlJc w:val="left"/>
      <w:pPr>
        <w:ind w:left="5911" w:hanging="533"/>
      </w:pPr>
      <w:rPr>
        <w:rFonts w:hint="default"/>
      </w:rPr>
    </w:lvl>
    <w:lvl w:ilvl="7">
      <w:numFmt w:val="bullet"/>
      <w:lvlText w:val="•"/>
      <w:lvlJc w:val="left"/>
      <w:pPr>
        <w:ind w:left="6853" w:hanging="533"/>
      </w:pPr>
      <w:rPr>
        <w:rFonts w:hint="default"/>
      </w:rPr>
    </w:lvl>
    <w:lvl w:ilvl="8">
      <w:numFmt w:val="bullet"/>
      <w:lvlText w:val="•"/>
      <w:lvlJc w:val="left"/>
      <w:pPr>
        <w:ind w:left="7795" w:hanging="533"/>
      </w:pPr>
      <w:rPr>
        <w:rFonts w:hint="default"/>
      </w:rPr>
    </w:lvl>
  </w:abstractNum>
  <w:abstractNum w:abstractNumId="30" w15:restartNumberingAfterBreak="0">
    <w:nsid w:val="6D0C3BB7"/>
    <w:multiLevelType w:val="hybridMultilevel"/>
    <w:tmpl w:val="38626C56"/>
    <w:lvl w:ilvl="0" w:tplc="24D09BFE">
      <w:start w:val="1"/>
      <w:numFmt w:val="bullet"/>
      <w:lvlText w:val=""/>
      <w:lvlJc w:val="left"/>
      <w:pPr>
        <w:ind w:left="720" w:hanging="360"/>
      </w:pPr>
      <w:rPr>
        <w:rFonts w:ascii="Symbol" w:hAnsi="Symbol" w:hint="default"/>
      </w:rPr>
    </w:lvl>
    <w:lvl w:ilvl="1" w:tplc="CEE8406E" w:tentative="1">
      <w:start w:val="1"/>
      <w:numFmt w:val="bullet"/>
      <w:lvlText w:val="o"/>
      <w:lvlJc w:val="left"/>
      <w:pPr>
        <w:ind w:left="1440" w:hanging="360"/>
      </w:pPr>
      <w:rPr>
        <w:rFonts w:ascii="Courier New" w:hAnsi="Courier New" w:cs="Courier New" w:hint="default"/>
      </w:rPr>
    </w:lvl>
    <w:lvl w:ilvl="2" w:tplc="3440D98C" w:tentative="1">
      <w:start w:val="1"/>
      <w:numFmt w:val="bullet"/>
      <w:lvlText w:val=""/>
      <w:lvlJc w:val="left"/>
      <w:pPr>
        <w:ind w:left="2160" w:hanging="360"/>
      </w:pPr>
      <w:rPr>
        <w:rFonts w:ascii="Wingdings" w:hAnsi="Wingdings" w:hint="default"/>
      </w:rPr>
    </w:lvl>
    <w:lvl w:ilvl="3" w:tplc="9210D330" w:tentative="1">
      <w:start w:val="1"/>
      <w:numFmt w:val="bullet"/>
      <w:lvlText w:val=""/>
      <w:lvlJc w:val="left"/>
      <w:pPr>
        <w:ind w:left="2880" w:hanging="360"/>
      </w:pPr>
      <w:rPr>
        <w:rFonts w:ascii="Symbol" w:hAnsi="Symbol" w:hint="default"/>
      </w:rPr>
    </w:lvl>
    <w:lvl w:ilvl="4" w:tplc="9A3458E0" w:tentative="1">
      <w:start w:val="1"/>
      <w:numFmt w:val="bullet"/>
      <w:lvlText w:val="o"/>
      <w:lvlJc w:val="left"/>
      <w:pPr>
        <w:ind w:left="3600" w:hanging="360"/>
      </w:pPr>
      <w:rPr>
        <w:rFonts w:ascii="Courier New" w:hAnsi="Courier New" w:cs="Courier New" w:hint="default"/>
      </w:rPr>
    </w:lvl>
    <w:lvl w:ilvl="5" w:tplc="255459C0" w:tentative="1">
      <w:start w:val="1"/>
      <w:numFmt w:val="bullet"/>
      <w:lvlText w:val=""/>
      <w:lvlJc w:val="left"/>
      <w:pPr>
        <w:ind w:left="4320" w:hanging="360"/>
      </w:pPr>
      <w:rPr>
        <w:rFonts w:ascii="Wingdings" w:hAnsi="Wingdings" w:hint="default"/>
      </w:rPr>
    </w:lvl>
    <w:lvl w:ilvl="6" w:tplc="7B5AA2D2" w:tentative="1">
      <w:start w:val="1"/>
      <w:numFmt w:val="bullet"/>
      <w:lvlText w:val=""/>
      <w:lvlJc w:val="left"/>
      <w:pPr>
        <w:ind w:left="5040" w:hanging="360"/>
      </w:pPr>
      <w:rPr>
        <w:rFonts w:ascii="Symbol" w:hAnsi="Symbol" w:hint="default"/>
      </w:rPr>
    </w:lvl>
    <w:lvl w:ilvl="7" w:tplc="CA68745C" w:tentative="1">
      <w:start w:val="1"/>
      <w:numFmt w:val="bullet"/>
      <w:lvlText w:val="o"/>
      <w:lvlJc w:val="left"/>
      <w:pPr>
        <w:ind w:left="5760" w:hanging="360"/>
      </w:pPr>
      <w:rPr>
        <w:rFonts w:ascii="Courier New" w:hAnsi="Courier New" w:cs="Courier New" w:hint="default"/>
      </w:rPr>
    </w:lvl>
    <w:lvl w:ilvl="8" w:tplc="82CC6352" w:tentative="1">
      <w:start w:val="1"/>
      <w:numFmt w:val="bullet"/>
      <w:lvlText w:val=""/>
      <w:lvlJc w:val="left"/>
      <w:pPr>
        <w:ind w:left="6480" w:hanging="360"/>
      </w:pPr>
      <w:rPr>
        <w:rFonts w:ascii="Wingdings" w:hAnsi="Wingdings" w:hint="default"/>
      </w:rPr>
    </w:lvl>
  </w:abstractNum>
  <w:abstractNum w:abstractNumId="31" w15:restartNumberingAfterBreak="0">
    <w:nsid w:val="6D9E08A0"/>
    <w:multiLevelType w:val="hybridMultilevel"/>
    <w:tmpl w:val="488A26E0"/>
    <w:lvl w:ilvl="0" w:tplc="C8261768">
      <w:start w:val="1"/>
      <w:numFmt w:val="bullet"/>
      <w:lvlText w:val=""/>
      <w:lvlJc w:val="left"/>
      <w:pPr>
        <w:tabs>
          <w:tab w:val="num" w:pos="900"/>
        </w:tabs>
        <w:ind w:left="900" w:hanging="360"/>
      </w:pPr>
      <w:rPr>
        <w:rFonts w:ascii="Symbol" w:hAnsi="Symbol" w:hint="default"/>
      </w:rPr>
    </w:lvl>
    <w:lvl w:ilvl="1" w:tplc="5FCA31E0" w:tentative="1">
      <w:start w:val="1"/>
      <w:numFmt w:val="bullet"/>
      <w:lvlText w:val="o"/>
      <w:lvlJc w:val="left"/>
      <w:pPr>
        <w:tabs>
          <w:tab w:val="num" w:pos="1440"/>
        </w:tabs>
        <w:ind w:left="1440" w:hanging="360"/>
      </w:pPr>
      <w:rPr>
        <w:rFonts w:ascii="Courier New" w:hAnsi="Courier New" w:cs="Courier New" w:hint="default"/>
      </w:rPr>
    </w:lvl>
    <w:lvl w:ilvl="2" w:tplc="DBF6FB44" w:tentative="1">
      <w:start w:val="1"/>
      <w:numFmt w:val="bullet"/>
      <w:lvlText w:val=""/>
      <w:lvlJc w:val="left"/>
      <w:pPr>
        <w:tabs>
          <w:tab w:val="num" w:pos="2160"/>
        </w:tabs>
        <w:ind w:left="2160" w:hanging="360"/>
      </w:pPr>
      <w:rPr>
        <w:rFonts w:ascii="Wingdings" w:hAnsi="Wingdings" w:hint="default"/>
      </w:rPr>
    </w:lvl>
    <w:lvl w:ilvl="3" w:tplc="ECBA445C" w:tentative="1">
      <w:start w:val="1"/>
      <w:numFmt w:val="bullet"/>
      <w:lvlText w:val=""/>
      <w:lvlJc w:val="left"/>
      <w:pPr>
        <w:tabs>
          <w:tab w:val="num" w:pos="2880"/>
        </w:tabs>
        <w:ind w:left="2880" w:hanging="360"/>
      </w:pPr>
      <w:rPr>
        <w:rFonts w:ascii="Symbol" w:hAnsi="Symbol" w:hint="default"/>
      </w:rPr>
    </w:lvl>
    <w:lvl w:ilvl="4" w:tplc="E242A35A" w:tentative="1">
      <w:start w:val="1"/>
      <w:numFmt w:val="bullet"/>
      <w:lvlText w:val="o"/>
      <w:lvlJc w:val="left"/>
      <w:pPr>
        <w:tabs>
          <w:tab w:val="num" w:pos="3600"/>
        </w:tabs>
        <w:ind w:left="3600" w:hanging="360"/>
      </w:pPr>
      <w:rPr>
        <w:rFonts w:ascii="Courier New" w:hAnsi="Courier New" w:cs="Courier New" w:hint="default"/>
      </w:rPr>
    </w:lvl>
    <w:lvl w:ilvl="5" w:tplc="464AF8D8" w:tentative="1">
      <w:start w:val="1"/>
      <w:numFmt w:val="bullet"/>
      <w:lvlText w:val=""/>
      <w:lvlJc w:val="left"/>
      <w:pPr>
        <w:tabs>
          <w:tab w:val="num" w:pos="4320"/>
        </w:tabs>
        <w:ind w:left="4320" w:hanging="360"/>
      </w:pPr>
      <w:rPr>
        <w:rFonts w:ascii="Wingdings" w:hAnsi="Wingdings" w:hint="default"/>
      </w:rPr>
    </w:lvl>
    <w:lvl w:ilvl="6" w:tplc="2C201F4A" w:tentative="1">
      <w:start w:val="1"/>
      <w:numFmt w:val="bullet"/>
      <w:lvlText w:val=""/>
      <w:lvlJc w:val="left"/>
      <w:pPr>
        <w:tabs>
          <w:tab w:val="num" w:pos="5040"/>
        </w:tabs>
        <w:ind w:left="5040" w:hanging="360"/>
      </w:pPr>
      <w:rPr>
        <w:rFonts w:ascii="Symbol" w:hAnsi="Symbol" w:hint="default"/>
      </w:rPr>
    </w:lvl>
    <w:lvl w:ilvl="7" w:tplc="CC0442BE" w:tentative="1">
      <w:start w:val="1"/>
      <w:numFmt w:val="bullet"/>
      <w:lvlText w:val="o"/>
      <w:lvlJc w:val="left"/>
      <w:pPr>
        <w:tabs>
          <w:tab w:val="num" w:pos="5760"/>
        </w:tabs>
        <w:ind w:left="5760" w:hanging="360"/>
      </w:pPr>
      <w:rPr>
        <w:rFonts w:ascii="Courier New" w:hAnsi="Courier New" w:cs="Courier New" w:hint="default"/>
      </w:rPr>
    </w:lvl>
    <w:lvl w:ilvl="8" w:tplc="CDD4CE9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237286"/>
    <w:multiLevelType w:val="hybridMultilevel"/>
    <w:tmpl w:val="85B845CE"/>
    <w:lvl w:ilvl="0" w:tplc="373C89AC">
      <w:start w:val="1"/>
      <w:numFmt w:val="bullet"/>
      <w:lvlText w:val=""/>
      <w:lvlJc w:val="left"/>
      <w:pPr>
        <w:ind w:left="720" w:hanging="360"/>
      </w:pPr>
      <w:rPr>
        <w:rFonts w:ascii="Symbol" w:hAnsi="Symbol" w:hint="default"/>
      </w:rPr>
    </w:lvl>
    <w:lvl w:ilvl="1" w:tplc="34AE4E9E" w:tentative="1">
      <w:start w:val="1"/>
      <w:numFmt w:val="bullet"/>
      <w:lvlText w:val="o"/>
      <w:lvlJc w:val="left"/>
      <w:pPr>
        <w:ind w:left="1440" w:hanging="360"/>
      </w:pPr>
      <w:rPr>
        <w:rFonts w:ascii="Courier New" w:hAnsi="Courier New" w:cs="Courier New" w:hint="default"/>
      </w:rPr>
    </w:lvl>
    <w:lvl w:ilvl="2" w:tplc="7CAC3D0A" w:tentative="1">
      <w:start w:val="1"/>
      <w:numFmt w:val="bullet"/>
      <w:lvlText w:val=""/>
      <w:lvlJc w:val="left"/>
      <w:pPr>
        <w:ind w:left="2160" w:hanging="360"/>
      </w:pPr>
      <w:rPr>
        <w:rFonts w:ascii="Wingdings" w:hAnsi="Wingdings" w:hint="default"/>
      </w:rPr>
    </w:lvl>
    <w:lvl w:ilvl="3" w:tplc="0144FD9A" w:tentative="1">
      <w:start w:val="1"/>
      <w:numFmt w:val="bullet"/>
      <w:lvlText w:val=""/>
      <w:lvlJc w:val="left"/>
      <w:pPr>
        <w:ind w:left="2880" w:hanging="360"/>
      </w:pPr>
      <w:rPr>
        <w:rFonts w:ascii="Symbol" w:hAnsi="Symbol" w:hint="default"/>
      </w:rPr>
    </w:lvl>
    <w:lvl w:ilvl="4" w:tplc="95E059BA" w:tentative="1">
      <w:start w:val="1"/>
      <w:numFmt w:val="bullet"/>
      <w:lvlText w:val="o"/>
      <w:lvlJc w:val="left"/>
      <w:pPr>
        <w:ind w:left="3600" w:hanging="360"/>
      </w:pPr>
      <w:rPr>
        <w:rFonts w:ascii="Courier New" w:hAnsi="Courier New" w:cs="Courier New" w:hint="default"/>
      </w:rPr>
    </w:lvl>
    <w:lvl w:ilvl="5" w:tplc="AF4A5636" w:tentative="1">
      <w:start w:val="1"/>
      <w:numFmt w:val="bullet"/>
      <w:lvlText w:val=""/>
      <w:lvlJc w:val="left"/>
      <w:pPr>
        <w:ind w:left="4320" w:hanging="360"/>
      </w:pPr>
      <w:rPr>
        <w:rFonts w:ascii="Wingdings" w:hAnsi="Wingdings" w:hint="default"/>
      </w:rPr>
    </w:lvl>
    <w:lvl w:ilvl="6" w:tplc="BE74FCEE" w:tentative="1">
      <w:start w:val="1"/>
      <w:numFmt w:val="bullet"/>
      <w:lvlText w:val=""/>
      <w:lvlJc w:val="left"/>
      <w:pPr>
        <w:ind w:left="5040" w:hanging="360"/>
      </w:pPr>
      <w:rPr>
        <w:rFonts w:ascii="Symbol" w:hAnsi="Symbol" w:hint="default"/>
      </w:rPr>
    </w:lvl>
    <w:lvl w:ilvl="7" w:tplc="F25C5FA4" w:tentative="1">
      <w:start w:val="1"/>
      <w:numFmt w:val="bullet"/>
      <w:lvlText w:val="o"/>
      <w:lvlJc w:val="left"/>
      <w:pPr>
        <w:ind w:left="5760" w:hanging="360"/>
      </w:pPr>
      <w:rPr>
        <w:rFonts w:ascii="Courier New" w:hAnsi="Courier New" w:cs="Courier New" w:hint="default"/>
      </w:rPr>
    </w:lvl>
    <w:lvl w:ilvl="8" w:tplc="A7A0144E" w:tentative="1">
      <w:start w:val="1"/>
      <w:numFmt w:val="bullet"/>
      <w:lvlText w:val=""/>
      <w:lvlJc w:val="left"/>
      <w:pPr>
        <w:ind w:left="6480" w:hanging="360"/>
      </w:pPr>
      <w:rPr>
        <w:rFonts w:ascii="Wingdings" w:hAnsi="Wingdings" w:hint="default"/>
      </w:rPr>
    </w:lvl>
  </w:abstractNum>
  <w:abstractNum w:abstractNumId="33" w15:restartNumberingAfterBreak="0">
    <w:nsid w:val="75813669"/>
    <w:multiLevelType w:val="hybridMultilevel"/>
    <w:tmpl w:val="235AA76A"/>
    <w:lvl w:ilvl="0" w:tplc="91DE5666">
      <w:start w:val="1"/>
      <w:numFmt w:val="bullet"/>
      <w:pStyle w:val="a"/>
      <w:lvlText w:val=""/>
      <w:lvlJc w:val="left"/>
      <w:pPr>
        <w:tabs>
          <w:tab w:val="num" w:pos="720"/>
        </w:tabs>
        <w:ind w:left="720" w:hanging="360"/>
      </w:pPr>
      <w:rPr>
        <w:rFonts w:ascii="Symbol" w:hAnsi="Symbol" w:hint="default"/>
      </w:rPr>
    </w:lvl>
    <w:lvl w:ilvl="1" w:tplc="20B4FC04" w:tentative="1">
      <w:start w:val="1"/>
      <w:numFmt w:val="bullet"/>
      <w:lvlText w:val="o"/>
      <w:lvlJc w:val="left"/>
      <w:pPr>
        <w:tabs>
          <w:tab w:val="num" w:pos="1440"/>
        </w:tabs>
        <w:ind w:left="1440" w:hanging="360"/>
      </w:pPr>
      <w:rPr>
        <w:rFonts w:ascii="Courier New" w:hAnsi="Courier New" w:cs="Courier New" w:hint="default"/>
      </w:rPr>
    </w:lvl>
    <w:lvl w:ilvl="2" w:tplc="B9D476AC" w:tentative="1">
      <w:start w:val="1"/>
      <w:numFmt w:val="bullet"/>
      <w:lvlText w:val=""/>
      <w:lvlJc w:val="left"/>
      <w:pPr>
        <w:tabs>
          <w:tab w:val="num" w:pos="2160"/>
        </w:tabs>
        <w:ind w:left="2160" w:hanging="360"/>
      </w:pPr>
      <w:rPr>
        <w:rFonts w:ascii="Wingdings" w:hAnsi="Wingdings" w:hint="default"/>
      </w:rPr>
    </w:lvl>
    <w:lvl w:ilvl="3" w:tplc="49166056" w:tentative="1">
      <w:start w:val="1"/>
      <w:numFmt w:val="bullet"/>
      <w:lvlText w:val=""/>
      <w:lvlJc w:val="left"/>
      <w:pPr>
        <w:tabs>
          <w:tab w:val="num" w:pos="2880"/>
        </w:tabs>
        <w:ind w:left="2880" w:hanging="360"/>
      </w:pPr>
      <w:rPr>
        <w:rFonts w:ascii="Symbol" w:hAnsi="Symbol" w:hint="default"/>
      </w:rPr>
    </w:lvl>
    <w:lvl w:ilvl="4" w:tplc="596E3974" w:tentative="1">
      <w:start w:val="1"/>
      <w:numFmt w:val="bullet"/>
      <w:lvlText w:val="o"/>
      <w:lvlJc w:val="left"/>
      <w:pPr>
        <w:tabs>
          <w:tab w:val="num" w:pos="3600"/>
        </w:tabs>
        <w:ind w:left="3600" w:hanging="360"/>
      </w:pPr>
      <w:rPr>
        <w:rFonts w:ascii="Courier New" w:hAnsi="Courier New" w:cs="Courier New" w:hint="default"/>
      </w:rPr>
    </w:lvl>
    <w:lvl w:ilvl="5" w:tplc="672807F8" w:tentative="1">
      <w:start w:val="1"/>
      <w:numFmt w:val="bullet"/>
      <w:lvlText w:val=""/>
      <w:lvlJc w:val="left"/>
      <w:pPr>
        <w:tabs>
          <w:tab w:val="num" w:pos="4320"/>
        </w:tabs>
        <w:ind w:left="4320" w:hanging="360"/>
      </w:pPr>
      <w:rPr>
        <w:rFonts w:ascii="Wingdings" w:hAnsi="Wingdings" w:hint="default"/>
      </w:rPr>
    </w:lvl>
    <w:lvl w:ilvl="6" w:tplc="25D488FE" w:tentative="1">
      <w:start w:val="1"/>
      <w:numFmt w:val="bullet"/>
      <w:lvlText w:val=""/>
      <w:lvlJc w:val="left"/>
      <w:pPr>
        <w:tabs>
          <w:tab w:val="num" w:pos="5040"/>
        </w:tabs>
        <w:ind w:left="5040" w:hanging="360"/>
      </w:pPr>
      <w:rPr>
        <w:rFonts w:ascii="Symbol" w:hAnsi="Symbol" w:hint="default"/>
      </w:rPr>
    </w:lvl>
    <w:lvl w:ilvl="7" w:tplc="E766E12A" w:tentative="1">
      <w:start w:val="1"/>
      <w:numFmt w:val="bullet"/>
      <w:lvlText w:val="o"/>
      <w:lvlJc w:val="left"/>
      <w:pPr>
        <w:tabs>
          <w:tab w:val="num" w:pos="5760"/>
        </w:tabs>
        <w:ind w:left="5760" w:hanging="360"/>
      </w:pPr>
      <w:rPr>
        <w:rFonts w:ascii="Courier New" w:hAnsi="Courier New" w:cs="Courier New" w:hint="default"/>
      </w:rPr>
    </w:lvl>
    <w:lvl w:ilvl="8" w:tplc="8CAC2670"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7A1EC3"/>
    <w:multiLevelType w:val="hybridMultilevel"/>
    <w:tmpl w:val="4EA8D7A6"/>
    <w:lvl w:ilvl="0" w:tplc="89284A88">
      <w:start w:val="1"/>
      <w:numFmt w:val="decimal"/>
      <w:lvlText w:val="%1."/>
      <w:lvlJc w:val="left"/>
      <w:pPr>
        <w:ind w:left="720" w:hanging="360"/>
      </w:pPr>
      <w:rPr>
        <w:rFonts w:hint="default"/>
      </w:rPr>
    </w:lvl>
    <w:lvl w:ilvl="1" w:tplc="D3888D9C" w:tentative="1">
      <w:start w:val="1"/>
      <w:numFmt w:val="lowerLetter"/>
      <w:lvlText w:val="%2."/>
      <w:lvlJc w:val="left"/>
      <w:pPr>
        <w:ind w:left="1440" w:hanging="360"/>
      </w:pPr>
    </w:lvl>
    <w:lvl w:ilvl="2" w:tplc="3E325160" w:tentative="1">
      <w:start w:val="1"/>
      <w:numFmt w:val="lowerRoman"/>
      <w:lvlText w:val="%3."/>
      <w:lvlJc w:val="right"/>
      <w:pPr>
        <w:ind w:left="2160" w:hanging="180"/>
      </w:pPr>
    </w:lvl>
    <w:lvl w:ilvl="3" w:tplc="491C4BE6" w:tentative="1">
      <w:start w:val="1"/>
      <w:numFmt w:val="decimal"/>
      <w:lvlText w:val="%4."/>
      <w:lvlJc w:val="left"/>
      <w:pPr>
        <w:ind w:left="2880" w:hanging="360"/>
      </w:pPr>
    </w:lvl>
    <w:lvl w:ilvl="4" w:tplc="26B084CE" w:tentative="1">
      <w:start w:val="1"/>
      <w:numFmt w:val="lowerLetter"/>
      <w:lvlText w:val="%5."/>
      <w:lvlJc w:val="left"/>
      <w:pPr>
        <w:ind w:left="3600" w:hanging="360"/>
      </w:pPr>
    </w:lvl>
    <w:lvl w:ilvl="5" w:tplc="3D4CFB22" w:tentative="1">
      <w:start w:val="1"/>
      <w:numFmt w:val="lowerRoman"/>
      <w:lvlText w:val="%6."/>
      <w:lvlJc w:val="right"/>
      <w:pPr>
        <w:ind w:left="4320" w:hanging="180"/>
      </w:pPr>
    </w:lvl>
    <w:lvl w:ilvl="6" w:tplc="14CEA16C" w:tentative="1">
      <w:start w:val="1"/>
      <w:numFmt w:val="decimal"/>
      <w:lvlText w:val="%7."/>
      <w:lvlJc w:val="left"/>
      <w:pPr>
        <w:ind w:left="5040" w:hanging="360"/>
      </w:pPr>
    </w:lvl>
    <w:lvl w:ilvl="7" w:tplc="442A8BDC" w:tentative="1">
      <w:start w:val="1"/>
      <w:numFmt w:val="lowerLetter"/>
      <w:lvlText w:val="%8."/>
      <w:lvlJc w:val="left"/>
      <w:pPr>
        <w:ind w:left="5760" w:hanging="360"/>
      </w:pPr>
    </w:lvl>
    <w:lvl w:ilvl="8" w:tplc="F06CEBC0" w:tentative="1">
      <w:start w:val="1"/>
      <w:numFmt w:val="lowerRoman"/>
      <w:lvlText w:val="%9."/>
      <w:lvlJc w:val="right"/>
      <w:pPr>
        <w:ind w:left="6480" w:hanging="180"/>
      </w:pPr>
    </w:lvl>
  </w:abstractNum>
  <w:abstractNum w:abstractNumId="35" w15:restartNumberingAfterBreak="0">
    <w:nsid w:val="7C452C0B"/>
    <w:multiLevelType w:val="multilevel"/>
    <w:tmpl w:val="9F0E5F54"/>
    <w:lvl w:ilvl="0">
      <w:start w:val="5"/>
      <w:numFmt w:val="decimal"/>
      <w:lvlText w:val="%1"/>
      <w:lvlJc w:val="left"/>
      <w:pPr>
        <w:ind w:left="516"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DA917EC"/>
    <w:multiLevelType w:val="hybridMultilevel"/>
    <w:tmpl w:val="D960E7DA"/>
    <w:lvl w:ilvl="0" w:tplc="2786BFDA">
      <w:start w:val="1"/>
      <w:numFmt w:val="bullet"/>
      <w:lvlText w:val=""/>
      <w:lvlJc w:val="left"/>
      <w:pPr>
        <w:tabs>
          <w:tab w:val="num" w:pos="1428"/>
        </w:tabs>
        <w:ind w:left="1428" w:hanging="360"/>
      </w:pPr>
      <w:rPr>
        <w:rFonts w:ascii="Symbol" w:hAnsi="Symbol" w:hint="default"/>
        <w:color w:val="auto"/>
      </w:rPr>
    </w:lvl>
    <w:lvl w:ilvl="1" w:tplc="A174906A" w:tentative="1">
      <w:start w:val="1"/>
      <w:numFmt w:val="bullet"/>
      <w:lvlText w:val="o"/>
      <w:lvlJc w:val="left"/>
      <w:pPr>
        <w:tabs>
          <w:tab w:val="num" w:pos="1440"/>
        </w:tabs>
        <w:ind w:left="1440" w:hanging="360"/>
      </w:pPr>
      <w:rPr>
        <w:rFonts w:ascii="Courier New" w:hAnsi="Courier New" w:cs="Courier New" w:hint="default"/>
      </w:rPr>
    </w:lvl>
    <w:lvl w:ilvl="2" w:tplc="B16613C0" w:tentative="1">
      <w:start w:val="1"/>
      <w:numFmt w:val="bullet"/>
      <w:lvlText w:val=""/>
      <w:lvlJc w:val="left"/>
      <w:pPr>
        <w:tabs>
          <w:tab w:val="num" w:pos="2160"/>
        </w:tabs>
        <w:ind w:left="2160" w:hanging="360"/>
      </w:pPr>
      <w:rPr>
        <w:rFonts w:ascii="Wingdings" w:hAnsi="Wingdings" w:hint="default"/>
      </w:rPr>
    </w:lvl>
    <w:lvl w:ilvl="3" w:tplc="0B6ED1F6" w:tentative="1">
      <w:start w:val="1"/>
      <w:numFmt w:val="bullet"/>
      <w:lvlText w:val=""/>
      <w:lvlJc w:val="left"/>
      <w:pPr>
        <w:tabs>
          <w:tab w:val="num" w:pos="2880"/>
        </w:tabs>
        <w:ind w:left="2880" w:hanging="360"/>
      </w:pPr>
      <w:rPr>
        <w:rFonts w:ascii="Symbol" w:hAnsi="Symbol" w:hint="default"/>
      </w:rPr>
    </w:lvl>
    <w:lvl w:ilvl="4" w:tplc="6E063744" w:tentative="1">
      <w:start w:val="1"/>
      <w:numFmt w:val="bullet"/>
      <w:lvlText w:val="o"/>
      <w:lvlJc w:val="left"/>
      <w:pPr>
        <w:tabs>
          <w:tab w:val="num" w:pos="3600"/>
        </w:tabs>
        <w:ind w:left="3600" w:hanging="360"/>
      </w:pPr>
      <w:rPr>
        <w:rFonts w:ascii="Courier New" w:hAnsi="Courier New" w:cs="Courier New" w:hint="default"/>
      </w:rPr>
    </w:lvl>
    <w:lvl w:ilvl="5" w:tplc="76CA8210" w:tentative="1">
      <w:start w:val="1"/>
      <w:numFmt w:val="bullet"/>
      <w:lvlText w:val=""/>
      <w:lvlJc w:val="left"/>
      <w:pPr>
        <w:tabs>
          <w:tab w:val="num" w:pos="4320"/>
        </w:tabs>
        <w:ind w:left="4320" w:hanging="360"/>
      </w:pPr>
      <w:rPr>
        <w:rFonts w:ascii="Wingdings" w:hAnsi="Wingdings" w:hint="default"/>
      </w:rPr>
    </w:lvl>
    <w:lvl w:ilvl="6" w:tplc="003A27B6" w:tentative="1">
      <w:start w:val="1"/>
      <w:numFmt w:val="bullet"/>
      <w:lvlText w:val=""/>
      <w:lvlJc w:val="left"/>
      <w:pPr>
        <w:tabs>
          <w:tab w:val="num" w:pos="5040"/>
        </w:tabs>
        <w:ind w:left="5040" w:hanging="360"/>
      </w:pPr>
      <w:rPr>
        <w:rFonts w:ascii="Symbol" w:hAnsi="Symbol" w:hint="default"/>
      </w:rPr>
    </w:lvl>
    <w:lvl w:ilvl="7" w:tplc="E43A318C" w:tentative="1">
      <w:start w:val="1"/>
      <w:numFmt w:val="bullet"/>
      <w:lvlText w:val="o"/>
      <w:lvlJc w:val="left"/>
      <w:pPr>
        <w:tabs>
          <w:tab w:val="num" w:pos="5760"/>
        </w:tabs>
        <w:ind w:left="5760" w:hanging="360"/>
      </w:pPr>
      <w:rPr>
        <w:rFonts w:ascii="Courier New" w:hAnsi="Courier New" w:cs="Courier New" w:hint="default"/>
      </w:rPr>
    </w:lvl>
    <w:lvl w:ilvl="8" w:tplc="51164E76"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16"/>
  </w:num>
  <w:num w:numId="3">
    <w:abstractNumId w:val="15"/>
  </w:num>
  <w:num w:numId="4">
    <w:abstractNumId w:val="26"/>
  </w:num>
  <w:num w:numId="5">
    <w:abstractNumId w:val="9"/>
  </w:num>
  <w:num w:numId="6">
    <w:abstractNumId w:val="36"/>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 w:ilvl="0">
        <w:numFmt w:val="bullet"/>
        <w:lvlText w:val="-"/>
        <w:legacy w:legacy="1" w:legacySpace="0" w:legacyIndent="144"/>
        <w:lvlJc w:val="left"/>
        <w:pPr>
          <w:ind w:left="0" w:firstLine="0"/>
        </w:pPr>
        <w:rPr>
          <w:rFonts w:ascii="Times New Roman" w:hAnsi="Times New Roman" w:cs="Times New Roman" w:hint="default"/>
        </w:rPr>
      </w:lvl>
    </w:lvlOverride>
  </w:num>
  <w:num w:numId="9">
    <w:abstractNumId w:val="8"/>
  </w:num>
  <w:num w:numId="10">
    <w:abstractNumId w:val="6"/>
  </w:num>
  <w:num w:numId="11">
    <w:abstractNumId w:val="33"/>
  </w:num>
  <w:num w:numId="12">
    <w:abstractNumId w:val="19"/>
  </w:num>
  <w:num w:numId="13">
    <w:abstractNumId w:val="22"/>
  </w:num>
  <w:num w:numId="14">
    <w:abstractNumId w:val="1"/>
  </w:num>
  <w:num w:numId="15">
    <w:abstractNumId w:val="2"/>
  </w:num>
  <w:num w:numId="16">
    <w:abstractNumId w:val="33"/>
  </w:num>
  <w:num w:numId="17">
    <w:abstractNumId w:val="6"/>
  </w:num>
  <w:num w:numId="18">
    <w:abstractNumId w:val="34"/>
  </w:num>
  <w:num w:numId="19">
    <w:abstractNumId w:val="24"/>
  </w:num>
  <w:num w:numId="20">
    <w:abstractNumId w:val="25"/>
  </w:num>
  <w:num w:numId="21">
    <w:abstractNumId w:val="13"/>
  </w:num>
  <w:num w:numId="22">
    <w:abstractNumId w:val="12"/>
  </w:num>
  <w:num w:numId="23">
    <w:abstractNumId w:val="3"/>
  </w:num>
  <w:num w:numId="24">
    <w:abstractNumId w:val="17"/>
  </w:num>
  <w:num w:numId="25">
    <w:abstractNumId w:val="21"/>
  </w:num>
  <w:num w:numId="26">
    <w:abstractNumId w:val="28"/>
  </w:num>
  <w:num w:numId="27">
    <w:abstractNumId w:val="32"/>
  </w:num>
  <w:num w:numId="28">
    <w:abstractNumId w:val="27"/>
  </w:num>
  <w:num w:numId="29">
    <w:abstractNumId w:val="30"/>
  </w:num>
  <w:num w:numId="30">
    <w:abstractNumId w:val="14"/>
  </w:num>
  <w:num w:numId="31">
    <w:abstractNumId w:val="7"/>
  </w:num>
  <w:num w:numId="32">
    <w:abstractNumId w:val="5"/>
  </w:num>
  <w:num w:numId="33">
    <w:abstractNumId w:val="35"/>
  </w:num>
  <w:num w:numId="34">
    <w:abstractNumId w:val="4"/>
  </w:num>
  <w:num w:numId="35">
    <w:abstractNumId w:val="11"/>
  </w:num>
  <w:num w:numId="36">
    <w:abstractNumId w:val="29"/>
  </w:num>
  <w:num w:numId="37">
    <w:abstractNumId w:val="10"/>
  </w:num>
  <w:num w:numId="38">
    <w:abstractNumId w:val="18"/>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13EA"/>
    <w:rsid w:val="000009E1"/>
    <w:rsid w:val="00004AC9"/>
    <w:rsid w:val="000215DD"/>
    <w:rsid w:val="000227BF"/>
    <w:rsid w:val="00023B9D"/>
    <w:rsid w:val="0003137B"/>
    <w:rsid w:val="000348AA"/>
    <w:rsid w:val="00051A88"/>
    <w:rsid w:val="000842B7"/>
    <w:rsid w:val="00090310"/>
    <w:rsid w:val="0009500A"/>
    <w:rsid w:val="00097600"/>
    <w:rsid w:val="000A28D4"/>
    <w:rsid w:val="000C21C2"/>
    <w:rsid w:val="000D091A"/>
    <w:rsid w:val="000D0E70"/>
    <w:rsid w:val="000D268C"/>
    <w:rsid w:val="000E3CBB"/>
    <w:rsid w:val="000F131E"/>
    <w:rsid w:val="0010039B"/>
    <w:rsid w:val="001047C3"/>
    <w:rsid w:val="00104D70"/>
    <w:rsid w:val="00113198"/>
    <w:rsid w:val="00121E33"/>
    <w:rsid w:val="00131DEC"/>
    <w:rsid w:val="00142CC9"/>
    <w:rsid w:val="00177DEA"/>
    <w:rsid w:val="0018289E"/>
    <w:rsid w:val="00183364"/>
    <w:rsid w:val="00192B03"/>
    <w:rsid w:val="001A53EE"/>
    <w:rsid w:val="001A6B43"/>
    <w:rsid w:val="001B38FB"/>
    <w:rsid w:val="001C1814"/>
    <w:rsid w:val="001E564B"/>
    <w:rsid w:val="00213396"/>
    <w:rsid w:val="00213B26"/>
    <w:rsid w:val="0021637C"/>
    <w:rsid w:val="002218DF"/>
    <w:rsid w:val="002243C2"/>
    <w:rsid w:val="002247D2"/>
    <w:rsid w:val="00230639"/>
    <w:rsid w:val="00234FE7"/>
    <w:rsid w:val="00236F39"/>
    <w:rsid w:val="002419FA"/>
    <w:rsid w:val="002459EE"/>
    <w:rsid w:val="00251C3F"/>
    <w:rsid w:val="00261482"/>
    <w:rsid w:val="00267174"/>
    <w:rsid w:val="00274D63"/>
    <w:rsid w:val="0028391E"/>
    <w:rsid w:val="002864DF"/>
    <w:rsid w:val="002B13EA"/>
    <w:rsid w:val="002C1894"/>
    <w:rsid w:val="002C36DA"/>
    <w:rsid w:val="002C7A0D"/>
    <w:rsid w:val="002F26A3"/>
    <w:rsid w:val="002F567E"/>
    <w:rsid w:val="00323683"/>
    <w:rsid w:val="00330365"/>
    <w:rsid w:val="00330A1D"/>
    <w:rsid w:val="00342450"/>
    <w:rsid w:val="003501F5"/>
    <w:rsid w:val="00353953"/>
    <w:rsid w:val="00355EB3"/>
    <w:rsid w:val="0035652B"/>
    <w:rsid w:val="00360CAD"/>
    <w:rsid w:val="00360F70"/>
    <w:rsid w:val="0036173E"/>
    <w:rsid w:val="00383F70"/>
    <w:rsid w:val="00384B82"/>
    <w:rsid w:val="00386373"/>
    <w:rsid w:val="003A12CD"/>
    <w:rsid w:val="003E3AB8"/>
    <w:rsid w:val="003F2EA4"/>
    <w:rsid w:val="003F6AD2"/>
    <w:rsid w:val="00413AFB"/>
    <w:rsid w:val="00435BB9"/>
    <w:rsid w:val="00457944"/>
    <w:rsid w:val="004601B0"/>
    <w:rsid w:val="00460AE2"/>
    <w:rsid w:val="00463E1A"/>
    <w:rsid w:val="0046727C"/>
    <w:rsid w:val="00467544"/>
    <w:rsid w:val="004965A8"/>
    <w:rsid w:val="004B1803"/>
    <w:rsid w:val="004B3F1E"/>
    <w:rsid w:val="004C326A"/>
    <w:rsid w:val="004D1EE5"/>
    <w:rsid w:val="004D483D"/>
    <w:rsid w:val="004D7A59"/>
    <w:rsid w:val="004E66E9"/>
    <w:rsid w:val="00512475"/>
    <w:rsid w:val="00514739"/>
    <w:rsid w:val="005309FB"/>
    <w:rsid w:val="0053731C"/>
    <w:rsid w:val="0054098D"/>
    <w:rsid w:val="00542FCC"/>
    <w:rsid w:val="005623CB"/>
    <w:rsid w:val="00587D2C"/>
    <w:rsid w:val="00593345"/>
    <w:rsid w:val="00593835"/>
    <w:rsid w:val="00594155"/>
    <w:rsid w:val="005B08AC"/>
    <w:rsid w:val="005B7BE0"/>
    <w:rsid w:val="005C11E8"/>
    <w:rsid w:val="005D6582"/>
    <w:rsid w:val="005E1725"/>
    <w:rsid w:val="005E23B4"/>
    <w:rsid w:val="005E4BE9"/>
    <w:rsid w:val="005F08F1"/>
    <w:rsid w:val="00605195"/>
    <w:rsid w:val="00605E29"/>
    <w:rsid w:val="006152BB"/>
    <w:rsid w:val="006153DC"/>
    <w:rsid w:val="00626509"/>
    <w:rsid w:val="0064217B"/>
    <w:rsid w:val="006430A0"/>
    <w:rsid w:val="00650908"/>
    <w:rsid w:val="0065406A"/>
    <w:rsid w:val="00661595"/>
    <w:rsid w:val="0067103A"/>
    <w:rsid w:val="00671EDF"/>
    <w:rsid w:val="006809A7"/>
    <w:rsid w:val="006B2B71"/>
    <w:rsid w:val="006C3CE5"/>
    <w:rsid w:val="006D6FA7"/>
    <w:rsid w:val="006D7259"/>
    <w:rsid w:val="006E3B90"/>
    <w:rsid w:val="00715155"/>
    <w:rsid w:val="0072219F"/>
    <w:rsid w:val="00725B03"/>
    <w:rsid w:val="00730684"/>
    <w:rsid w:val="007309D9"/>
    <w:rsid w:val="00734575"/>
    <w:rsid w:val="00735D2D"/>
    <w:rsid w:val="0076264C"/>
    <w:rsid w:val="00762906"/>
    <w:rsid w:val="007B7A97"/>
    <w:rsid w:val="007C6DBF"/>
    <w:rsid w:val="007D7D76"/>
    <w:rsid w:val="00810340"/>
    <w:rsid w:val="00812CB1"/>
    <w:rsid w:val="00815981"/>
    <w:rsid w:val="008202D6"/>
    <w:rsid w:val="00827AAF"/>
    <w:rsid w:val="00835847"/>
    <w:rsid w:val="00842ED3"/>
    <w:rsid w:val="00857D50"/>
    <w:rsid w:val="00871336"/>
    <w:rsid w:val="00874367"/>
    <w:rsid w:val="0087652F"/>
    <w:rsid w:val="008939CA"/>
    <w:rsid w:val="008968F8"/>
    <w:rsid w:val="00897F05"/>
    <w:rsid w:val="008C1447"/>
    <w:rsid w:val="008C2F6E"/>
    <w:rsid w:val="008C4E04"/>
    <w:rsid w:val="008D02D6"/>
    <w:rsid w:val="008D03BC"/>
    <w:rsid w:val="008D14D5"/>
    <w:rsid w:val="008E3106"/>
    <w:rsid w:val="008F4079"/>
    <w:rsid w:val="00911C81"/>
    <w:rsid w:val="009125F8"/>
    <w:rsid w:val="009213F6"/>
    <w:rsid w:val="0092386F"/>
    <w:rsid w:val="00932A6F"/>
    <w:rsid w:val="00942DAE"/>
    <w:rsid w:val="00945A0C"/>
    <w:rsid w:val="0094695E"/>
    <w:rsid w:val="00951D4A"/>
    <w:rsid w:val="00952CF2"/>
    <w:rsid w:val="009546D3"/>
    <w:rsid w:val="009629D0"/>
    <w:rsid w:val="00962CF5"/>
    <w:rsid w:val="00972C74"/>
    <w:rsid w:val="00976805"/>
    <w:rsid w:val="00977369"/>
    <w:rsid w:val="009942A1"/>
    <w:rsid w:val="00995847"/>
    <w:rsid w:val="009B48B2"/>
    <w:rsid w:val="009C06AF"/>
    <w:rsid w:val="009C25DD"/>
    <w:rsid w:val="009C387B"/>
    <w:rsid w:val="009D004B"/>
    <w:rsid w:val="009E692C"/>
    <w:rsid w:val="009E6BB8"/>
    <w:rsid w:val="009E7C29"/>
    <w:rsid w:val="009F04F1"/>
    <w:rsid w:val="009F449D"/>
    <w:rsid w:val="009F796B"/>
    <w:rsid w:val="00A00D3D"/>
    <w:rsid w:val="00A00DCE"/>
    <w:rsid w:val="00A04010"/>
    <w:rsid w:val="00A07D5C"/>
    <w:rsid w:val="00A1465C"/>
    <w:rsid w:val="00A1593B"/>
    <w:rsid w:val="00A1762B"/>
    <w:rsid w:val="00A323CD"/>
    <w:rsid w:val="00A4051E"/>
    <w:rsid w:val="00A472E8"/>
    <w:rsid w:val="00A4749F"/>
    <w:rsid w:val="00A52946"/>
    <w:rsid w:val="00A615D4"/>
    <w:rsid w:val="00A71A66"/>
    <w:rsid w:val="00A96741"/>
    <w:rsid w:val="00AC13A9"/>
    <w:rsid w:val="00AD407E"/>
    <w:rsid w:val="00AD527D"/>
    <w:rsid w:val="00AD5A5D"/>
    <w:rsid w:val="00AE6005"/>
    <w:rsid w:val="00AF78F5"/>
    <w:rsid w:val="00B030B5"/>
    <w:rsid w:val="00B06807"/>
    <w:rsid w:val="00B07C97"/>
    <w:rsid w:val="00B1072A"/>
    <w:rsid w:val="00B13378"/>
    <w:rsid w:val="00B13C47"/>
    <w:rsid w:val="00B14823"/>
    <w:rsid w:val="00B157C7"/>
    <w:rsid w:val="00B267A3"/>
    <w:rsid w:val="00B44468"/>
    <w:rsid w:val="00B449C6"/>
    <w:rsid w:val="00B51AC2"/>
    <w:rsid w:val="00B538F8"/>
    <w:rsid w:val="00B625B5"/>
    <w:rsid w:val="00B63075"/>
    <w:rsid w:val="00B64900"/>
    <w:rsid w:val="00B70E01"/>
    <w:rsid w:val="00B85CDC"/>
    <w:rsid w:val="00BB561F"/>
    <w:rsid w:val="00BB7AA4"/>
    <w:rsid w:val="00BC1CB0"/>
    <w:rsid w:val="00BD2441"/>
    <w:rsid w:val="00BD2F5B"/>
    <w:rsid w:val="00BD3C43"/>
    <w:rsid w:val="00BE3C20"/>
    <w:rsid w:val="00BF18C2"/>
    <w:rsid w:val="00C006E9"/>
    <w:rsid w:val="00C05345"/>
    <w:rsid w:val="00C06E37"/>
    <w:rsid w:val="00C20C33"/>
    <w:rsid w:val="00C248BB"/>
    <w:rsid w:val="00C24A5F"/>
    <w:rsid w:val="00C40EA5"/>
    <w:rsid w:val="00C525F2"/>
    <w:rsid w:val="00C62B06"/>
    <w:rsid w:val="00C66D3E"/>
    <w:rsid w:val="00C67910"/>
    <w:rsid w:val="00C73791"/>
    <w:rsid w:val="00C76D45"/>
    <w:rsid w:val="00C85624"/>
    <w:rsid w:val="00C87F62"/>
    <w:rsid w:val="00C96598"/>
    <w:rsid w:val="00CA19E6"/>
    <w:rsid w:val="00CA1FAE"/>
    <w:rsid w:val="00CC1B2A"/>
    <w:rsid w:val="00CD24EF"/>
    <w:rsid w:val="00CD470C"/>
    <w:rsid w:val="00CE4A06"/>
    <w:rsid w:val="00CE7195"/>
    <w:rsid w:val="00CF0842"/>
    <w:rsid w:val="00CF2D83"/>
    <w:rsid w:val="00D15117"/>
    <w:rsid w:val="00D153E5"/>
    <w:rsid w:val="00D202E3"/>
    <w:rsid w:val="00D22BB0"/>
    <w:rsid w:val="00D22E83"/>
    <w:rsid w:val="00D33D43"/>
    <w:rsid w:val="00D46EF7"/>
    <w:rsid w:val="00D53091"/>
    <w:rsid w:val="00D618E1"/>
    <w:rsid w:val="00D66D21"/>
    <w:rsid w:val="00D84F30"/>
    <w:rsid w:val="00DB79A4"/>
    <w:rsid w:val="00DC0846"/>
    <w:rsid w:val="00DC671E"/>
    <w:rsid w:val="00DE15DC"/>
    <w:rsid w:val="00DE4751"/>
    <w:rsid w:val="00DE4CE0"/>
    <w:rsid w:val="00DF3627"/>
    <w:rsid w:val="00E02847"/>
    <w:rsid w:val="00E064EF"/>
    <w:rsid w:val="00E13DEB"/>
    <w:rsid w:val="00E217B8"/>
    <w:rsid w:val="00E22CDE"/>
    <w:rsid w:val="00E41403"/>
    <w:rsid w:val="00E5615D"/>
    <w:rsid w:val="00E6135F"/>
    <w:rsid w:val="00E83C28"/>
    <w:rsid w:val="00E84A86"/>
    <w:rsid w:val="00EA4D62"/>
    <w:rsid w:val="00EC28F8"/>
    <w:rsid w:val="00EC4F3F"/>
    <w:rsid w:val="00EC7C9F"/>
    <w:rsid w:val="00ED4A0F"/>
    <w:rsid w:val="00ED56D5"/>
    <w:rsid w:val="00EE0E34"/>
    <w:rsid w:val="00EF5535"/>
    <w:rsid w:val="00F0663E"/>
    <w:rsid w:val="00F17722"/>
    <w:rsid w:val="00F35716"/>
    <w:rsid w:val="00F406CD"/>
    <w:rsid w:val="00F44569"/>
    <w:rsid w:val="00F526A3"/>
    <w:rsid w:val="00F53A81"/>
    <w:rsid w:val="00F65912"/>
    <w:rsid w:val="00F726D9"/>
    <w:rsid w:val="00F7273E"/>
    <w:rsid w:val="00F73505"/>
    <w:rsid w:val="00F84C6E"/>
    <w:rsid w:val="00F92826"/>
    <w:rsid w:val="00F96CC9"/>
    <w:rsid w:val="00FA12BD"/>
    <w:rsid w:val="00FA41B9"/>
    <w:rsid w:val="00FA6E73"/>
    <w:rsid w:val="00FD2D00"/>
    <w:rsid w:val="00FE15A4"/>
    <w:rsid w:val="00FE2CA8"/>
    <w:rsid w:val="00FE573F"/>
    <w:rsid w:val="00FF3209"/>
    <w:rsid w:val="00FF3A74"/>
    <w:rsid w:val="00FF78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C61C0"/>
  <w15:docId w15:val="{E0D1DB7A-1DFC-4F05-914E-39B9BE61D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84C6E"/>
    <w:rPr>
      <w:rFonts w:ascii="Times New Roman" w:eastAsia="Times New Roman" w:hAnsi="Times New Roman"/>
      <w:sz w:val="24"/>
      <w:szCs w:val="24"/>
    </w:rPr>
  </w:style>
  <w:style w:type="paragraph" w:styleId="1">
    <w:name w:val="heading 1"/>
    <w:basedOn w:val="a0"/>
    <w:next w:val="a0"/>
    <w:link w:val="10"/>
    <w:qFormat/>
    <w:rsid w:val="00B07C97"/>
    <w:pPr>
      <w:keepNext/>
      <w:jc w:val="center"/>
      <w:outlineLvl w:val="0"/>
    </w:pPr>
    <w:rPr>
      <w:rFonts w:ascii="Times New Roman(K)" w:hAnsi="Times New Roman(K)"/>
      <w:b/>
      <w:bCs/>
      <w:sz w:val="28"/>
      <w:lang w:val="uk-UA"/>
    </w:rPr>
  </w:style>
  <w:style w:type="paragraph" w:styleId="2">
    <w:name w:val="heading 2"/>
    <w:basedOn w:val="a0"/>
    <w:next w:val="a0"/>
    <w:link w:val="20"/>
    <w:qFormat/>
    <w:rsid w:val="00B07C97"/>
    <w:pPr>
      <w:keepNext/>
      <w:autoSpaceDE w:val="0"/>
      <w:autoSpaceDN w:val="0"/>
      <w:adjustRightInd w:val="0"/>
      <w:outlineLvl w:val="1"/>
    </w:pPr>
    <w:rPr>
      <w:rFonts w:eastAsia="Batang"/>
      <w:sz w:val="36"/>
      <w:szCs w:val="36"/>
    </w:rPr>
  </w:style>
  <w:style w:type="paragraph" w:styleId="3">
    <w:name w:val="heading 3"/>
    <w:basedOn w:val="a0"/>
    <w:next w:val="a0"/>
    <w:link w:val="30"/>
    <w:qFormat/>
    <w:rsid w:val="00B07C97"/>
    <w:pPr>
      <w:keepNext/>
      <w:jc w:val="both"/>
      <w:outlineLvl w:val="2"/>
    </w:pPr>
    <w:rPr>
      <w:rFonts w:ascii="Times New Roman(K)" w:hAnsi="Times New Roman(K)"/>
      <w:b/>
      <w:bCs/>
      <w:sz w:val="28"/>
      <w:lang w:val="be-BY"/>
    </w:rPr>
  </w:style>
  <w:style w:type="paragraph" w:styleId="4">
    <w:name w:val="heading 4"/>
    <w:basedOn w:val="a0"/>
    <w:next w:val="a0"/>
    <w:link w:val="40"/>
    <w:qFormat/>
    <w:rsid w:val="00B07C97"/>
    <w:pPr>
      <w:keepNext/>
      <w:jc w:val="both"/>
      <w:outlineLvl w:val="3"/>
    </w:pPr>
    <w:rPr>
      <w:rFonts w:ascii="Times New Roman(K)" w:hAnsi="Times New Roman(K)"/>
      <w:b/>
      <w:bCs/>
      <w:i/>
      <w:iCs/>
      <w:sz w:val="28"/>
      <w:lang w:val="be-BY"/>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07C97"/>
    <w:rPr>
      <w:rFonts w:ascii="Times New Roman(K)" w:eastAsia="Times New Roman" w:hAnsi="Times New Roman(K)" w:cs="Times New Roman"/>
      <w:b/>
      <w:bCs/>
      <w:sz w:val="28"/>
      <w:szCs w:val="24"/>
      <w:lang w:val="uk-UA" w:eastAsia="ru-RU"/>
    </w:rPr>
  </w:style>
  <w:style w:type="character" w:customStyle="1" w:styleId="20">
    <w:name w:val="Заголовок 2 Знак"/>
    <w:link w:val="2"/>
    <w:rsid w:val="00B07C97"/>
    <w:rPr>
      <w:rFonts w:ascii="Times New Roman" w:eastAsia="Batang" w:hAnsi="Times New Roman" w:cs="Times New Roman"/>
      <w:sz w:val="36"/>
      <w:szCs w:val="36"/>
      <w:lang w:eastAsia="ru-RU"/>
    </w:rPr>
  </w:style>
  <w:style w:type="character" w:customStyle="1" w:styleId="30">
    <w:name w:val="Заголовок 3 Знак"/>
    <w:link w:val="3"/>
    <w:rsid w:val="00B07C97"/>
    <w:rPr>
      <w:rFonts w:ascii="Times New Roman(K)" w:eastAsia="Times New Roman" w:hAnsi="Times New Roman(K)" w:cs="Times New Roman"/>
      <w:b/>
      <w:bCs/>
      <w:sz w:val="28"/>
      <w:szCs w:val="24"/>
      <w:lang w:val="be-BY" w:eastAsia="ru-RU"/>
    </w:rPr>
  </w:style>
  <w:style w:type="character" w:customStyle="1" w:styleId="40">
    <w:name w:val="Заголовок 4 Знак"/>
    <w:link w:val="4"/>
    <w:rsid w:val="00B07C97"/>
    <w:rPr>
      <w:rFonts w:ascii="Times New Roman(K)" w:eastAsia="Times New Roman" w:hAnsi="Times New Roman(K)" w:cs="Times New Roman"/>
      <w:b/>
      <w:bCs/>
      <w:i/>
      <w:iCs/>
      <w:sz w:val="28"/>
      <w:szCs w:val="24"/>
      <w:lang w:val="be-BY" w:eastAsia="ru-RU"/>
    </w:rPr>
  </w:style>
  <w:style w:type="paragraph" w:styleId="a4">
    <w:name w:val="Body Text"/>
    <w:basedOn w:val="a0"/>
    <w:link w:val="a5"/>
    <w:rsid w:val="00B07C97"/>
    <w:pPr>
      <w:autoSpaceDE w:val="0"/>
      <w:autoSpaceDN w:val="0"/>
      <w:adjustRightInd w:val="0"/>
      <w:spacing w:line="280" w:lineRule="atLeast"/>
      <w:jc w:val="both"/>
    </w:pPr>
    <w:rPr>
      <w:color w:val="000000"/>
      <w:sz w:val="20"/>
    </w:rPr>
  </w:style>
  <w:style w:type="character" w:customStyle="1" w:styleId="a5">
    <w:name w:val="Основной текст Знак"/>
    <w:link w:val="a4"/>
    <w:rsid w:val="00B07C97"/>
    <w:rPr>
      <w:rFonts w:ascii="Times New Roman" w:eastAsia="Times New Roman" w:hAnsi="Times New Roman" w:cs="Times New Roman"/>
      <w:color w:val="000000"/>
      <w:sz w:val="20"/>
      <w:szCs w:val="24"/>
      <w:lang w:eastAsia="ru-RU"/>
    </w:rPr>
  </w:style>
  <w:style w:type="paragraph" w:customStyle="1" w:styleId="a6">
    <w:name w:val="Центрованный"/>
    <w:basedOn w:val="a4"/>
    <w:next w:val="a4"/>
    <w:rsid w:val="00B07C97"/>
    <w:pPr>
      <w:jc w:val="center"/>
    </w:pPr>
    <w:rPr>
      <w:color w:val="auto"/>
    </w:rPr>
  </w:style>
  <w:style w:type="paragraph" w:styleId="a7">
    <w:name w:val="Body Text Indent"/>
    <w:basedOn w:val="a0"/>
    <w:link w:val="a8"/>
    <w:rsid w:val="00B07C97"/>
    <w:pPr>
      <w:spacing w:after="120"/>
      <w:ind w:left="283"/>
    </w:pPr>
    <w:rPr>
      <w:rFonts w:eastAsia="Batang"/>
    </w:rPr>
  </w:style>
  <w:style w:type="character" w:customStyle="1" w:styleId="a8">
    <w:name w:val="Основной текст с отступом Знак"/>
    <w:link w:val="a7"/>
    <w:rsid w:val="00B07C97"/>
    <w:rPr>
      <w:rFonts w:ascii="Times New Roman" w:eastAsia="Batang" w:hAnsi="Times New Roman" w:cs="Times New Roman"/>
      <w:sz w:val="24"/>
      <w:szCs w:val="24"/>
      <w:lang w:eastAsia="ru-RU"/>
    </w:rPr>
  </w:style>
  <w:style w:type="paragraph" w:customStyle="1" w:styleId="a9">
    <w:name w:val="Утверждаю"/>
    <w:basedOn w:val="a0"/>
    <w:rsid w:val="00B07C97"/>
    <w:pPr>
      <w:suppressAutoHyphens/>
      <w:ind w:left="4395" w:right="-74"/>
    </w:pPr>
    <w:rPr>
      <w:rFonts w:ascii="Arial" w:eastAsia="Batang" w:hAnsi="Arial"/>
      <w:szCs w:val="20"/>
    </w:rPr>
  </w:style>
  <w:style w:type="paragraph" w:customStyle="1" w:styleId="aa">
    <w:name w:val="[О] Заголовок"/>
    <w:rsid w:val="00B07C97"/>
    <w:pPr>
      <w:tabs>
        <w:tab w:val="right" w:leader="dot" w:pos="9355"/>
      </w:tabs>
      <w:autoSpaceDE w:val="0"/>
      <w:autoSpaceDN w:val="0"/>
      <w:adjustRightInd w:val="0"/>
      <w:ind w:left="283" w:hanging="283"/>
    </w:pPr>
    <w:rPr>
      <w:rFonts w:ascii="Times New Roman" w:eastAsia="Times New Roman" w:hAnsi="Times New Roman"/>
      <w:smallCaps/>
      <w:sz w:val="16"/>
      <w:szCs w:val="16"/>
    </w:rPr>
  </w:style>
  <w:style w:type="paragraph" w:styleId="ab">
    <w:name w:val="Title"/>
    <w:basedOn w:val="a4"/>
    <w:rsid w:val="00B07C97"/>
    <w:pPr>
      <w:spacing w:line="240" w:lineRule="auto"/>
      <w:jc w:val="center"/>
    </w:pPr>
    <w:rPr>
      <w:b/>
      <w:bCs/>
      <w:color w:val="auto"/>
      <w:sz w:val="36"/>
      <w:szCs w:val="36"/>
    </w:rPr>
  </w:style>
  <w:style w:type="paragraph" w:customStyle="1" w:styleId="11">
    <w:name w:val="Обычный1"/>
    <w:rsid w:val="00B07C97"/>
    <w:rPr>
      <w:rFonts w:ascii="Times New Roman" w:eastAsia="Batang" w:hAnsi="Times New Roman"/>
    </w:rPr>
  </w:style>
  <w:style w:type="paragraph" w:customStyle="1" w:styleId="21">
    <w:name w:val="Заголовок 21"/>
    <w:basedOn w:val="11"/>
    <w:next w:val="11"/>
    <w:rsid w:val="00B07C97"/>
    <w:pPr>
      <w:keepNext/>
      <w:outlineLvl w:val="1"/>
    </w:pPr>
    <w:rPr>
      <w:rFonts w:ascii="Times Kaz" w:hAnsi="Times Kaz"/>
      <w:sz w:val="28"/>
      <w:lang w:val="en-US"/>
    </w:rPr>
  </w:style>
  <w:style w:type="table" w:styleId="ac">
    <w:name w:val="Table Grid"/>
    <w:basedOn w:val="a2"/>
    <w:rsid w:val="00B07C9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0"/>
    <w:link w:val="ae"/>
    <w:uiPriority w:val="99"/>
    <w:rsid w:val="00B07C97"/>
    <w:pPr>
      <w:tabs>
        <w:tab w:val="center" w:pos="4153"/>
        <w:tab w:val="right" w:pos="8306"/>
      </w:tabs>
    </w:pPr>
    <w:rPr>
      <w:sz w:val="20"/>
      <w:szCs w:val="20"/>
    </w:rPr>
  </w:style>
  <w:style w:type="character" w:customStyle="1" w:styleId="ae">
    <w:name w:val="Верхний колонтитул Знак"/>
    <w:link w:val="ad"/>
    <w:uiPriority w:val="99"/>
    <w:rsid w:val="00B07C97"/>
    <w:rPr>
      <w:rFonts w:ascii="Times New Roman" w:eastAsia="Times New Roman" w:hAnsi="Times New Roman" w:cs="Times New Roman"/>
      <w:sz w:val="20"/>
      <w:szCs w:val="20"/>
      <w:lang w:eastAsia="ru-RU"/>
    </w:rPr>
  </w:style>
  <w:style w:type="character" w:styleId="af">
    <w:name w:val="Hyperlink"/>
    <w:uiPriority w:val="99"/>
    <w:rsid w:val="00B07C97"/>
    <w:rPr>
      <w:color w:val="0000FF"/>
      <w:u w:val="single"/>
    </w:rPr>
  </w:style>
  <w:style w:type="paragraph" w:styleId="22">
    <w:name w:val="Body Text 2"/>
    <w:basedOn w:val="a0"/>
    <w:link w:val="23"/>
    <w:rsid w:val="00B07C97"/>
    <w:pPr>
      <w:spacing w:after="120" w:line="480" w:lineRule="auto"/>
    </w:pPr>
    <w:rPr>
      <w:lang w:val="x-none" w:eastAsia="x-none"/>
    </w:rPr>
  </w:style>
  <w:style w:type="character" w:customStyle="1" w:styleId="23">
    <w:name w:val="Основной текст 2 Знак"/>
    <w:link w:val="22"/>
    <w:rsid w:val="00B07C97"/>
    <w:rPr>
      <w:rFonts w:ascii="Times New Roman" w:eastAsia="Times New Roman" w:hAnsi="Times New Roman" w:cs="Times New Roman"/>
      <w:sz w:val="24"/>
      <w:szCs w:val="24"/>
      <w:lang w:val="x-none" w:eastAsia="x-none"/>
    </w:rPr>
  </w:style>
  <w:style w:type="paragraph" w:styleId="31">
    <w:name w:val="Body Text 3"/>
    <w:basedOn w:val="a0"/>
    <w:link w:val="32"/>
    <w:rsid w:val="00B07C97"/>
    <w:pPr>
      <w:spacing w:after="120"/>
    </w:pPr>
    <w:rPr>
      <w:sz w:val="16"/>
      <w:szCs w:val="16"/>
      <w:lang w:val="x-none" w:eastAsia="x-none"/>
    </w:rPr>
  </w:style>
  <w:style w:type="character" w:customStyle="1" w:styleId="32">
    <w:name w:val="Основной текст 3 Знак"/>
    <w:link w:val="31"/>
    <w:rsid w:val="00B07C97"/>
    <w:rPr>
      <w:rFonts w:ascii="Times New Roman" w:eastAsia="Times New Roman" w:hAnsi="Times New Roman" w:cs="Times New Roman"/>
      <w:sz w:val="16"/>
      <w:szCs w:val="16"/>
      <w:lang w:val="x-none" w:eastAsia="x-none"/>
    </w:rPr>
  </w:style>
  <w:style w:type="paragraph" w:styleId="a">
    <w:name w:val="List Bullet"/>
    <w:basedOn w:val="a0"/>
    <w:autoRedefine/>
    <w:unhideWhenUsed/>
    <w:rsid w:val="00B07C97"/>
    <w:pPr>
      <w:keepNext/>
      <w:numPr>
        <w:numId w:val="11"/>
      </w:numPr>
      <w:jc w:val="both"/>
    </w:pPr>
    <w:rPr>
      <w:i/>
      <w:sz w:val="28"/>
      <w:szCs w:val="28"/>
    </w:rPr>
  </w:style>
  <w:style w:type="paragraph" w:customStyle="1" w:styleId="BodyText21">
    <w:name w:val="Body Text 21"/>
    <w:basedOn w:val="a0"/>
    <w:rsid w:val="00B07C97"/>
    <w:pPr>
      <w:tabs>
        <w:tab w:val="left" w:pos="1239"/>
      </w:tabs>
      <w:spacing w:before="120"/>
      <w:jc w:val="both"/>
    </w:pPr>
    <w:rPr>
      <w:szCs w:val="20"/>
    </w:rPr>
  </w:style>
  <w:style w:type="paragraph" w:customStyle="1" w:styleId="12">
    <w:name w:val="çàãîëîâîê 1"/>
    <w:basedOn w:val="a0"/>
    <w:next w:val="a0"/>
    <w:rsid w:val="00B07C97"/>
    <w:pPr>
      <w:keepNext/>
    </w:pPr>
    <w:rPr>
      <w:color w:val="000000"/>
      <w:szCs w:val="20"/>
      <w:u w:val="single"/>
    </w:rPr>
  </w:style>
  <w:style w:type="paragraph" w:customStyle="1" w:styleId="41">
    <w:name w:val="çàãîëîâîê 4"/>
    <w:basedOn w:val="a0"/>
    <w:next w:val="a0"/>
    <w:rsid w:val="00B07C97"/>
    <w:pPr>
      <w:keepNext/>
      <w:jc w:val="both"/>
    </w:pPr>
    <w:rPr>
      <w:b/>
      <w:sz w:val="26"/>
      <w:szCs w:val="20"/>
    </w:rPr>
  </w:style>
  <w:style w:type="paragraph" w:customStyle="1" w:styleId="caaieiaie1">
    <w:name w:val="caaieiaie 1"/>
    <w:basedOn w:val="a0"/>
    <w:next w:val="a0"/>
    <w:rsid w:val="00B07C97"/>
    <w:pPr>
      <w:keepNext/>
      <w:spacing w:line="360" w:lineRule="auto"/>
      <w:jc w:val="both"/>
    </w:pPr>
    <w:rPr>
      <w:b/>
      <w:color w:val="000000"/>
      <w:szCs w:val="20"/>
    </w:rPr>
  </w:style>
  <w:style w:type="paragraph" w:customStyle="1" w:styleId="8">
    <w:name w:val="çàãîëîâîê 8"/>
    <w:basedOn w:val="a0"/>
    <w:next w:val="a0"/>
    <w:rsid w:val="00B07C97"/>
    <w:pPr>
      <w:keepNext/>
    </w:pPr>
    <w:rPr>
      <w:b/>
      <w:sz w:val="26"/>
      <w:szCs w:val="20"/>
    </w:rPr>
  </w:style>
  <w:style w:type="paragraph" w:customStyle="1" w:styleId="7">
    <w:name w:val="çàãîëîâîê 7"/>
    <w:basedOn w:val="a0"/>
    <w:next w:val="a0"/>
    <w:rsid w:val="00B07C97"/>
    <w:pPr>
      <w:keepNext/>
      <w:spacing w:before="120"/>
      <w:jc w:val="both"/>
    </w:pPr>
    <w:rPr>
      <w:b/>
      <w:szCs w:val="20"/>
    </w:rPr>
  </w:style>
  <w:style w:type="paragraph" w:customStyle="1" w:styleId="6">
    <w:name w:val="çàãîëîâîê 6"/>
    <w:basedOn w:val="a0"/>
    <w:next w:val="a0"/>
    <w:rsid w:val="00B07C97"/>
    <w:pPr>
      <w:keepNext/>
      <w:spacing w:before="120"/>
      <w:ind w:right="1400"/>
      <w:jc w:val="both"/>
    </w:pPr>
    <w:rPr>
      <w:b/>
      <w:color w:val="000000"/>
      <w:szCs w:val="20"/>
    </w:rPr>
  </w:style>
  <w:style w:type="character" w:customStyle="1" w:styleId="Para0sZchn">
    <w:name w:val="Para:0:s Zchn"/>
    <w:link w:val="Para0s"/>
    <w:locked/>
    <w:rsid w:val="00B07C97"/>
    <w:rPr>
      <w:sz w:val="24"/>
      <w:lang w:val="en-US" w:eastAsia="de-DE"/>
    </w:rPr>
  </w:style>
  <w:style w:type="paragraph" w:customStyle="1" w:styleId="Para0s">
    <w:name w:val="Para:0:s"/>
    <w:basedOn w:val="a0"/>
    <w:link w:val="Para0sZchn"/>
    <w:rsid w:val="00B07C97"/>
    <w:pPr>
      <w:spacing w:after="220"/>
    </w:pPr>
    <w:rPr>
      <w:rFonts w:ascii="Calibri" w:eastAsia="Calibri" w:hAnsi="Calibri"/>
      <w:szCs w:val="22"/>
      <w:lang w:val="en-US" w:eastAsia="de-DE"/>
    </w:rPr>
  </w:style>
  <w:style w:type="paragraph" w:customStyle="1" w:styleId="100">
    <w:name w:val="Обычный1_0"/>
    <w:rsid w:val="00B07C97"/>
    <w:pPr>
      <w:widowControl w:val="0"/>
    </w:pPr>
    <w:rPr>
      <w:rFonts w:ascii="Times New Roman" w:eastAsia="Times New Roman" w:hAnsi="Times New Roman"/>
    </w:rPr>
  </w:style>
  <w:style w:type="paragraph" w:styleId="af0">
    <w:name w:val="Balloon Text"/>
    <w:basedOn w:val="a0"/>
    <w:link w:val="af1"/>
    <w:uiPriority w:val="99"/>
    <w:rsid w:val="00B07C97"/>
    <w:rPr>
      <w:rFonts w:ascii="Tahoma" w:hAnsi="Tahoma"/>
      <w:sz w:val="16"/>
      <w:szCs w:val="16"/>
      <w:lang w:val="x-none" w:eastAsia="x-none"/>
    </w:rPr>
  </w:style>
  <w:style w:type="character" w:customStyle="1" w:styleId="af1">
    <w:name w:val="Текст выноски Знак"/>
    <w:link w:val="af0"/>
    <w:uiPriority w:val="99"/>
    <w:rsid w:val="00B07C97"/>
    <w:rPr>
      <w:rFonts w:ascii="Tahoma" w:eastAsia="Times New Roman" w:hAnsi="Tahoma" w:cs="Times New Roman"/>
      <w:sz w:val="16"/>
      <w:szCs w:val="16"/>
      <w:lang w:val="x-none" w:eastAsia="x-none"/>
    </w:rPr>
  </w:style>
  <w:style w:type="paragraph" w:customStyle="1" w:styleId="af2">
    <w:name w:val="Знак Знак Знак Знак Знак Знак Знак Знак Знак Знак"/>
    <w:basedOn w:val="a0"/>
    <w:autoRedefine/>
    <w:rsid w:val="00B07C97"/>
    <w:pPr>
      <w:spacing w:after="160" w:line="360" w:lineRule="auto"/>
      <w:jc w:val="center"/>
    </w:pPr>
    <w:rPr>
      <w:sz w:val="22"/>
      <w:szCs w:val="22"/>
    </w:rPr>
  </w:style>
  <w:style w:type="paragraph" w:customStyle="1" w:styleId="BayerBodyTextFull">
    <w:name w:val="Bayer Body Text Full"/>
    <w:basedOn w:val="a0"/>
    <w:link w:val="BayerBodyTextFullZchn"/>
    <w:qFormat/>
    <w:rsid w:val="00B07C97"/>
    <w:pPr>
      <w:spacing w:before="120" w:after="120"/>
    </w:pPr>
    <w:rPr>
      <w:szCs w:val="20"/>
      <w:lang w:val="en-US" w:eastAsia="en-US"/>
    </w:rPr>
  </w:style>
  <w:style w:type="character" w:customStyle="1" w:styleId="BayerBodyTextFullZchn">
    <w:name w:val="Bayer Body Text Full Zchn"/>
    <w:link w:val="BayerBodyTextFull"/>
    <w:rsid w:val="00B07C97"/>
    <w:rPr>
      <w:rFonts w:ascii="Times New Roman" w:eastAsia="Times New Roman" w:hAnsi="Times New Roman" w:cs="Times New Roman"/>
      <w:sz w:val="24"/>
      <w:szCs w:val="20"/>
      <w:lang w:val="en-US"/>
    </w:rPr>
  </w:style>
  <w:style w:type="paragraph" w:styleId="af3">
    <w:name w:val="Revision"/>
    <w:hidden/>
    <w:uiPriority w:val="99"/>
    <w:semiHidden/>
    <w:rsid w:val="00B07C97"/>
    <w:rPr>
      <w:rFonts w:ascii="Times New Roman" w:eastAsia="Times New Roman" w:hAnsi="Times New Roman"/>
      <w:sz w:val="24"/>
      <w:szCs w:val="24"/>
    </w:rPr>
  </w:style>
  <w:style w:type="paragraph" w:customStyle="1" w:styleId="TableParagraph">
    <w:name w:val="Table Paragraph"/>
    <w:basedOn w:val="a0"/>
    <w:uiPriority w:val="1"/>
    <w:qFormat/>
    <w:rsid w:val="00B07C97"/>
    <w:pPr>
      <w:widowControl w:val="0"/>
      <w:autoSpaceDE w:val="0"/>
      <w:autoSpaceDN w:val="0"/>
      <w:adjustRightInd w:val="0"/>
    </w:pPr>
  </w:style>
  <w:style w:type="paragraph" w:styleId="af4">
    <w:name w:val="Normal (Web)"/>
    <w:basedOn w:val="a0"/>
    <w:uiPriority w:val="99"/>
    <w:unhideWhenUsed/>
    <w:rsid w:val="00B07C97"/>
    <w:pPr>
      <w:spacing w:before="100" w:beforeAutospacing="1" w:after="100" w:afterAutospacing="1"/>
    </w:pPr>
  </w:style>
  <w:style w:type="character" w:customStyle="1" w:styleId="hps">
    <w:name w:val="hps"/>
    <w:rsid w:val="00B07C97"/>
  </w:style>
  <w:style w:type="character" w:customStyle="1" w:styleId="st1">
    <w:name w:val="st1"/>
    <w:rsid w:val="00B07C97"/>
  </w:style>
  <w:style w:type="paragraph" w:customStyle="1" w:styleId="knZulassung02">
    <w:name w:val="knZulassung02"/>
    <w:basedOn w:val="a0"/>
    <w:uiPriority w:val="99"/>
    <w:rsid w:val="00B07C97"/>
    <w:pPr>
      <w:autoSpaceDE w:val="0"/>
      <w:autoSpaceDN w:val="0"/>
      <w:ind w:left="1843" w:right="284"/>
    </w:pPr>
    <w:rPr>
      <w:rFonts w:ascii="Arial" w:hAnsi="Arial" w:cs="Arial"/>
      <w:sz w:val="22"/>
      <w:szCs w:val="22"/>
      <w:lang w:bidi="ru-RU"/>
    </w:rPr>
  </w:style>
  <w:style w:type="character" w:styleId="af5">
    <w:name w:val="annotation reference"/>
    <w:uiPriority w:val="99"/>
    <w:rsid w:val="00B07C97"/>
    <w:rPr>
      <w:sz w:val="16"/>
      <w:szCs w:val="16"/>
    </w:rPr>
  </w:style>
  <w:style w:type="paragraph" w:styleId="af6">
    <w:name w:val="annotation text"/>
    <w:basedOn w:val="a0"/>
    <w:link w:val="af7"/>
    <w:uiPriority w:val="99"/>
    <w:rsid w:val="00B07C97"/>
    <w:rPr>
      <w:sz w:val="20"/>
      <w:szCs w:val="20"/>
    </w:rPr>
  </w:style>
  <w:style w:type="character" w:customStyle="1" w:styleId="af7">
    <w:name w:val="Текст примечания Знак"/>
    <w:link w:val="af6"/>
    <w:uiPriority w:val="99"/>
    <w:rsid w:val="00B07C97"/>
    <w:rPr>
      <w:rFonts w:ascii="Times New Roman" w:eastAsia="Times New Roman" w:hAnsi="Times New Roman" w:cs="Times New Roman"/>
      <w:sz w:val="20"/>
      <w:szCs w:val="20"/>
      <w:lang w:eastAsia="ru-RU"/>
    </w:rPr>
  </w:style>
  <w:style w:type="paragraph" w:styleId="af8">
    <w:name w:val="annotation subject"/>
    <w:basedOn w:val="af6"/>
    <w:next w:val="af6"/>
    <w:link w:val="af9"/>
    <w:uiPriority w:val="99"/>
    <w:rsid w:val="00B07C97"/>
    <w:rPr>
      <w:b/>
      <w:bCs/>
    </w:rPr>
  </w:style>
  <w:style w:type="character" w:customStyle="1" w:styleId="af9">
    <w:name w:val="Тема примечания Знак"/>
    <w:link w:val="af8"/>
    <w:uiPriority w:val="99"/>
    <w:rsid w:val="00B07C97"/>
    <w:rPr>
      <w:rFonts w:ascii="Times New Roman" w:eastAsia="Times New Roman" w:hAnsi="Times New Roman" w:cs="Times New Roman"/>
      <w:b/>
      <w:bCs/>
      <w:sz w:val="20"/>
      <w:szCs w:val="20"/>
      <w:lang w:eastAsia="ru-RU"/>
    </w:rPr>
  </w:style>
  <w:style w:type="paragraph" w:styleId="afa">
    <w:name w:val="List Paragraph"/>
    <w:basedOn w:val="a0"/>
    <w:uiPriority w:val="1"/>
    <w:qFormat/>
    <w:rsid w:val="00B13C47"/>
    <w:pPr>
      <w:ind w:left="708"/>
      <w:jc w:val="both"/>
    </w:pPr>
    <w:rPr>
      <w:sz w:val="20"/>
      <w:szCs w:val="20"/>
    </w:rPr>
  </w:style>
  <w:style w:type="character" w:styleId="afb">
    <w:name w:val="footnote reference"/>
    <w:uiPriority w:val="99"/>
    <w:semiHidden/>
    <w:rsid w:val="00251C3F"/>
    <w:rPr>
      <w:rFonts w:ascii="Times New Roman" w:hAnsi="Times New Roman"/>
      <w:position w:val="6"/>
      <w:sz w:val="18"/>
      <w:lang w:val="en-US"/>
    </w:rPr>
  </w:style>
  <w:style w:type="paragraph" w:styleId="afc">
    <w:name w:val="footnote text"/>
    <w:basedOn w:val="a0"/>
    <w:link w:val="afd"/>
    <w:uiPriority w:val="99"/>
    <w:semiHidden/>
    <w:rsid w:val="00251C3F"/>
    <w:pPr>
      <w:keepLines/>
      <w:spacing w:after="80"/>
      <w:ind w:left="454" w:hanging="454"/>
    </w:pPr>
    <w:rPr>
      <w:sz w:val="18"/>
      <w:szCs w:val="18"/>
      <w:lang w:val="de-DE" w:eastAsia="de-DE"/>
    </w:rPr>
  </w:style>
  <w:style w:type="character" w:customStyle="1" w:styleId="afd">
    <w:name w:val="Текст сноски Знак"/>
    <w:link w:val="afc"/>
    <w:uiPriority w:val="99"/>
    <w:semiHidden/>
    <w:rsid w:val="00251C3F"/>
    <w:rPr>
      <w:rFonts w:ascii="Times New Roman" w:eastAsia="Times New Roman" w:hAnsi="Times New Roman"/>
      <w:sz w:val="18"/>
      <w:szCs w:val="18"/>
      <w:lang w:val="de-DE" w:eastAsia="de-DE"/>
    </w:rPr>
  </w:style>
  <w:style w:type="numbering" w:customStyle="1" w:styleId="13">
    <w:name w:val="Нет списка1"/>
    <w:next w:val="a3"/>
    <w:uiPriority w:val="99"/>
    <w:semiHidden/>
    <w:unhideWhenUsed/>
    <w:rsid w:val="00457944"/>
  </w:style>
  <w:style w:type="character" w:styleId="afe">
    <w:name w:val="Emphasis"/>
    <w:uiPriority w:val="20"/>
    <w:qFormat/>
    <w:rsid w:val="00457944"/>
    <w:rPr>
      <w:b/>
      <w:bCs/>
      <w:i w:val="0"/>
      <w:iCs w:val="0"/>
    </w:rPr>
  </w:style>
  <w:style w:type="paragraph" w:customStyle="1" w:styleId="Default">
    <w:name w:val="Default"/>
    <w:rsid w:val="00457944"/>
    <w:pPr>
      <w:autoSpaceDE w:val="0"/>
      <w:autoSpaceDN w:val="0"/>
      <w:adjustRightInd w:val="0"/>
    </w:pPr>
    <w:rPr>
      <w:rFonts w:ascii="Times New Roman" w:hAnsi="Times New Roman"/>
      <w:color w:val="000000"/>
      <w:sz w:val="24"/>
      <w:szCs w:val="24"/>
    </w:rPr>
  </w:style>
  <w:style w:type="paragraph" w:styleId="aff">
    <w:name w:val="footer"/>
    <w:basedOn w:val="a0"/>
    <w:link w:val="aff0"/>
    <w:uiPriority w:val="99"/>
    <w:unhideWhenUsed/>
    <w:rsid w:val="00457944"/>
    <w:pPr>
      <w:tabs>
        <w:tab w:val="center" w:pos="4677"/>
        <w:tab w:val="right" w:pos="9355"/>
      </w:tabs>
      <w:spacing w:after="200" w:line="276" w:lineRule="auto"/>
    </w:pPr>
    <w:rPr>
      <w:rFonts w:ascii="Calibri" w:eastAsia="Calibri" w:hAnsi="Calibri"/>
      <w:sz w:val="22"/>
      <w:szCs w:val="22"/>
      <w:lang w:eastAsia="en-US"/>
    </w:rPr>
  </w:style>
  <w:style w:type="character" w:customStyle="1" w:styleId="aff0">
    <w:name w:val="Нижний колонтитул Знак"/>
    <w:link w:val="aff"/>
    <w:uiPriority w:val="99"/>
    <w:rsid w:val="00457944"/>
    <w:rPr>
      <w:sz w:val="22"/>
      <w:szCs w:val="22"/>
      <w:lang w:eastAsia="en-US"/>
    </w:rPr>
  </w:style>
  <w:style w:type="character" w:customStyle="1" w:styleId="s1">
    <w:name w:val="s1"/>
    <w:rsid w:val="00457944"/>
    <w:rPr>
      <w:rFonts w:ascii="Times New Roman" w:hAnsi="Times New Roman" w:cs="Times New Roman" w:hint="default"/>
      <w:b/>
      <w:bCs/>
      <w:i w:val="0"/>
      <w:iCs w:val="0"/>
      <w:strike w:val="0"/>
      <w:dstrike w:val="0"/>
      <w:color w:val="000000"/>
      <w:sz w:val="20"/>
      <w:szCs w:val="20"/>
      <w:u w:val="none"/>
      <w:effect w:val="none"/>
    </w:rPr>
  </w:style>
  <w:style w:type="table" w:customStyle="1" w:styleId="TableNormal0">
    <w:name w:val="Table Normal_0"/>
    <w:uiPriority w:val="2"/>
    <w:semiHidden/>
    <w:unhideWhenUsed/>
    <w:qFormat/>
    <w:rsid w:val="00A1465C"/>
    <w:pPr>
      <w:widowControl w:val="0"/>
      <w:autoSpaceDE w:val="0"/>
      <w:autoSpaceDN w:val="0"/>
    </w:pPr>
    <w:rPr>
      <w:sz w:val="22"/>
      <w:szCs w:val="22"/>
      <w:lang w:eastAsia="en-US"/>
    </w:rPr>
    <w:tblPr>
      <w:tblInd w:w="0" w:type="dxa"/>
      <w:tblCellMar>
        <w:top w:w="0" w:type="dxa"/>
        <w:left w:w="0" w:type="dxa"/>
        <w:bottom w:w="0" w:type="dxa"/>
        <w:right w:w="0" w:type="dxa"/>
      </w:tblCellMar>
    </w:tblPr>
  </w:style>
  <w:style w:type="character" w:customStyle="1" w:styleId="14">
    <w:name w:val="Неразрешенное упоминание1"/>
    <w:uiPriority w:val="99"/>
    <w:semiHidden/>
    <w:unhideWhenUsed/>
    <w:rsid w:val="008C4E04"/>
    <w:rPr>
      <w:color w:val="605E5C"/>
      <w:shd w:val="clear" w:color="auto" w:fill="E1DFDD"/>
    </w:rPr>
  </w:style>
  <w:style w:type="character" w:customStyle="1" w:styleId="FontStyle29">
    <w:name w:val="Font Style29"/>
    <w:rsid w:val="00131DEC"/>
    <w:rPr>
      <w:rFonts w:ascii="Times New Roman" w:hAnsi="Times New Roman" w:cs="Times New Roman" w:hint="default"/>
      <w:color w:val="000000"/>
      <w:sz w:val="26"/>
      <w:szCs w:val="26"/>
    </w:rPr>
  </w:style>
  <w:style w:type="character" w:customStyle="1" w:styleId="24">
    <w:name w:val="Неразрешенное упоминание2"/>
    <w:basedOn w:val="a1"/>
    <w:uiPriority w:val="99"/>
    <w:semiHidden/>
    <w:unhideWhenUsed/>
    <w:rsid w:val="00261482"/>
    <w:rPr>
      <w:color w:val="605E5C"/>
      <w:shd w:val="clear" w:color="auto" w:fill="E1DFDD"/>
    </w:rPr>
  </w:style>
  <w:style w:type="character" w:customStyle="1" w:styleId="33">
    <w:name w:val="Неразрешенное упоминание3"/>
    <w:basedOn w:val="a1"/>
    <w:uiPriority w:val="99"/>
    <w:semiHidden/>
    <w:unhideWhenUsed/>
    <w:rsid w:val="005124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dda.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fice.secretary@rogersgroup.in" TargetMode="External"/><Relationship Id="rId5" Type="http://schemas.openxmlformats.org/officeDocument/2006/relationships/numbering" Target="numbering.xml"/><Relationship Id="rId10" Type="http://schemas.openxmlformats.org/officeDocument/2006/relationships/hyperlink" Target="mailto:info@optimuspharma.com" TargetMode="External"/><Relationship Id="rId4" Type="http://schemas.openxmlformats.org/officeDocument/2006/relationships/customXml" Target="../customXml/item4.xml"/><Relationship Id="rId9" Type="http://schemas.openxmlformats.org/officeDocument/2006/relationships/hyperlink" Target="http://www.ndda.kz"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6185218D34894FB3A2D5FE6F55FEF2" ma:contentTypeVersion="8" ma:contentTypeDescription="Create a new document." ma:contentTypeScope="" ma:versionID="cc1a0385c6a9d59a5c769d5d7152c473">
  <xsd:schema xmlns:xsd="http://www.w3.org/2001/XMLSchema" xmlns:xs="http://www.w3.org/2001/XMLSchema" xmlns:p="http://schemas.microsoft.com/office/2006/metadata/properties" xmlns:ns3="7afb1ea3-82ac-40f3-8952-e43dab2705ad" targetNamespace="http://schemas.microsoft.com/office/2006/metadata/properties" ma:root="true" ma:fieldsID="18d2d1c8549316577c8e1b1ca04ad179" ns3:_="">
    <xsd:import namespace="7afb1ea3-82ac-40f3-8952-e43dab2705a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b1ea3-82ac-40f3-8952-e43dab2705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EA567-15A8-4849-9592-A4800A5F2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fb1ea3-82ac-40f3-8952-e43dab270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C647D3-0233-4B07-92F7-3FF18DBEC3F9}">
  <ds:schemaRefs>
    <ds:schemaRef ds:uri="http://schemas.microsoft.com/sharepoint/v3/contenttype/forms"/>
  </ds:schemaRefs>
</ds:datastoreItem>
</file>

<file path=customXml/itemProps3.xml><?xml version="1.0" encoding="utf-8"?>
<ds:datastoreItem xmlns:ds="http://schemas.openxmlformats.org/officeDocument/2006/customXml" ds:itemID="{FF13677C-481E-483F-BD9D-7651BC093B4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1891731-165C-467A-9223-9C60A56A9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28</Pages>
  <Words>12113</Words>
  <Characters>69050</Characters>
  <Application>Microsoft Office Word</Application>
  <DocSecurity>0</DocSecurity>
  <Lines>575</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Bayer</Company>
  <LinksUpToDate>false</LinksUpToDate>
  <CharactersWithSpaces>81001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Ademi Bukembayeva</dc:creator>
  <cp:lastModifiedBy>Praveen Kanumuru</cp:lastModifiedBy>
  <cp:revision>7</cp:revision>
  <dcterms:created xsi:type="dcterms:W3CDTF">2022-08-31T04:03:00Z</dcterms:created>
  <dcterms:modified xsi:type="dcterms:W3CDTF">2025-07-02T12:04:00Z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0x010100C76185218D34894FB3A2D5FE6F55FEF2</vt:lpwstr>
  </property>
  <property fmtid="{D5CDD505-2E9C-101B-9397-08002B2CF9AE}" pid="3" name="MSIP_Label_7f850223-87a8-40c3-9eb2-432606efca2a_Application">
    <vt:lpwstr>Microsoft Azure Information Protection</vt:lpwstr>
  </property>
  <property fmtid="{D5CDD505-2E9C-101B-9397-08002B2CF9AE}" pid="4" name="MSIP_Label_7f850223-87a8-40c3-9eb2-432606efca2a_Enabled">
    <vt:lpwstr>True</vt:lpwstr>
  </property>
  <property fmtid="{D5CDD505-2E9C-101B-9397-08002B2CF9AE}" pid="5" name="MSIP_Label_7f850223-87a8-40c3-9eb2-432606efca2a_Extended_MSFT_Method">
    <vt:lpwstr>Automatic</vt:lpwstr>
  </property>
  <property fmtid="{D5CDD505-2E9C-101B-9397-08002B2CF9AE}" pid="6" name="MSIP_Label_7f850223-87a8-40c3-9eb2-432606efca2a_Name">
    <vt:lpwstr>NO CLASSIFICATION</vt:lpwstr>
  </property>
  <property fmtid="{D5CDD505-2E9C-101B-9397-08002B2CF9AE}" pid="7" name="MSIP_Label_7f850223-87a8-40c3-9eb2-432606efca2a_Owner">
    <vt:lpwstr>azhar.razbek1@bayer.com</vt:lpwstr>
  </property>
  <property fmtid="{D5CDD505-2E9C-101B-9397-08002B2CF9AE}" pid="8" name="MSIP_Label_7f850223-87a8-40c3-9eb2-432606efca2a_SetDate">
    <vt:lpwstr>2019-12-11T10:26:04.2671341Z</vt:lpwstr>
  </property>
  <property fmtid="{D5CDD505-2E9C-101B-9397-08002B2CF9AE}" pid="9" name="MSIP_Label_7f850223-87a8-40c3-9eb2-432606efca2a_SiteId">
    <vt:lpwstr>fcb2b37b-5da0-466b-9b83-0014b67a7c78</vt:lpwstr>
  </property>
  <property fmtid="{D5CDD505-2E9C-101B-9397-08002B2CF9AE}" pid="10" name="Sensitivity">
    <vt:lpwstr>NO CLASSIFICATION</vt:lpwstr>
  </property>
</Properties>
</file>