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DB638E" w14:paraId="657C9AEC" w14:textId="77777777" w:rsidTr="00D25CB4">
        <w:tc>
          <w:tcPr>
            <w:tcW w:w="4786" w:type="dxa"/>
            <w:hideMark/>
          </w:tcPr>
          <w:p w14:paraId="0A82F630" w14:textId="77777777" w:rsidR="007E1D85" w:rsidRPr="004B382D" w:rsidRDefault="007E1D85" w:rsidP="003D0BA9">
            <w:pPr>
              <w:widowControl w:val="0"/>
              <w:spacing w:after="0" w:line="240" w:lineRule="auto"/>
              <w:ind w:hanging="142"/>
              <w:rPr>
                <w:rFonts w:ascii="Times New Roman" w:eastAsia="Batang" w:hAnsi="Times New Roman"/>
                <w:snapToGrid w:val="0"/>
                <w:sz w:val="24"/>
                <w:szCs w:val="24"/>
                <w:lang w:eastAsia="ru-RU"/>
              </w:rPr>
            </w:pPr>
          </w:p>
        </w:tc>
        <w:tc>
          <w:tcPr>
            <w:tcW w:w="4536" w:type="dxa"/>
            <w:hideMark/>
          </w:tcPr>
          <w:p w14:paraId="5D2B3B45" w14:textId="77777777" w:rsidR="006A475E" w:rsidRPr="00DB638E" w:rsidRDefault="006A475E" w:rsidP="006A475E">
            <w:pPr>
              <w:widowControl w:val="0"/>
              <w:spacing w:after="0" w:line="240" w:lineRule="auto"/>
              <w:rPr>
                <w:rFonts w:ascii="Times New Roman" w:eastAsia="Times New Roman" w:hAnsi="Times New Roman"/>
                <w:b/>
                <w:snapToGrid w:val="0"/>
                <w:sz w:val="24"/>
                <w:szCs w:val="24"/>
                <w:lang w:eastAsia="ru-RU"/>
              </w:rPr>
            </w:pPr>
            <w:r w:rsidRPr="00DB638E">
              <w:rPr>
                <w:rFonts w:ascii="Times New Roman" w:eastAsia="Times New Roman" w:hAnsi="Times New Roman"/>
                <w:b/>
                <w:snapToGrid w:val="0"/>
                <w:sz w:val="24"/>
                <w:szCs w:val="24"/>
                <w:lang w:eastAsia="ru-RU"/>
              </w:rPr>
              <w:t>УТВЕРЖДЕНА</w:t>
            </w:r>
          </w:p>
          <w:p w14:paraId="5E8DA9DF" w14:textId="77777777" w:rsidR="006A475E" w:rsidRPr="00DB638E" w:rsidRDefault="006A475E" w:rsidP="006A475E">
            <w:pPr>
              <w:widowControl w:val="0"/>
              <w:spacing w:after="0" w:line="240" w:lineRule="auto"/>
              <w:rPr>
                <w:rFonts w:ascii="Times New Roman" w:eastAsia="Times New Roman" w:hAnsi="Times New Roman"/>
                <w:snapToGrid w:val="0"/>
                <w:sz w:val="24"/>
                <w:szCs w:val="24"/>
                <w:lang w:eastAsia="ru-RU"/>
              </w:rPr>
            </w:pPr>
            <w:r w:rsidRPr="00DB638E">
              <w:rPr>
                <w:rFonts w:ascii="Times New Roman" w:eastAsia="Times New Roman" w:hAnsi="Times New Roman"/>
                <w:snapToGrid w:val="0"/>
                <w:sz w:val="24"/>
                <w:szCs w:val="24"/>
                <w:lang w:eastAsia="ru-RU"/>
              </w:rPr>
              <w:t xml:space="preserve">Приказом Председателя </w:t>
            </w:r>
          </w:p>
          <w:p w14:paraId="7BBAA7C0" w14:textId="77777777" w:rsidR="006A475E" w:rsidRPr="00DB638E" w:rsidRDefault="006A475E" w:rsidP="006A475E">
            <w:pPr>
              <w:widowControl w:val="0"/>
              <w:spacing w:after="0" w:line="240" w:lineRule="auto"/>
              <w:rPr>
                <w:rFonts w:ascii="Times New Roman" w:eastAsia="Times New Roman" w:hAnsi="Times New Roman"/>
                <w:snapToGrid w:val="0"/>
                <w:sz w:val="24"/>
                <w:szCs w:val="24"/>
                <w:lang w:eastAsia="ru-RU"/>
              </w:rPr>
            </w:pPr>
            <w:r w:rsidRPr="00DB638E">
              <w:rPr>
                <w:rFonts w:ascii="Times New Roman" w:eastAsia="Times New Roman" w:hAnsi="Times New Roman"/>
                <w:snapToGrid w:val="0"/>
                <w:sz w:val="24"/>
                <w:szCs w:val="24"/>
                <w:lang w:eastAsia="ru-RU"/>
              </w:rPr>
              <w:t>РГУ «</w:t>
            </w:r>
            <w:r w:rsidR="0075737A" w:rsidRPr="00DB638E">
              <w:rPr>
                <w:rFonts w:ascii="Times New Roman" w:eastAsia="Times New Roman" w:hAnsi="Times New Roman"/>
                <w:snapToGrid w:val="0"/>
                <w:sz w:val="24"/>
                <w:szCs w:val="24"/>
                <w:lang w:eastAsia="ru-RU"/>
              </w:rPr>
              <w:t>Комитет медицинского</w:t>
            </w:r>
            <w:r w:rsidRPr="00DB638E">
              <w:rPr>
                <w:rFonts w:ascii="Times New Roman" w:eastAsia="Times New Roman" w:hAnsi="Times New Roman"/>
                <w:snapToGrid w:val="0"/>
                <w:sz w:val="24"/>
                <w:szCs w:val="24"/>
                <w:lang w:eastAsia="ru-RU"/>
              </w:rPr>
              <w:t xml:space="preserve"> и фармацевтического </w:t>
            </w:r>
            <w:r w:rsidR="0075737A" w:rsidRPr="00DB638E">
              <w:rPr>
                <w:rFonts w:ascii="Times New Roman" w:eastAsia="Times New Roman" w:hAnsi="Times New Roman"/>
                <w:snapToGrid w:val="0"/>
                <w:sz w:val="24"/>
                <w:szCs w:val="24"/>
                <w:lang w:eastAsia="ru-RU"/>
              </w:rPr>
              <w:t>контроля Министерства</w:t>
            </w:r>
            <w:r w:rsidRPr="00DB638E">
              <w:rPr>
                <w:rFonts w:ascii="Times New Roman" w:eastAsia="Times New Roman" w:hAnsi="Times New Roman"/>
                <w:snapToGrid w:val="0"/>
                <w:sz w:val="24"/>
                <w:szCs w:val="24"/>
                <w:lang w:eastAsia="ru-RU"/>
              </w:rPr>
              <w:t xml:space="preserve"> здравоохранения </w:t>
            </w:r>
          </w:p>
          <w:p w14:paraId="42C2657D" w14:textId="77777777" w:rsidR="006A475E" w:rsidRPr="00DB638E" w:rsidRDefault="006A475E" w:rsidP="006A475E">
            <w:pPr>
              <w:widowControl w:val="0"/>
              <w:spacing w:after="0" w:line="240" w:lineRule="auto"/>
              <w:rPr>
                <w:rFonts w:ascii="Times New Roman" w:eastAsia="Times New Roman" w:hAnsi="Times New Roman"/>
                <w:snapToGrid w:val="0"/>
                <w:sz w:val="24"/>
                <w:szCs w:val="24"/>
                <w:lang w:eastAsia="ru-RU"/>
              </w:rPr>
            </w:pPr>
            <w:r w:rsidRPr="00DB638E">
              <w:rPr>
                <w:rFonts w:ascii="Times New Roman" w:eastAsia="Times New Roman" w:hAnsi="Times New Roman"/>
                <w:snapToGrid w:val="0"/>
                <w:sz w:val="24"/>
                <w:szCs w:val="24"/>
                <w:lang w:eastAsia="ru-RU"/>
              </w:rPr>
              <w:t>Республики Казахстан»</w:t>
            </w:r>
          </w:p>
          <w:p w14:paraId="36BC4640" w14:textId="0B490009" w:rsidR="006A475E" w:rsidRPr="00DB638E" w:rsidRDefault="006A475E" w:rsidP="006A475E">
            <w:pPr>
              <w:widowControl w:val="0"/>
              <w:spacing w:after="0" w:line="240" w:lineRule="auto"/>
              <w:rPr>
                <w:rFonts w:ascii="Times New Roman" w:eastAsia="Times New Roman" w:hAnsi="Times New Roman"/>
                <w:snapToGrid w:val="0"/>
                <w:sz w:val="24"/>
                <w:szCs w:val="24"/>
                <w:lang w:eastAsia="ru-RU"/>
              </w:rPr>
            </w:pPr>
            <w:r w:rsidRPr="00DB638E">
              <w:rPr>
                <w:rFonts w:ascii="Times New Roman" w:eastAsia="Times New Roman" w:hAnsi="Times New Roman"/>
                <w:snapToGrid w:val="0"/>
                <w:sz w:val="24"/>
                <w:szCs w:val="24"/>
                <w:lang w:eastAsia="ru-RU"/>
              </w:rPr>
              <w:t>от «</w:t>
            </w:r>
            <w:r w:rsidR="00835686">
              <w:rPr>
                <w:rFonts w:ascii="Times New Roman" w:eastAsia="Times New Roman" w:hAnsi="Times New Roman"/>
                <w:snapToGrid w:val="0"/>
                <w:sz w:val="24"/>
                <w:szCs w:val="24"/>
                <w:lang w:eastAsia="ru-RU"/>
              </w:rPr>
              <w:t>05</w:t>
            </w:r>
            <w:r w:rsidRPr="00DB638E">
              <w:rPr>
                <w:rFonts w:ascii="Times New Roman" w:eastAsia="Times New Roman" w:hAnsi="Times New Roman"/>
                <w:snapToGrid w:val="0"/>
                <w:sz w:val="24"/>
                <w:szCs w:val="24"/>
                <w:lang w:eastAsia="ru-RU"/>
              </w:rPr>
              <w:t>»</w:t>
            </w:r>
            <w:r w:rsidR="00835686">
              <w:rPr>
                <w:rFonts w:ascii="Times New Roman" w:eastAsia="Times New Roman" w:hAnsi="Times New Roman"/>
                <w:snapToGrid w:val="0"/>
                <w:sz w:val="24"/>
                <w:szCs w:val="24"/>
                <w:lang w:eastAsia="ru-RU"/>
              </w:rPr>
              <w:t xml:space="preserve">   08     </w:t>
            </w:r>
            <w:r w:rsidRPr="00DB638E">
              <w:rPr>
                <w:rFonts w:ascii="Times New Roman" w:eastAsia="Times New Roman" w:hAnsi="Times New Roman"/>
                <w:snapToGrid w:val="0"/>
                <w:sz w:val="24"/>
                <w:szCs w:val="24"/>
                <w:lang w:eastAsia="ru-RU"/>
              </w:rPr>
              <w:t>20</w:t>
            </w:r>
            <w:r w:rsidR="00835686">
              <w:rPr>
                <w:rFonts w:ascii="Times New Roman" w:eastAsia="Times New Roman" w:hAnsi="Times New Roman"/>
                <w:snapToGrid w:val="0"/>
                <w:sz w:val="24"/>
                <w:szCs w:val="24"/>
                <w:lang w:eastAsia="ru-RU"/>
              </w:rPr>
              <w:t xml:space="preserve">25 </w:t>
            </w:r>
            <w:r w:rsidRPr="00DB638E">
              <w:rPr>
                <w:rFonts w:ascii="Times New Roman" w:eastAsia="Times New Roman" w:hAnsi="Times New Roman"/>
                <w:snapToGrid w:val="0"/>
                <w:sz w:val="24"/>
                <w:szCs w:val="24"/>
                <w:lang w:eastAsia="ru-RU"/>
              </w:rPr>
              <w:t>г.</w:t>
            </w:r>
          </w:p>
          <w:p w14:paraId="6FDFD6EB" w14:textId="5C884292" w:rsidR="00523D82" w:rsidRPr="00DB638E" w:rsidRDefault="00835686" w:rsidP="006A475E">
            <w:pPr>
              <w:widowControl w:val="0"/>
              <w:spacing w:after="0" w:line="240" w:lineRule="auto"/>
              <w:rPr>
                <w:rFonts w:ascii="Times New Roman" w:eastAsia="Batang" w:hAnsi="Times New Roman"/>
                <w:snapToGrid w:val="0"/>
                <w:sz w:val="24"/>
                <w:szCs w:val="24"/>
                <w:lang w:eastAsia="ru-RU"/>
              </w:rPr>
            </w:pPr>
            <w:r w:rsidRPr="00835686">
              <w:rPr>
                <w:rFonts w:ascii="Times New Roman" w:eastAsia="Times New Roman" w:hAnsi="Times New Roman"/>
                <w:snapToGrid w:val="0"/>
                <w:sz w:val="24"/>
                <w:szCs w:val="24"/>
                <w:lang w:eastAsia="ru-RU"/>
              </w:rPr>
              <w:t>№N087954 (для 20 мг)</w:t>
            </w:r>
          </w:p>
        </w:tc>
        <w:tc>
          <w:tcPr>
            <w:tcW w:w="4536" w:type="dxa"/>
          </w:tcPr>
          <w:p w14:paraId="7944F51F" w14:textId="77777777" w:rsidR="00523D82" w:rsidRPr="00DB638E"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DB638E">
              <w:rPr>
                <w:rFonts w:ascii="Times New Roman" w:eastAsia="Times New Roman" w:hAnsi="Times New Roman"/>
                <w:b/>
                <w:snapToGrid w:val="0"/>
                <w:sz w:val="24"/>
                <w:szCs w:val="24"/>
                <w:lang w:eastAsia="ru-RU"/>
              </w:rPr>
              <w:t xml:space="preserve"> </w:t>
            </w:r>
          </w:p>
        </w:tc>
      </w:tr>
      <w:tr w:rsidR="00523D82" w:rsidRPr="00DB638E" w14:paraId="5AFCD83A" w14:textId="77777777" w:rsidTr="00D25CB4">
        <w:tc>
          <w:tcPr>
            <w:tcW w:w="4786" w:type="dxa"/>
          </w:tcPr>
          <w:p w14:paraId="785048E4" w14:textId="77777777" w:rsidR="00523D82" w:rsidRPr="00DB638E"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5B9F1D88" w14:textId="77777777" w:rsidR="00835686" w:rsidRDefault="00835686" w:rsidP="0078568D">
            <w:pPr>
              <w:autoSpaceDE w:val="0"/>
              <w:autoSpaceDN w:val="0"/>
              <w:spacing w:after="0" w:line="240" w:lineRule="auto"/>
              <w:rPr>
                <w:rFonts w:ascii="Times New Roman" w:eastAsia="Batang" w:hAnsi="Times New Roman"/>
                <w:sz w:val="24"/>
                <w:szCs w:val="24"/>
                <w:lang w:eastAsia="ru-RU"/>
              </w:rPr>
            </w:pPr>
            <w:r w:rsidRPr="00835686">
              <w:rPr>
                <w:rFonts w:ascii="Times New Roman" w:eastAsia="Batang" w:hAnsi="Times New Roman"/>
                <w:sz w:val="24"/>
                <w:szCs w:val="24"/>
                <w:lang w:eastAsia="ru-RU"/>
              </w:rPr>
              <w:t xml:space="preserve">№N087956 (для 40 мг)             </w:t>
            </w:r>
          </w:p>
          <w:p w14:paraId="3B094804" w14:textId="023CE07F" w:rsidR="00523D82" w:rsidRPr="00DB638E" w:rsidRDefault="00835686" w:rsidP="0078568D">
            <w:pPr>
              <w:autoSpaceDE w:val="0"/>
              <w:autoSpaceDN w:val="0"/>
              <w:spacing w:after="0" w:line="240" w:lineRule="auto"/>
              <w:rPr>
                <w:rFonts w:ascii="Times New Roman" w:eastAsia="Batang" w:hAnsi="Times New Roman"/>
                <w:sz w:val="24"/>
                <w:szCs w:val="24"/>
                <w:lang w:eastAsia="ru-RU"/>
              </w:rPr>
            </w:pPr>
            <w:r w:rsidRPr="00835686">
              <w:rPr>
                <w:rFonts w:ascii="Times New Roman" w:eastAsia="Batang" w:hAnsi="Times New Roman"/>
                <w:sz w:val="24"/>
                <w:szCs w:val="24"/>
                <w:lang w:eastAsia="ru-RU"/>
              </w:rPr>
              <w:t>№N087957 (для 60 мг)</w:t>
            </w:r>
          </w:p>
        </w:tc>
        <w:tc>
          <w:tcPr>
            <w:tcW w:w="4536" w:type="dxa"/>
          </w:tcPr>
          <w:p w14:paraId="6E1C9E96" w14:textId="77777777" w:rsidR="00523D82" w:rsidRPr="00DB638E"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31000D1A" w14:textId="77777777" w:rsidR="00280121" w:rsidRPr="00DB638E"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6A0364BA" w14:textId="77777777" w:rsidR="00D76048" w:rsidRPr="00DB638E" w:rsidRDefault="00506C9D" w:rsidP="0078568D">
      <w:pPr>
        <w:autoSpaceDE w:val="0"/>
        <w:autoSpaceDN w:val="0"/>
        <w:spacing w:after="0" w:line="240" w:lineRule="auto"/>
        <w:jc w:val="center"/>
        <w:rPr>
          <w:rFonts w:ascii="Times New Roman" w:eastAsia="Times New Roman" w:hAnsi="Times New Roman"/>
          <w:b/>
          <w:sz w:val="24"/>
          <w:szCs w:val="24"/>
          <w:lang w:eastAsia="ru-RU"/>
        </w:rPr>
      </w:pPr>
      <w:r w:rsidRPr="00DB638E">
        <w:rPr>
          <w:rFonts w:ascii="Times New Roman" w:eastAsia="Times New Roman" w:hAnsi="Times New Roman"/>
          <w:b/>
          <w:sz w:val="24"/>
          <w:szCs w:val="24"/>
          <w:lang w:eastAsia="ru-RU"/>
        </w:rPr>
        <w:t>ОБЩАЯ ХАРАКТЕРИСТИКА ЛЕКАРСТВЕННОГО ПРЕПАРАТА</w:t>
      </w:r>
    </w:p>
    <w:p w14:paraId="1F3C1BF3" w14:textId="77777777" w:rsidR="00372082" w:rsidRPr="00DB638E"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6008EDBA" w14:textId="77777777" w:rsidR="00280121" w:rsidRPr="00DB638E"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DB638E">
        <w:rPr>
          <w:rFonts w:ascii="Times New Roman" w:eastAsia="Times New Roman" w:hAnsi="Times New Roman"/>
          <w:b/>
          <w:sz w:val="24"/>
          <w:szCs w:val="24"/>
          <w:lang w:eastAsia="ru-RU"/>
        </w:rPr>
        <w:t xml:space="preserve">1. </w:t>
      </w:r>
      <w:r w:rsidR="00280121" w:rsidRPr="00DB638E">
        <w:rPr>
          <w:rFonts w:ascii="Times New Roman" w:eastAsia="Times New Roman" w:hAnsi="Times New Roman" w:hint="eastAsia"/>
          <w:b/>
          <w:sz w:val="24"/>
          <w:szCs w:val="24"/>
          <w:lang w:eastAsia="ru-RU"/>
        </w:rPr>
        <w:t>НАИМЕНОВАНИЕ</w:t>
      </w:r>
      <w:r w:rsidR="00280121" w:rsidRPr="00DB638E">
        <w:rPr>
          <w:rFonts w:ascii="Times New Roman" w:eastAsia="Times New Roman" w:hAnsi="Times New Roman"/>
          <w:b/>
          <w:sz w:val="24"/>
          <w:szCs w:val="24"/>
          <w:lang w:eastAsia="ru-RU"/>
        </w:rPr>
        <w:t xml:space="preserve"> </w:t>
      </w:r>
      <w:r w:rsidR="00280121" w:rsidRPr="00DB638E">
        <w:rPr>
          <w:rFonts w:ascii="Times New Roman" w:eastAsia="Times New Roman" w:hAnsi="Times New Roman" w:hint="eastAsia"/>
          <w:b/>
          <w:sz w:val="24"/>
          <w:szCs w:val="24"/>
          <w:lang w:eastAsia="ru-RU"/>
        </w:rPr>
        <w:t>ЛЕКАРСТВЕННОГО</w:t>
      </w:r>
      <w:r w:rsidR="00280121" w:rsidRPr="00DB638E">
        <w:rPr>
          <w:rFonts w:ascii="Times New Roman" w:eastAsia="Times New Roman" w:hAnsi="Times New Roman"/>
          <w:b/>
          <w:sz w:val="24"/>
          <w:szCs w:val="24"/>
          <w:lang w:eastAsia="ru-RU"/>
        </w:rPr>
        <w:t xml:space="preserve"> </w:t>
      </w:r>
      <w:r w:rsidR="00280121" w:rsidRPr="00DB638E">
        <w:rPr>
          <w:rFonts w:ascii="Times New Roman" w:eastAsia="Times New Roman" w:hAnsi="Times New Roman" w:hint="eastAsia"/>
          <w:b/>
          <w:sz w:val="24"/>
          <w:szCs w:val="24"/>
          <w:lang w:eastAsia="ru-RU"/>
        </w:rPr>
        <w:t>ПРЕПАРАТА</w:t>
      </w:r>
    </w:p>
    <w:p w14:paraId="5194D81A" w14:textId="77777777" w:rsidR="001872CE" w:rsidRPr="00DB638E" w:rsidRDefault="00C335EE" w:rsidP="0078568D">
      <w:pPr>
        <w:autoSpaceDE w:val="0"/>
        <w:autoSpaceDN w:val="0"/>
        <w:spacing w:after="0" w:line="240" w:lineRule="auto"/>
        <w:jc w:val="both"/>
        <w:rPr>
          <w:rFonts w:ascii="Times New Roman" w:eastAsia="Times New Roman" w:hAnsi="Times New Roman"/>
          <w:sz w:val="24"/>
          <w:szCs w:val="24"/>
          <w:lang w:eastAsia="ru-RU"/>
        </w:rPr>
      </w:pPr>
      <w:r w:rsidRPr="00DB638E">
        <w:rPr>
          <w:rFonts w:ascii="Times New Roman" w:eastAsia="Times New Roman" w:hAnsi="Times New Roman"/>
          <w:sz w:val="24"/>
          <w:szCs w:val="24"/>
          <w:lang w:eastAsia="ru-RU"/>
        </w:rPr>
        <w:t>Кабозаниб</w:t>
      </w:r>
      <w:r w:rsidR="008B4D65" w:rsidRPr="00DB638E">
        <w:rPr>
          <w:rFonts w:ascii="Times New Roman" w:eastAsia="Times New Roman" w:hAnsi="Times New Roman"/>
          <w:sz w:val="24"/>
          <w:szCs w:val="24"/>
          <w:lang w:eastAsia="ru-RU"/>
        </w:rPr>
        <w:t>, 20 мг, 40 мг, 60 мг, таблетки, покрытые пленочной оболочкой</w:t>
      </w:r>
    </w:p>
    <w:p w14:paraId="56334DFD" w14:textId="77777777" w:rsidR="00B01011" w:rsidRPr="00DB638E" w:rsidRDefault="00B01011" w:rsidP="0078568D">
      <w:pPr>
        <w:autoSpaceDE w:val="0"/>
        <w:autoSpaceDN w:val="0"/>
        <w:spacing w:after="0" w:line="240" w:lineRule="auto"/>
        <w:jc w:val="both"/>
        <w:rPr>
          <w:rFonts w:ascii="Times New Roman" w:eastAsia="Times New Roman" w:hAnsi="Times New Roman"/>
          <w:sz w:val="24"/>
          <w:szCs w:val="24"/>
          <w:lang w:eastAsia="ru-RU"/>
        </w:rPr>
      </w:pPr>
    </w:p>
    <w:p w14:paraId="0943B602" w14:textId="77777777" w:rsidR="003C07E3" w:rsidRPr="00DB638E" w:rsidRDefault="003C07E3" w:rsidP="0078568D">
      <w:pPr>
        <w:spacing w:after="0" w:line="240" w:lineRule="auto"/>
        <w:jc w:val="both"/>
        <w:rPr>
          <w:sz w:val="24"/>
          <w:szCs w:val="24"/>
        </w:rPr>
      </w:pPr>
      <w:bookmarkStart w:id="0" w:name="2175220285"/>
      <w:bookmarkStart w:id="1" w:name="OCRUncertain022"/>
      <w:r w:rsidRPr="00DB638E">
        <w:rPr>
          <w:rFonts w:ascii="Times New Roman" w:eastAsia="Times New Roman" w:hAnsi="Times New Roman"/>
          <w:b/>
          <w:sz w:val="24"/>
          <w:szCs w:val="24"/>
          <w:lang w:eastAsia="ru-RU"/>
        </w:rPr>
        <w:t xml:space="preserve">2. </w:t>
      </w:r>
      <w:r w:rsidR="00280121" w:rsidRPr="00DB638E">
        <w:rPr>
          <w:rFonts w:ascii="Times New Roman" w:eastAsia="Times New Roman" w:hAnsi="Times New Roman"/>
          <w:b/>
          <w:sz w:val="24"/>
          <w:szCs w:val="24"/>
          <w:lang w:eastAsia="ru-RU"/>
        </w:rPr>
        <w:t>КАЧЕСТВЕННЫЙ И КОЛИЧЕСТВЕННЫЙ СОСТАВ</w:t>
      </w:r>
    </w:p>
    <w:bookmarkEnd w:id="0"/>
    <w:p w14:paraId="05AA2F11" w14:textId="77777777" w:rsidR="001872CE" w:rsidRPr="00DB638E"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DB638E">
        <w:rPr>
          <w:rFonts w:ascii="Times New Roman" w:eastAsia="TimesNewRomanPSMT" w:hAnsi="Times New Roman"/>
          <w:b/>
          <w:sz w:val="24"/>
          <w:szCs w:val="24"/>
          <w:lang w:eastAsia="ru-RU"/>
        </w:rPr>
        <w:t>2.1 Общее описание</w:t>
      </w:r>
      <w:r w:rsidRPr="00DB638E">
        <w:rPr>
          <w:rFonts w:ascii="Times New Roman" w:eastAsia="Times New Roman" w:hAnsi="Times New Roman"/>
          <w:b/>
          <w:bCs/>
          <w:sz w:val="24"/>
          <w:szCs w:val="24"/>
          <w:lang w:eastAsia="ru-RU"/>
        </w:rPr>
        <w:t xml:space="preserve"> </w:t>
      </w:r>
    </w:p>
    <w:p w14:paraId="6CDC4576" w14:textId="77777777" w:rsidR="00D60C5A" w:rsidRPr="00DB638E" w:rsidRDefault="008B4D65" w:rsidP="009A645B">
      <w:pPr>
        <w:widowControl w:val="0"/>
        <w:autoSpaceDE w:val="0"/>
        <w:autoSpaceDN w:val="0"/>
        <w:spacing w:after="0" w:line="240" w:lineRule="auto"/>
        <w:ind w:left="2977" w:hanging="2977"/>
        <w:rPr>
          <w:rFonts w:ascii="Times New Roman" w:eastAsia="Times New Roman" w:hAnsi="Times New Roman"/>
          <w:bCs/>
          <w:iCs/>
          <w:sz w:val="24"/>
          <w:szCs w:val="24"/>
          <w:lang w:eastAsia="ru-RU"/>
        </w:rPr>
      </w:pPr>
      <w:r w:rsidRPr="00DB638E">
        <w:rPr>
          <w:rFonts w:ascii="Times New Roman" w:eastAsia="Times New Roman" w:hAnsi="Times New Roman"/>
          <w:bCs/>
          <w:iCs/>
          <w:sz w:val="24"/>
          <w:szCs w:val="24"/>
          <w:lang w:eastAsia="ru-RU"/>
        </w:rPr>
        <w:t>Кабозантиниб-S-малат</w:t>
      </w:r>
    </w:p>
    <w:p w14:paraId="5961B91A" w14:textId="77777777" w:rsidR="00D60C5A" w:rsidRPr="00DB638E" w:rsidRDefault="00D60C5A" w:rsidP="0078568D">
      <w:pPr>
        <w:widowControl w:val="0"/>
        <w:autoSpaceDE w:val="0"/>
        <w:autoSpaceDN w:val="0"/>
        <w:spacing w:after="0" w:line="240" w:lineRule="auto"/>
        <w:ind w:left="2977" w:hanging="2977"/>
        <w:jc w:val="both"/>
        <w:rPr>
          <w:rFonts w:ascii="Times New Roman" w:eastAsia="TimesNewRomanPSMT" w:hAnsi="Times New Roman"/>
          <w:b/>
          <w:sz w:val="24"/>
          <w:szCs w:val="24"/>
          <w:lang w:eastAsia="ru-RU"/>
        </w:rPr>
      </w:pPr>
      <w:r w:rsidRPr="00DB638E">
        <w:rPr>
          <w:rFonts w:ascii="Times New Roman" w:eastAsia="TimesNewRomanPSMT" w:hAnsi="Times New Roman"/>
          <w:b/>
          <w:sz w:val="24"/>
          <w:szCs w:val="24"/>
          <w:lang w:eastAsia="ru-RU"/>
        </w:rPr>
        <w:t>2.2 Качественный и количественный состав</w:t>
      </w:r>
    </w:p>
    <w:p w14:paraId="1506F064" w14:textId="77777777" w:rsidR="00A074C5" w:rsidRPr="00DB638E" w:rsidRDefault="00A074C5" w:rsidP="0078568D">
      <w:pPr>
        <w:widowControl w:val="0"/>
        <w:autoSpaceDE w:val="0"/>
        <w:autoSpaceDN w:val="0"/>
        <w:spacing w:after="0" w:line="240" w:lineRule="auto"/>
        <w:jc w:val="both"/>
        <w:rPr>
          <w:rFonts w:ascii="Times New Roman" w:eastAsia="Times New Roman" w:hAnsi="Times New Roman"/>
          <w:bCs/>
          <w:sz w:val="24"/>
          <w:szCs w:val="24"/>
          <w:lang w:eastAsia="ru-RU"/>
        </w:rPr>
      </w:pPr>
      <w:r w:rsidRPr="00DB638E">
        <w:rPr>
          <w:rFonts w:ascii="Times New Roman" w:eastAsia="Times New Roman" w:hAnsi="Times New Roman"/>
          <w:bCs/>
          <w:sz w:val="24"/>
          <w:szCs w:val="24"/>
          <w:lang w:eastAsia="ru-RU"/>
        </w:rPr>
        <w:t xml:space="preserve">Одна таблетка содержит </w:t>
      </w:r>
    </w:p>
    <w:p w14:paraId="4640ECEB" w14:textId="77777777" w:rsidR="00A074C5" w:rsidRPr="00DB638E" w:rsidRDefault="00A074C5" w:rsidP="008B4D65">
      <w:pPr>
        <w:widowControl w:val="0"/>
        <w:autoSpaceDE w:val="0"/>
        <w:autoSpaceDN w:val="0"/>
        <w:spacing w:after="0" w:line="240" w:lineRule="auto"/>
        <w:jc w:val="both"/>
        <w:rPr>
          <w:rFonts w:ascii="Times New Roman" w:eastAsia="Times New Roman" w:hAnsi="Times New Roman"/>
          <w:bCs/>
          <w:sz w:val="24"/>
          <w:szCs w:val="24"/>
          <w:lang w:eastAsia="ru-RU"/>
        </w:rPr>
      </w:pPr>
      <w:r w:rsidRPr="00DB638E">
        <w:rPr>
          <w:rFonts w:ascii="Times New Roman" w:eastAsia="Times New Roman" w:hAnsi="Times New Roman"/>
          <w:bCs/>
          <w:i/>
          <w:sz w:val="24"/>
          <w:szCs w:val="24"/>
          <w:lang w:eastAsia="ru-RU"/>
        </w:rPr>
        <w:t xml:space="preserve">активное вещество </w:t>
      </w:r>
      <w:r w:rsidR="008B4D65" w:rsidRPr="00DB638E">
        <w:rPr>
          <w:rFonts w:ascii="Times New Roman" w:eastAsia="Times New Roman" w:hAnsi="Times New Roman"/>
          <w:bCs/>
          <w:i/>
          <w:sz w:val="24"/>
          <w:szCs w:val="24"/>
          <w:lang w:eastAsia="ru-RU"/>
        </w:rPr>
        <w:t xml:space="preserve">- </w:t>
      </w:r>
      <w:bookmarkStart w:id="2" w:name="_Hlk140480410"/>
      <w:r w:rsidR="008B4D65" w:rsidRPr="00DB638E">
        <w:rPr>
          <w:rFonts w:ascii="Times New Roman" w:eastAsia="Times New Roman" w:hAnsi="Times New Roman"/>
          <w:bCs/>
          <w:sz w:val="24"/>
          <w:szCs w:val="24"/>
          <w:lang w:eastAsia="ru-RU"/>
        </w:rPr>
        <w:t>кабозантиниб-S-малата в пересчете на кабозантиниб 20.00 мг, 40.00 мг и 60.00 мг;</w:t>
      </w:r>
      <w:bookmarkEnd w:id="2"/>
    </w:p>
    <w:p w14:paraId="43CDBCE0" w14:textId="77777777" w:rsidR="00D60C5A" w:rsidRPr="00DB638E" w:rsidRDefault="00515826" w:rsidP="008B4D65">
      <w:pPr>
        <w:spacing w:after="0" w:line="240" w:lineRule="auto"/>
        <w:jc w:val="both"/>
        <w:rPr>
          <w:rFonts w:ascii="Times New Roman" w:hAnsi="Times New Roman"/>
          <w:iCs/>
          <w:sz w:val="24"/>
          <w:szCs w:val="24"/>
          <w:lang w:eastAsia="ru-RU"/>
        </w:rPr>
      </w:pPr>
      <w:bookmarkStart w:id="3" w:name="2176066297"/>
      <w:r w:rsidRPr="00DB638E">
        <w:rPr>
          <w:rFonts w:ascii="Times New Roman" w:hAnsi="Times New Roman"/>
          <w:i/>
          <w:iCs/>
          <w:sz w:val="24"/>
          <w:szCs w:val="24"/>
          <w:lang w:eastAsia="ru-RU"/>
        </w:rPr>
        <w:t xml:space="preserve">вспомогательные </w:t>
      </w:r>
      <w:bookmarkEnd w:id="3"/>
      <w:r w:rsidR="0075737A" w:rsidRPr="00DB638E">
        <w:rPr>
          <w:rFonts w:ascii="Times New Roman" w:hAnsi="Times New Roman"/>
          <w:i/>
          <w:iCs/>
          <w:sz w:val="24"/>
          <w:szCs w:val="24"/>
          <w:lang w:eastAsia="ru-RU"/>
        </w:rPr>
        <w:t>вещества:</w:t>
      </w:r>
      <w:r w:rsidR="0075737A" w:rsidRPr="00DB638E">
        <w:rPr>
          <w:rFonts w:ascii="Times New Roman" w:hAnsi="Times New Roman"/>
          <w:iCs/>
          <w:sz w:val="24"/>
          <w:szCs w:val="24"/>
          <w:lang w:eastAsia="ru-RU"/>
        </w:rPr>
        <w:t xml:space="preserve"> лактозы</w:t>
      </w:r>
      <w:r w:rsidR="008B4D65" w:rsidRPr="00DB638E">
        <w:rPr>
          <w:rFonts w:ascii="Times New Roman" w:hAnsi="Times New Roman"/>
          <w:iCs/>
          <w:sz w:val="24"/>
          <w:szCs w:val="24"/>
          <w:lang w:eastAsia="ru-RU"/>
        </w:rPr>
        <w:t xml:space="preserve"> моногидрат, натрия кроскармеллоза.</w:t>
      </w:r>
    </w:p>
    <w:p w14:paraId="46D3BE7B" w14:textId="77777777" w:rsidR="003C07E3" w:rsidRPr="00DB638E" w:rsidRDefault="00E75FFF" w:rsidP="0078568D">
      <w:pPr>
        <w:autoSpaceDE w:val="0"/>
        <w:autoSpaceDN w:val="0"/>
        <w:adjustRightInd w:val="0"/>
        <w:spacing w:after="0" w:line="240" w:lineRule="auto"/>
        <w:rPr>
          <w:rFonts w:ascii="Times New Roman" w:eastAsia="Times New Roman" w:hAnsi="Times New Roman"/>
          <w:bCs/>
          <w:snapToGrid w:val="0"/>
          <w:sz w:val="24"/>
          <w:szCs w:val="24"/>
          <w:lang w:eastAsia="ru-RU"/>
        </w:rPr>
      </w:pPr>
      <w:r w:rsidRPr="00DB638E">
        <w:rPr>
          <w:rFonts w:ascii="Times New Roman" w:hAnsi="Times New Roman"/>
          <w:iCs/>
          <w:sz w:val="24"/>
          <w:szCs w:val="24"/>
          <w:lang w:eastAsia="ru-RU"/>
        </w:rPr>
        <w:t>Полный список вспомогательных веществ см. в пункте 6.1</w:t>
      </w:r>
      <w:r w:rsidRPr="00DB638E">
        <w:rPr>
          <w:rFonts w:ascii="Times New Roman" w:hAnsi="Times New Roman"/>
          <w:sz w:val="24"/>
          <w:szCs w:val="24"/>
          <w:lang w:eastAsia="ru-RU"/>
        </w:rPr>
        <w:t>.</w:t>
      </w:r>
    </w:p>
    <w:p w14:paraId="443F5E1C" w14:textId="77777777" w:rsidR="00881BDD" w:rsidRPr="00DB638E" w:rsidRDefault="00881BDD" w:rsidP="0078568D">
      <w:pPr>
        <w:spacing w:after="0" w:line="240" w:lineRule="auto"/>
        <w:jc w:val="both"/>
        <w:rPr>
          <w:rFonts w:ascii="Times New Roman" w:eastAsia="Times New Roman" w:hAnsi="Times New Roman"/>
          <w:b/>
          <w:sz w:val="24"/>
          <w:szCs w:val="24"/>
          <w:lang w:eastAsia="ru-RU"/>
        </w:rPr>
      </w:pPr>
      <w:bookmarkStart w:id="4" w:name="2175220286"/>
    </w:p>
    <w:p w14:paraId="4E0A2174" w14:textId="77777777" w:rsidR="00B7231F" w:rsidRPr="00DB638E" w:rsidRDefault="00B7231F" w:rsidP="0078568D">
      <w:pPr>
        <w:spacing w:after="0" w:line="240" w:lineRule="auto"/>
        <w:jc w:val="both"/>
        <w:rPr>
          <w:rFonts w:ascii="Times New Roman" w:eastAsia="Times New Roman" w:hAnsi="Times New Roman"/>
          <w:b/>
          <w:sz w:val="24"/>
          <w:szCs w:val="24"/>
          <w:lang w:eastAsia="ru-RU"/>
        </w:rPr>
      </w:pPr>
      <w:r w:rsidRPr="00DB638E">
        <w:rPr>
          <w:rFonts w:ascii="Times New Roman" w:eastAsia="Times New Roman" w:hAnsi="Times New Roman"/>
          <w:b/>
          <w:sz w:val="24"/>
          <w:szCs w:val="24"/>
          <w:lang w:eastAsia="ru-RU"/>
        </w:rPr>
        <w:t xml:space="preserve">3. </w:t>
      </w:r>
      <w:r w:rsidR="00280121" w:rsidRPr="00DB638E">
        <w:rPr>
          <w:rFonts w:ascii="Times New Roman" w:eastAsia="Times New Roman" w:hAnsi="Times New Roman"/>
          <w:b/>
          <w:sz w:val="24"/>
          <w:szCs w:val="24"/>
          <w:lang w:eastAsia="ru-RU"/>
        </w:rPr>
        <w:t>ЛЕКАРСТВЕННАЯ ФОРМА</w:t>
      </w:r>
    </w:p>
    <w:bookmarkEnd w:id="4"/>
    <w:p w14:paraId="75B22B57" w14:textId="77777777" w:rsidR="0075737A" w:rsidRPr="00DB638E" w:rsidRDefault="0075737A" w:rsidP="0075737A">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DB638E">
        <w:rPr>
          <w:rFonts w:ascii="Times New Roman" w:eastAsia="Times New Roman" w:hAnsi="Times New Roman"/>
          <w:sz w:val="24"/>
          <w:szCs w:val="24"/>
          <w:lang w:eastAsia="ru-RU"/>
        </w:rPr>
        <w:t>Таблетки, покрытые пленочной оболочкой.</w:t>
      </w:r>
    </w:p>
    <w:p w14:paraId="4F359E64" w14:textId="77777777" w:rsidR="0075737A" w:rsidRPr="00DB638E" w:rsidRDefault="0075737A" w:rsidP="0075737A">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bookmarkStart w:id="5" w:name="_Hlk140480521"/>
      <w:r w:rsidRPr="00DB638E">
        <w:rPr>
          <w:rFonts w:ascii="Times New Roman" w:eastAsia="Times New Roman" w:hAnsi="Times New Roman"/>
          <w:color w:val="000000"/>
          <w:spacing w:val="-4"/>
          <w:sz w:val="24"/>
          <w:szCs w:val="24"/>
          <w:lang w:eastAsia="hu-HU"/>
        </w:rPr>
        <w:t>Таблетки</w:t>
      </w:r>
      <w:r w:rsidRPr="00DB638E">
        <w:rPr>
          <w:rFonts w:ascii="Times New Roman" w:eastAsia="Times New Roman" w:hAnsi="Times New Roman"/>
          <w:b/>
          <w:color w:val="000000"/>
          <w:spacing w:val="-4"/>
          <w:sz w:val="24"/>
          <w:szCs w:val="24"/>
          <w:lang w:eastAsia="hu-HU"/>
        </w:rPr>
        <w:t xml:space="preserve"> </w:t>
      </w:r>
      <w:r w:rsidRPr="00DB638E">
        <w:rPr>
          <w:rFonts w:ascii="Times New Roman" w:eastAsia="Times New Roman" w:hAnsi="Times New Roman"/>
          <w:color w:val="000000"/>
          <w:spacing w:val="-4"/>
          <w:sz w:val="24"/>
          <w:szCs w:val="24"/>
          <w:lang w:eastAsia="hu-HU"/>
        </w:rPr>
        <w:t>круглой формы, двояковыпуклые, покрытые пленочной оболочкой желтого цвета, гладкие с обеих сторон (для дозировок 20 мг и 40 мг).</w:t>
      </w:r>
    </w:p>
    <w:p w14:paraId="570A50D9" w14:textId="77777777" w:rsidR="00B7231F" w:rsidRPr="00DB638E" w:rsidRDefault="0075737A" w:rsidP="0075737A">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DB638E">
        <w:rPr>
          <w:rFonts w:ascii="Times New Roman" w:eastAsia="Times New Roman" w:hAnsi="Times New Roman"/>
          <w:color w:val="000000"/>
          <w:spacing w:val="-4"/>
          <w:sz w:val="24"/>
          <w:szCs w:val="24"/>
          <w:lang w:eastAsia="hu-HU"/>
        </w:rPr>
        <w:t>Таблетки</w:t>
      </w:r>
      <w:r w:rsidRPr="00DB638E">
        <w:rPr>
          <w:rFonts w:ascii="Times New Roman" w:eastAsia="Times New Roman" w:hAnsi="Times New Roman"/>
          <w:b/>
          <w:color w:val="000000"/>
          <w:spacing w:val="-4"/>
          <w:sz w:val="24"/>
          <w:szCs w:val="24"/>
          <w:lang w:eastAsia="hu-HU"/>
        </w:rPr>
        <w:t xml:space="preserve"> </w:t>
      </w:r>
      <w:r w:rsidRPr="00DB638E">
        <w:rPr>
          <w:rFonts w:ascii="Times New Roman" w:eastAsia="Times New Roman" w:hAnsi="Times New Roman"/>
          <w:color w:val="000000"/>
          <w:spacing w:val="-4"/>
          <w:sz w:val="24"/>
          <w:szCs w:val="24"/>
          <w:lang w:eastAsia="hu-HU"/>
        </w:rPr>
        <w:t>овальной формы, двояковыпуклые, покрытые пленочной оболочкой желтого цвета, гладкие с обеих сторон (для дозировки 60 мг).</w:t>
      </w:r>
    </w:p>
    <w:bookmarkEnd w:id="5"/>
    <w:p w14:paraId="41CC6B99" w14:textId="77777777" w:rsidR="0075737A" w:rsidRPr="00DB638E" w:rsidRDefault="0075737A" w:rsidP="0075737A">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5A48B375" w14:textId="77777777" w:rsidR="002C1660" w:rsidRPr="00DB638E" w:rsidRDefault="00B7231F" w:rsidP="0078568D">
      <w:pPr>
        <w:spacing w:after="0" w:line="240" w:lineRule="auto"/>
        <w:jc w:val="both"/>
        <w:rPr>
          <w:rFonts w:ascii="Times New Roman" w:eastAsia="Times New Roman" w:hAnsi="Times New Roman"/>
          <w:b/>
          <w:sz w:val="24"/>
          <w:szCs w:val="24"/>
          <w:lang w:eastAsia="ru-RU"/>
        </w:rPr>
      </w:pPr>
      <w:r w:rsidRPr="00DB638E">
        <w:rPr>
          <w:rFonts w:ascii="Times New Roman" w:eastAsia="Times New Roman" w:hAnsi="Times New Roman"/>
          <w:b/>
          <w:sz w:val="24"/>
          <w:szCs w:val="24"/>
          <w:lang w:eastAsia="ru-RU"/>
        </w:rPr>
        <w:t>4</w:t>
      </w:r>
      <w:r w:rsidR="00DB406A" w:rsidRPr="00DB638E">
        <w:rPr>
          <w:rFonts w:ascii="Times New Roman" w:eastAsia="Times New Roman" w:hAnsi="Times New Roman"/>
          <w:b/>
          <w:sz w:val="24"/>
          <w:szCs w:val="24"/>
          <w:lang w:eastAsia="ru-RU"/>
        </w:rPr>
        <w:t xml:space="preserve">. </w:t>
      </w:r>
      <w:bookmarkEnd w:id="1"/>
      <w:r w:rsidR="00384EFD" w:rsidRPr="00DB638E">
        <w:rPr>
          <w:rFonts w:ascii="Times New Roman" w:eastAsia="Times New Roman" w:hAnsi="Times New Roman"/>
          <w:b/>
          <w:sz w:val="24"/>
          <w:szCs w:val="24"/>
          <w:lang w:eastAsia="ru-RU"/>
        </w:rPr>
        <w:t>КЛИНИЧЕСКИЕ ДАННЫЕ</w:t>
      </w:r>
    </w:p>
    <w:p w14:paraId="32197868" w14:textId="77777777" w:rsidR="005444B2" w:rsidRPr="00DB638E"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eastAsia="ru-RU"/>
        </w:rPr>
      </w:pPr>
      <w:r w:rsidRPr="00DB638E">
        <w:rPr>
          <w:rFonts w:ascii="Times New Roman" w:eastAsia="Times New Roman" w:hAnsi="Times New Roman"/>
          <w:b/>
          <w:bCs/>
          <w:sz w:val="24"/>
          <w:szCs w:val="24"/>
          <w:lang w:eastAsia="ru-RU"/>
        </w:rPr>
        <w:t>4</w:t>
      </w:r>
      <w:r w:rsidR="00DB406A" w:rsidRPr="00DB638E">
        <w:rPr>
          <w:rFonts w:ascii="Times New Roman" w:eastAsia="Times New Roman" w:hAnsi="Times New Roman"/>
          <w:b/>
          <w:bCs/>
          <w:sz w:val="24"/>
          <w:szCs w:val="24"/>
          <w:lang w:eastAsia="ru-RU"/>
        </w:rPr>
        <w:t>.</w:t>
      </w:r>
      <w:r w:rsidRPr="00DB638E">
        <w:rPr>
          <w:rFonts w:ascii="Times New Roman" w:eastAsia="Times New Roman" w:hAnsi="Times New Roman"/>
          <w:b/>
          <w:bCs/>
          <w:sz w:val="24"/>
          <w:szCs w:val="24"/>
          <w:lang w:eastAsia="ru-RU"/>
        </w:rPr>
        <w:t>1</w:t>
      </w:r>
      <w:r w:rsidR="00DB406A" w:rsidRPr="00DB638E">
        <w:rPr>
          <w:rFonts w:ascii="Times New Roman" w:eastAsia="Times New Roman" w:hAnsi="Times New Roman"/>
          <w:b/>
          <w:bCs/>
          <w:sz w:val="24"/>
          <w:szCs w:val="24"/>
          <w:lang w:eastAsia="ru-RU"/>
        </w:rPr>
        <w:t xml:space="preserve"> </w:t>
      </w:r>
      <w:r w:rsidR="005444B2" w:rsidRPr="00DB638E">
        <w:rPr>
          <w:rFonts w:ascii="Times New Roman" w:eastAsia="Times New Roman" w:hAnsi="Times New Roman"/>
          <w:b/>
          <w:bCs/>
          <w:sz w:val="24"/>
          <w:szCs w:val="24"/>
          <w:lang w:eastAsia="ru-RU"/>
        </w:rPr>
        <w:t>Показания к применению</w:t>
      </w:r>
    </w:p>
    <w:p w14:paraId="162CECA6" w14:textId="77777777" w:rsidR="003D0BA9" w:rsidRPr="00DB638E" w:rsidRDefault="003D0BA9" w:rsidP="003D0BA9">
      <w:pPr>
        <w:tabs>
          <w:tab w:val="left" w:pos="8931"/>
        </w:tabs>
        <w:spacing w:after="0" w:line="240" w:lineRule="auto"/>
        <w:jc w:val="both"/>
        <w:rPr>
          <w:rFonts w:ascii="Times New Roman" w:hAnsi="Times New Roman"/>
          <w:i/>
          <w:iCs/>
          <w:sz w:val="24"/>
          <w:szCs w:val="24"/>
          <w:u w:val="single"/>
        </w:rPr>
      </w:pPr>
      <w:bookmarkStart w:id="6" w:name="_Hlk74919062"/>
      <w:r w:rsidRPr="00DB638E">
        <w:rPr>
          <w:rFonts w:ascii="Times New Roman" w:hAnsi="Times New Roman"/>
          <w:i/>
          <w:iCs/>
          <w:sz w:val="24"/>
          <w:szCs w:val="24"/>
          <w:u w:val="single"/>
        </w:rPr>
        <w:t>Почечно-клеточный рак</w:t>
      </w:r>
    </w:p>
    <w:p w14:paraId="547F5EFD" w14:textId="61AA0325" w:rsidR="003D0BA9" w:rsidRPr="00DB638E" w:rsidRDefault="003D0BA9" w:rsidP="003D0BA9">
      <w:pPr>
        <w:tabs>
          <w:tab w:val="left" w:pos="8931"/>
        </w:tabs>
        <w:spacing w:after="0" w:line="240" w:lineRule="auto"/>
        <w:jc w:val="both"/>
        <w:rPr>
          <w:rFonts w:ascii="Times New Roman" w:hAnsi="Times New Roman"/>
          <w:sz w:val="24"/>
          <w:szCs w:val="24"/>
        </w:rPr>
      </w:pPr>
      <w:r w:rsidRPr="00DB638E">
        <w:rPr>
          <w:rFonts w:ascii="Times New Roman" w:hAnsi="Times New Roman"/>
          <w:sz w:val="24"/>
          <w:szCs w:val="24"/>
        </w:rPr>
        <w:t xml:space="preserve">Препарат </w:t>
      </w:r>
      <w:r w:rsidR="00C335EE" w:rsidRPr="00DB638E">
        <w:rPr>
          <w:rFonts w:ascii="Times New Roman" w:hAnsi="Times New Roman"/>
          <w:sz w:val="24"/>
          <w:szCs w:val="24"/>
        </w:rPr>
        <w:t>Кабозаниб</w:t>
      </w:r>
      <w:r w:rsidRPr="00DB638E">
        <w:rPr>
          <w:rFonts w:ascii="Times New Roman" w:hAnsi="Times New Roman"/>
          <w:sz w:val="24"/>
          <w:szCs w:val="24"/>
        </w:rPr>
        <w:t xml:space="preserve"> предназначен в качестве монотерапии для лечения распространённого</w:t>
      </w:r>
      <w:r w:rsidR="009536E1" w:rsidRPr="00DB638E">
        <w:rPr>
          <w:rFonts w:ascii="Times New Roman" w:hAnsi="Times New Roman"/>
          <w:sz w:val="24"/>
          <w:szCs w:val="24"/>
        </w:rPr>
        <w:t xml:space="preserve"> </w:t>
      </w:r>
      <w:r w:rsidRPr="00DB638E">
        <w:rPr>
          <w:rFonts w:ascii="Times New Roman" w:hAnsi="Times New Roman"/>
          <w:sz w:val="24"/>
          <w:szCs w:val="24"/>
        </w:rPr>
        <w:t>почечно-клеточного рака:</w:t>
      </w:r>
    </w:p>
    <w:p w14:paraId="463E3894" w14:textId="270CABEF" w:rsidR="00824A39" w:rsidRPr="00DB638E" w:rsidRDefault="003A7B0F" w:rsidP="003D0BA9">
      <w:pPr>
        <w:pStyle w:val="ab"/>
        <w:numPr>
          <w:ilvl w:val="0"/>
          <w:numId w:val="26"/>
        </w:numPr>
        <w:tabs>
          <w:tab w:val="left" w:pos="284"/>
          <w:tab w:val="left" w:pos="8931"/>
        </w:tabs>
        <w:spacing w:after="0" w:line="240" w:lineRule="auto"/>
        <w:ind w:left="0" w:firstLine="0"/>
        <w:jc w:val="both"/>
        <w:rPr>
          <w:rFonts w:ascii="Times New Roman" w:hAnsi="Times New Roman"/>
          <w:sz w:val="24"/>
          <w:szCs w:val="24"/>
        </w:rPr>
      </w:pPr>
      <w:r w:rsidRPr="00DB638E">
        <w:rPr>
          <w:rFonts w:ascii="Times New Roman" w:hAnsi="Times New Roman"/>
          <w:sz w:val="24"/>
          <w:szCs w:val="24"/>
        </w:rPr>
        <w:t xml:space="preserve">в качестве </w:t>
      </w:r>
      <w:r w:rsidR="005E6C64" w:rsidRPr="00DB638E">
        <w:rPr>
          <w:rFonts w:ascii="Times New Roman" w:hAnsi="Times New Roman"/>
          <w:sz w:val="24"/>
          <w:szCs w:val="24"/>
        </w:rPr>
        <w:t xml:space="preserve">первой линии лечения </w:t>
      </w:r>
      <w:r w:rsidR="003D0BA9" w:rsidRPr="00DB638E">
        <w:rPr>
          <w:rFonts w:ascii="Times New Roman" w:hAnsi="Times New Roman"/>
          <w:sz w:val="24"/>
          <w:szCs w:val="24"/>
        </w:rPr>
        <w:t xml:space="preserve">у взрослых пациентов с промежуточным или </w:t>
      </w:r>
      <w:r w:rsidR="006D37D7" w:rsidRPr="00DB638E">
        <w:rPr>
          <w:rFonts w:ascii="Times New Roman" w:hAnsi="Times New Roman"/>
          <w:sz w:val="24"/>
          <w:szCs w:val="24"/>
        </w:rPr>
        <w:t xml:space="preserve">неблагоприятным </w:t>
      </w:r>
      <w:r w:rsidR="003D0BA9" w:rsidRPr="00DB638E">
        <w:rPr>
          <w:rFonts w:ascii="Times New Roman" w:hAnsi="Times New Roman"/>
          <w:sz w:val="24"/>
          <w:szCs w:val="24"/>
        </w:rPr>
        <w:t>прогнозом, не получавших ранее терапию (</w:t>
      </w:r>
      <w:r w:rsidR="003D0BA9" w:rsidRPr="00DB638E">
        <w:rPr>
          <w:rFonts w:ascii="Times New Roman" w:hAnsi="Times New Roman"/>
          <w:sz w:val="24"/>
          <w:szCs w:val="24"/>
          <w:lang w:val="kk-KZ"/>
        </w:rPr>
        <w:t>см</w:t>
      </w:r>
      <w:r w:rsidR="003D0BA9" w:rsidRPr="00DB638E">
        <w:rPr>
          <w:rFonts w:ascii="Times New Roman" w:hAnsi="Times New Roman"/>
          <w:sz w:val="24"/>
          <w:szCs w:val="24"/>
        </w:rPr>
        <w:t>. раздел 5.1);</w:t>
      </w:r>
    </w:p>
    <w:p w14:paraId="2A447F11" w14:textId="543667F0" w:rsidR="00824A39" w:rsidRPr="00DB638E" w:rsidRDefault="00824A39" w:rsidP="003D0BA9">
      <w:pPr>
        <w:pStyle w:val="ab"/>
        <w:numPr>
          <w:ilvl w:val="0"/>
          <w:numId w:val="26"/>
        </w:numPr>
        <w:tabs>
          <w:tab w:val="left" w:pos="284"/>
          <w:tab w:val="left" w:pos="8931"/>
        </w:tabs>
        <w:spacing w:after="0" w:line="240" w:lineRule="auto"/>
        <w:ind w:left="0" w:firstLine="0"/>
        <w:jc w:val="both"/>
        <w:rPr>
          <w:rFonts w:ascii="Times New Roman" w:hAnsi="Times New Roman"/>
          <w:sz w:val="24"/>
          <w:szCs w:val="24"/>
        </w:rPr>
      </w:pPr>
      <w:r w:rsidRPr="00DB638E">
        <w:rPr>
          <w:rFonts w:ascii="Times New Roman" w:hAnsi="Times New Roman"/>
          <w:sz w:val="24"/>
          <w:szCs w:val="24"/>
        </w:rPr>
        <w:t xml:space="preserve">у взрослых пациентов после предшествующей терапии антиангиогенными препаратами (VEGF-таргетная терапия) (см. раздел 5.1). </w:t>
      </w:r>
    </w:p>
    <w:p w14:paraId="3259A3AB" w14:textId="15EC6DFF" w:rsidR="003D0BA9" w:rsidRPr="00DB638E" w:rsidRDefault="003D0BA9" w:rsidP="003D0BA9">
      <w:pPr>
        <w:tabs>
          <w:tab w:val="left" w:pos="8931"/>
        </w:tabs>
        <w:spacing w:after="0" w:line="240" w:lineRule="auto"/>
        <w:jc w:val="both"/>
        <w:rPr>
          <w:rFonts w:ascii="Times New Roman" w:hAnsi="Times New Roman"/>
          <w:sz w:val="24"/>
          <w:szCs w:val="24"/>
        </w:rPr>
      </w:pPr>
      <w:r w:rsidRPr="00DB638E">
        <w:rPr>
          <w:rFonts w:ascii="Times New Roman" w:hAnsi="Times New Roman"/>
          <w:sz w:val="24"/>
          <w:szCs w:val="24"/>
        </w:rPr>
        <w:t xml:space="preserve">Препарат </w:t>
      </w:r>
      <w:r w:rsidR="00C335EE" w:rsidRPr="00DB638E">
        <w:rPr>
          <w:rFonts w:ascii="Times New Roman" w:hAnsi="Times New Roman"/>
          <w:sz w:val="24"/>
          <w:szCs w:val="24"/>
        </w:rPr>
        <w:t>Кабозаниб</w:t>
      </w:r>
      <w:r w:rsidR="00623042" w:rsidRPr="00DB638E">
        <w:rPr>
          <w:rFonts w:ascii="Times New Roman" w:hAnsi="Times New Roman"/>
          <w:sz w:val="24"/>
          <w:szCs w:val="24"/>
        </w:rPr>
        <w:t xml:space="preserve"> </w:t>
      </w:r>
      <w:r w:rsidRPr="00DB638E">
        <w:rPr>
          <w:rFonts w:ascii="Times New Roman" w:hAnsi="Times New Roman"/>
          <w:sz w:val="24"/>
          <w:szCs w:val="24"/>
        </w:rPr>
        <w:t>в комбинации с ниволумабом предназначен в качестве первой линии лечения распространённого почечно-клеточного рака у взрослых пациентов (см. раздел 5.1).</w:t>
      </w:r>
    </w:p>
    <w:p w14:paraId="33E8B0E3" w14:textId="77777777" w:rsidR="003D0BA9" w:rsidRPr="00DB638E" w:rsidRDefault="003D0BA9" w:rsidP="003D0BA9">
      <w:pPr>
        <w:tabs>
          <w:tab w:val="left" w:pos="8931"/>
        </w:tabs>
        <w:spacing w:after="0" w:line="240" w:lineRule="auto"/>
        <w:jc w:val="both"/>
        <w:rPr>
          <w:rFonts w:ascii="Times New Roman" w:hAnsi="Times New Roman"/>
          <w:i/>
          <w:iCs/>
          <w:sz w:val="24"/>
          <w:szCs w:val="24"/>
          <w:u w:val="single"/>
        </w:rPr>
      </w:pPr>
      <w:r w:rsidRPr="00DB638E">
        <w:rPr>
          <w:rFonts w:ascii="Times New Roman" w:hAnsi="Times New Roman"/>
          <w:i/>
          <w:iCs/>
          <w:sz w:val="24"/>
          <w:szCs w:val="24"/>
          <w:u w:val="single"/>
        </w:rPr>
        <w:t>Печеночно-клеточный рак</w:t>
      </w:r>
    </w:p>
    <w:p w14:paraId="00D6BF2C" w14:textId="77777777" w:rsidR="003D0BA9" w:rsidRPr="00DB638E" w:rsidRDefault="003D0BA9" w:rsidP="003D0BA9">
      <w:pPr>
        <w:tabs>
          <w:tab w:val="left" w:pos="8931"/>
        </w:tabs>
        <w:spacing w:after="0" w:line="240" w:lineRule="auto"/>
        <w:jc w:val="both"/>
        <w:rPr>
          <w:rFonts w:ascii="Times New Roman" w:hAnsi="Times New Roman"/>
          <w:sz w:val="24"/>
          <w:szCs w:val="24"/>
        </w:rPr>
      </w:pPr>
      <w:r w:rsidRPr="00DB638E">
        <w:rPr>
          <w:rFonts w:ascii="Times New Roman" w:hAnsi="Times New Roman"/>
          <w:sz w:val="24"/>
          <w:szCs w:val="24"/>
        </w:rPr>
        <w:t xml:space="preserve">Препарат </w:t>
      </w:r>
      <w:r w:rsidR="00C335EE" w:rsidRPr="00DB638E">
        <w:rPr>
          <w:rFonts w:ascii="Times New Roman" w:hAnsi="Times New Roman"/>
          <w:sz w:val="24"/>
          <w:szCs w:val="24"/>
        </w:rPr>
        <w:t>Кабозаниб</w:t>
      </w:r>
      <w:r w:rsidR="00623042" w:rsidRPr="00DB638E">
        <w:rPr>
          <w:rFonts w:ascii="Times New Roman" w:hAnsi="Times New Roman"/>
          <w:sz w:val="24"/>
          <w:szCs w:val="24"/>
        </w:rPr>
        <w:t xml:space="preserve"> </w:t>
      </w:r>
      <w:r w:rsidRPr="00DB638E">
        <w:rPr>
          <w:rFonts w:ascii="Times New Roman" w:hAnsi="Times New Roman"/>
          <w:sz w:val="24"/>
          <w:szCs w:val="24"/>
        </w:rPr>
        <w:t>предназначен в качестве монотерапии для лечения печеночно-клеточного рака у взрослых пациентов, после предшествующей терапии сорафенибом.</w:t>
      </w:r>
    </w:p>
    <w:p w14:paraId="4970B222" w14:textId="0880264C" w:rsidR="005F1719" w:rsidRPr="00DB638E" w:rsidRDefault="005F1719" w:rsidP="005F1719">
      <w:pPr>
        <w:tabs>
          <w:tab w:val="left" w:pos="8931"/>
        </w:tabs>
        <w:spacing w:after="0" w:line="240" w:lineRule="auto"/>
        <w:jc w:val="both"/>
        <w:rPr>
          <w:rFonts w:ascii="Times New Roman" w:hAnsi="Times New Roman"/>
          <w:i/>
          <w:iCs/>
          <w:sz w:val="24"/>
          <w:szCs w:val="24"/>
          <w:u w:val="single"/>
        </w:rPr>
      </w:pPr>
      <w:r w:rsidRPr="00DB638E">
        <w:rPr>
          <w:rFonts w:ascii="Times New Roman" w:hAnsi="Times New Roman"/>
          <w:i/>
          <w:iCs/>
          <w:sz w:val="24"/>
          <w:szCs w:val="24"/>
          <w:u w:val="single"/>
        </w:rPr>
        <w:t>Дифференцированн</w:t>
      </w:r>
      <w:r w:rsidR="006D37D7" w:rsidRPr="00DB638E">
        <w:rPr>
          <w:rFonts w:ascii="Times New Roman" w:hAnsi="Times New Roman"/>
          <w:i/>
          <w:iCs/>
          <w:sz w:val="24"/>
          <w:szCs w:val="24"/>
          <w:u w:val="single"/>
        </w:rPr>
        <w:t>ая</w:t>
      </w:r>
      <w:r w:rsidRPr="00DB638E">
        <w:rPr>
          <w:rFonts w:ascii="Times New Roman" w:hAnsi="Times New Roman"/>
          <w:i/>
          <w:iCs/>
          <w:sz w:val="24"/>
          <w:szCs w:val="24"/>
          <w:u w:val="single"/>
        </w:rPr>
        <w:t xml:space="preserve"> </w:t>
      </w:r>
      <w:r w:rsidR="006D37D7" w:rsidRPr="00DB638E">
        <w:rPr>
          <w:rFonts w:ascii="Times New Roman" w:hAnsi="Times New Roman"/>
          <w:i/>
          <w:iCs/>
          <w:sz w:val="24"/>
          <w:szCs w:val="24"/>
          <w:u w:val="single"/>
        </w:rPr>
        <w:t>карцинома</w:t>
      </w:r>
      <w:r w:rsidRPr="00DB638E">
        <w:rPr>
          <w:rFonts w:ascii="Times New Roman" w:hAnsi="Times New Roman"/>
          <w:i/>
          <w:iCs/>
          <w:sz w:val="24"/>
          <w:szCs w:val="24"/>
          <w:u w:val="single"/>
        </w:rPr>
        <w:t xml:space="preserve"> щитовидной железы (Д</w:t>
      </w:r>
      <w:r w:rsidR="006D37D7" w:rsidRPr="00DB638E">
        <w:rPr>
          <w:rFonts w:ascii="Times New Roman" w:hAnsi="Times New Roman"/>
          <w:i/>
          <w:iCs/>
          <w:sz w:val="24"/>
          <w:szCs w:val="24"/>
          <w:u w:val="single"/>
        </w:rPr>
        <w:t>К</w:t>
      </w:r>
      <w:r w:rsidRPr="00DB638E">
        <w:rPr>
          <w:rFonts w:ascii="Times New Roman" w:hAnsi="Times New Roman"/>
          <w:i/>
          <w:iCs/>
          <w:sz w:val="24"/>
          <w:szCs w:val="24"/>
          <w:u w:val="single"/>
        </w:rPr>
        <w:t>ЩЖ)</w:t>
      </w:r>
    </w:p>
    <w:p w14:paraId="036E9035" w14:textId="4E449A53" w:rsidR="005F1719" w:rsidRPr="00DB638E" w:rsidRDefault="00C335EE" w:rsidP="00734D95">
      <w:pPr>
        <w:tabs>
          <w:tab w:val="left" w:pos="8931"/>
        </w:tabs>
        <w:spacing w:after="0" w:line="240" w:lineRule="auto"/>
        <w:jc w:val="both"/>
        <w:rPr>
          <w:rFonts w:ascii="Times New Roman" w:hAnsi="Times New Roman"/>
          <w:sz w:val="24"/>
          <w:szCs w:val="24"/>
        </w:rPr>
      </w:pPr>
      <w:r w:rsidRPr="00DB638E">
        <w:rPr>
          <w:rFonts w:ascii="Times New Roman" w:hAnsi="Times New Roman"/>
          <w:sz w:val="24"/>
          <w:szCs w:val="24"/>
        </w:rPr>
        <w:t>Кабозаниб</w:t>
      </w:r>
      <w:r w:rsidR="005F1719" w:rsidRPr="00DB638E">
        <w:rPr>
          <w:rFonts w:ascii="Times New Roman" w:hAnsi="Times New Roman"/>
          <w:sz w:val="24"/>
          <w:szCs w:val="24"/>
        </w:rPr>
        <w:t xml:space="preserve"> показан в качестве монотерапии для лечения взрослых пациентов с местнораспространенной или метастатической дифференцированной карциномой щитовидной железы (Д</w:t>
      </w:r>
      <w:r w:rsidR="006D37D7" w:rsidRPr="00DB638E">
        <w:rPr>
          <w:rFonts w:ascii="Times New Roman" w:hAnsi="Times New Roman"/>
          <w:sz w:val="24"/>
          <w:szCs w:val="24"/>
        </w:rPr>
        <w:t>К</w:t>
      </w:r>
      <w:r w:rsidR="005F1719" w:rsidRPr="00DB638E">
        <w:rPr>
          <w:rFonts w:ascii="Times New Roman" w:hAnsi="Times New Roman"/>
          <w:sz w:val="24"/>
          <w:szCs w:val="24"/>
        </w:rPr>
        <w:t xml:space="preserve">ЩЖ), рефрактерной </w:t>
      </w:r>
      <w:r w:rsidR="00734D95" w:rsidRPr="00DB638E">
        <w:rPr>
          <w:rFonts w:ascii="Times New Roman" w:hAnsi="Times New Roman"/>
          <w:sz w:val="24"/>
          <w:szCs w:val="24"/>
        </w:rPr>
        <w:t xml:space="preserve">или не поддающейся лечению </w:t>
      </w:r>
      <w:r w:rsidR="00734D95" w:rsidRPr="00DB638E">
        <w:rPr>
          <w:rFonts w:ascii="Times New Roman" w:hAnsi="Times New Roman"/>
          <w:sz w:val="24"/>
          <w:szCs w:val="24"/>
        </w:rPr>
        <w:lastRenderedPageBreak/>
        <w:t xml:space="preserve">радиоактивного йода (RAI), при прогрессировании </w:t>
      </w:r>
      <w:r w:rsidR="005F1719" w:rsidRPr="00DB638E">
        <w:rPr>
          <w:rFonts w:ascii="Times New Roman" w:hAnsi="Times New Roman"/>
          <w:sz w:val="24"/>
          <w:szCs w:val="24"/>
        </w:rPr>
        <w:t>во время или после предшествующей системной терапии.</w:t>
      </w:r>
    </w:p>
    <w:bookmarkEnd w:id="6"/>
    <w:p w14:paraId="439EF5A1" w14:textId="77777777" w:rsidR="005444B2" w:rsidRPr="00DB638E" w:rsidRDefault="00832A7E" w:rsidP="0078568D">
      <w:pPr>
        <w:tabs>
          <w:tab w:val="left" w:pos="8931"/>
        </w:tabs>
        <w:spacing w:after="0" w:line="240" w:lineRule="auto"/>
        <w:jc w:val="both"/>
        <w:rPr>
          <w:rFonts w:ascii="Times New Roman" w:hAnsi="Times New Roman"/>
          <w:sz w:val="24"/>
          <w:szCs w:val="24"/>
        </w:rPr>
      </w:pPr>
      <w:r w:rsidRPr="00DB638E">
        <w:rPr>
          <w:rFonts w:ascii="Times New Roman" w:hAnsi="Times New Roman"/>
          <w:sz w:val="24"/>
          <w:szCs w:val="24"/>
        </w:rPr>
        <w:t xml:space="preserve"> </w:t>
      </w:r>
    </w:p>
    <w:p w14:paraId="4441FA0E" w14:textId="77777777" w:rsidR="00B7231F" w:rsidRPr="00DB638E" w:rsidRDefault="00B7231F" w:rsidP="0078568D">
      <w:pPr>
        <w:spacing w:after="0" w:line="240" w:lineRule="auto"/>
        <w:jc w:val="both"/>
        <w:rPr>
          <w:rFonts w:ascii="Times New Roman" w:eastAsia="Times New Roman" w:hAnsi="Times New Roman"/>
          <w:b/>
          <w:sz w:val="24"/>
          <w:szCs w:val="24"/>
          <w:lang w:eastAsia="ru-RU"/>
        </w:rPr>
      </w:pPr>
      <w:bookmarkStart w:id="7" w:name="2175220274"/>
      <w:r w:rsidRPr="00DB638E">
        <w:rPr>
          <w:rFonts w:ascii="Times New Roman" w:eastAsia="Times New Roman" w:hAnsi="Times New Roman"/>
          <w:b/>
          <w:sz w:val="24"/>
          <w:szCs w:val="24"/>
          <w:lang w:eastAsia="ru-RU"/>
        </w:rPr>
        <w:t>4.2 Режим дозирования и способ применения</w:t>
      </w:r>
    </w:p>
    <w:p w14:paraId="3222B963" w14:textId="77777777" w:rsidR="00891EB8" w:rsidRPr="00DB638E" w:rsidRDefault="00B7231F" w:rsidP="0078568D">
      <w:pPr>
        <w:spacing w:after="0" w:line="240" w:lineRule="auto"/>
        <w:jc w:val="both"/>
        <w:rPr>
          <w:rFonts w:ascii="Times New Roman" w:eastAsia="Times New Roman" w:hAnsi="Times New Roman"/>
          <w:b/>
          <w:sz w:val="24"/>
          <w:szCs w:val="24"/>
          <w:lang w:eastAsia="ru-RU"/>
        </w:rPr>
      </w:pPr>
      <w:r w:rsidRPr="00DB638E">
        <w:rPr>
          <w:rFonts w:ascii="Times New Roman" w:eastAsia="Times New Roman" w:hAnsi="Times New Roman"/>
          <w:b/>
          <w:sz w:val="24"/>
          <w:szCs w:val="24"/>
          <w:lang w:eastAsia="ru-RU"/>
        </w:rPr>
        <w:t xml:space="preserve">Режим дозирования </w:t>
      </w:r>
    </w:p>
    <w:bookmarkEnd w:id="7"/>
    <w:p w14:paraId="7AB44DBB" w14:textId="7216FEFC" w:rsidR="003A7B0F" w:rsidRPr="00DB638E" w:rsidRDefault="003D0BA9" w:rsidP="0078568D">
      <w:pPr>
        <w:spacing w:after="0" w:line="240" w:lineRule="auto"/>
        <w:jc w:val="both"/>
        <w:rPr>
          <w:rFonts w:ascii="Times New Roman" w:eastAsia="Times New Roman" w:hAnsi="Times New Roman"/>
          <w:sz w:val="24"/>
          <w:szCs w:val="24"/>
          <w:lang w:eastAsia="ru-RU"/>
        </w:rPr>
      </w:pPr>
      <w:r w:rsidRPr="00DB638E">
        <w:rPr>
          <w:rFonts w:ascii="Times New Roman" w:eastAsia="Times New Roman" w:hAnsi="Times New Roman"/>
          <w:sz w:val="24"/>
          <w:szCs w:val="24"/>
          <w:lang w:eastAsia="ru-RU"/>
        </w:rPr>
        <w:t xml:space="preserve">Терапия препаратом </w:t>
      </w:r>
      <w:r w:rsidR="00C335EE" w:rsidRPr="00DB638E">
        <w:rPr>
          <w:rFonts w:ascii="Times New Roman" w:eastAsia="Times New Roman" w:hAnsi="Times New Roman"/>
          <w:sz w:val="24"/>
          <w:szCs w:val="24"/>
          <w:lang w:eastAsia="ru-RU"/>
        </w:rPr>
        <w:t>Кабозаниб</w:t>
      </w:r>
      <w:r w:rsidR="00623042" w:rsidRPr="00DB638E">
        <w:rPr>
          <w:rFonts w:ascii="Times New Roman" w:eastAsia="Times New Roman" w:hAnsi="Times New Roman"/>
          <w:sz w:val="24"/>
          <w:szCs w:val="24"/>
          <w:lang w:eastAsia="ru-RU"/>
        </w:rPr>
        <w:t xml:space="preserve"> </w:t>
      </w:r>
      <w:r w:rsidRPr="00DB638E">
        <w:rPr>
          <w:rFonts w:ascii="Times New Roman" w:eastAsia="Times New Roman" w:hAnsi="Times New Roman"/>
          <w:sz w:val="24"/>
          <w:szCs w:val="24"/>
          <w:lang w:eastAsia="ru-RU"/>
        </w:rPr>
        <w:t>должна проводиться врачом, имеющим опыт применения противоопухолевых лекарственных препаратов.</w:t>
      </w:r>
    </w:p>
    <w:p w14:paraId="15FB70CC" w14:textId="77777777" w:rsidR="003D0BA9" w:rsidRPr="00DB638E" w:rsidRDefault="00C335EE" w:rsidP="003D0BA9">
      <w:pPr>
        <w:spacing w:after="0" w:line="240" w:lineRule="auto"/>
        <w:jc w:val="both"/>
        <w:rPr>
          <w:rFonts w:ascii="Times New Roman" w:hAnsi="Times New Roman"/>
          <w:i/>
          <w:iCs/>
          <w:sz w:val="24"/>
          <w:szCs w:val="24"/>
        </w:rPr>
      </w:pPr>
      <w:bookmarkStart w:id="8" w:name="_Hlk74921913"/>
      <w:r w:rsidRPr="00DB638E">
        <w:rPr>
          <w:rFonts w:ascii="Times New Roman" w:hAnsi="Times New Roman"/>
          <w:i/>
          <w:iCs/>
          <w:sz w:val="24"/>
          <w:szCs w:val="24"/>
        </w:rPr>
        <w:t>Кабозаниб</w:t>
      </w:r>
      <w:r w:rsidR="003D0BA9" w:rsidRPr="00DB638E">
        <w:rPr>
          <w:rFonts w:ascii="Times New Roman" w:hAnsi="Times New Roman"/>
          <w:i/>
          <w:iCs/>
          <w:sz w:val="24"/>
          <w:szCs w:val="24"/>
        </w:rPr>
        <w:t xml:space="preserve"> в качестве монотерапии</w:t>
      </w:r>
    </w:p>
    <w:p w14:paraId="6A22FD13" w14:textId="2D856AB4" w:rsidR="003D0BA9" w:rsidRPr="00DB638E" w:rsidRDefault="003D0BA9" w:rsidP="003D0BA9">
      <w:pPr>
        <w:spacing w:after="0" w:line="240" w:lineRule="auto"/>
        <w:jc w:val="both"/>
        <w:rPr>
          <w:rFonts w:ascii="Times New Roman" w:hAnsi="Times New Roman"/>
          <w:sz w:val="24"/>
          <w:szCs w:val="24"/>
        </w:rPr>
      </w:pPr>
      <w:r w:rsidRPr="00DB638E">
        <w:rPr>
          <w:rFonts w:ascii="Times New Roman" w:hAnsi="Times New Roman"/>
          <w:sz w:val="24"/>
          <w:szCs w:val="24"/>
        </w:rPr>
        <w:t>Для пациентов с почечно-клеточным раком</w:t>
      </w:r>
      <w:r w:rsidR="00403D6C" w:rsidRPr="00DB638E">
        <w:rPr>
          <w:rFonts w:ascii="Times New Roman" w:hAnsi="Times New Roman"/>
          <w:sz w:val="24"/>
          <w:szCs w:val="24"/>
        </w:rPr>
        <w:t xml:space="preserve">, </w:t>
      </w:r>
      <w:r w:rsidRPr="00DB638E">
        <w:rPr>
          <w:rFonts w:ascii="Times New Roman" w:hAnsi="Times New Roman"/>
          <w:sz w:val="24"/>
          <w:szCs w:val="24"/>
        </w:rPr>
        <w:t xml:space="preserve">печеночно-клеточным раком </w:t>
      </w:r>
      <w:r w:rsidR="00403D6C" w:rsidRPr="00DB638E">
        <w:rPr>
          <w:rFonts w:ascii="Times New Roman" w:hAnsi="Times New Roman"/>
          <w:sz w:val="24"/>
          <w:szCs w:val="24"/>
        </w:rPr>
        <w:t xml:space="preserve">и дифференцированным раком щитовидной железы </w:t>
      </w:r>
      <w:r w:rsidRPr="00DB638E">
        <w:rPr>
          <w:rFonts w:ascii="Times New Roman" w:hAnsi="Times New Roman"/>
          <w:sz w:val="24"/>
          <w:szCs w:val="24"/>
        </w:rPr>
        <w:t xml:space="preserve">рекомендуемая доза препарата </w:t>
      </w:r>
      <w:r w:rsidR="00C335EE" w:rsidRPr="00DB638E">
        <w:rPr>
          <w:rFonts w:ascii="Times New Roman" w:hAnsi="Times New Roman"/>
          <w:sz w:val="24"/>
          <w:szCs w:val="24"/>
        </w:rPr>
        <w:t>Кабозаниб</w:t>
      </w:r>
      <w:r w:rsidRPr="00DB638E">
        <w:rPr>
          <w:rFonts w:ascii="Times New Roman" w:hAnsi="Times New Roman"/>
          <w:sz w:val="24"/>
          <w:szCs w:val="24"/>
        </w:rPr>
        <w:t xml:space="preserve"> составляет 60 мг один раз в день. Лечение следует продолжать до тех пор, пока сохраняется клиническая польза от терапии или до развития неприемлемой токсичности.</w:t>
      </w:r>
    </w:p>
    <w:p w14:paraId="5B53C03B" w14:textId="77777777" w:rsidR="003D0BA9" w:rsidRPr="00DB638E" w:rsidRDefault="00C335EE" w:rsidP="003D0BA9">
      <w:pPr>
        <w:spacing w:after="0" w:line="240" w:lineRule="auto"/>
        <w:jc w:val="both"/>
        <w:rPr>
          <w:rFonts w:ascii="Times New Roman" w:hAnsi="Times New Roman"/>
          <w:i/>
          <w:iCs/>
          <w:sz w:val="24"/>
          <w:szCs w:val="24"/>
        </w:rPr>
      </w:pPr>
      <w:r w:rsidRPr="00DB638E">
        <w:rPr>
          <w:rFonts w:ascii="Times New Roman" w:hAnsi="Times New Roman"/>
          <w:i/>
          <w:iCs/>
          <w:sz w:val="24"/>
          <w:szCs w:val="24"/>
        </w:rPr>
        <w:t>Кабозаниб</w:t>
      </w:r>
      <w:r w:rsidR="003D0BA9" w:rsidRPr="00DB638E">
        <w:rPr>
          <w:rFonts w:ascii="Times New Roman" w:hAnsi="Times New Roman"/>
          <w:i/>
          <w:iCs/>
          <w:sz w:val="24"/>
          <w:szCs w:val="24"/>
        </w:rPr>
        <w:t xml:space="preserve"> в комбинации с ниволумабом в качестве первой линии лечения распространённого почечно-клеточного рака</w:t>
      </w:r>
    </w:p>
    <w:p w14:paraId="37027AB7" w14:textId="77777777" w:rsidR="003D0BA9" w:rsidRPr="00DB638E" w:rsidRDefault="003D0BA9" w:rsidP="003D0BA9">
      <w:pPr>
        <w:spacing w:after="0" w:line="240" w:lineRule="auto"/>
        <w:jc w:val="both"/>
        <w:rPr>
          <w:rFonts w:ascii="Times New Roman" w:hAnsi="Times New Roman"/>
          <w:sz w:val="24"/>
          <w:szCs w:val="24"/>
        </w:rPr>
      </w:pPr>
      <w:r w:rsidRPr="00DB638E">
        <w:rPr>
          <w:rFonts w:ascii="Times New Roman" w:hAnsi="Times New Roman"/>
          <w:sz w:val="24"/>
          <w:szCs w:val="24"/>
        </w:rPr>
        <w:t xml:space="preserve">Рекомендуемая доза препарата </w:t>
      </w:r>
      <w:r w:rsidR="00C335EE" w:rsidRPr="00DB638E">
        <w:rPr>
          <w:rFonts w:ascii="Times New Roman" w:hAnsi="Times New Roman"/>
          <w:sz w:val="24"/>
          <w:szCs w:val="24"/>
        </w:rPr>
        <w:t>Кабозаниб</w:t>
      </w:r>
      <w:r w:rsidRPr="00DB638E">
        <w:rPr>
          <w:rFonts w:ascii="Times New Roman" w:hAnsi="Times New Roman"/>
          <w:sz w:val="24"/>
          <w:szCs w:val="24"/>
        </w:rPr>
        <w:t xml:space="preserve"> составляет 40 мг один раз в день в комбинации с ниволумабом, вводимым внутривенно в дозе 240 мг каждые 2 недели или 480 мг каждые 4 недели. Лечение препаратом </w:t>
      </w:r>
      <w:r w:rsidR="00C335EE" w:rsidRPr="00DB638E">
        <w:rPr>
          <w:rFonts w:ascii="Times New Roman" w:hAnsi="Times New Roman"/>
          <w:sz w:val="24"/>
          <w:szCs w:val="24"/>
        </w:rPr>
        <w:t>Кабозаниб</w:t>
      </w:r>
      <w:r w:rsidRPr="00DB638E">
        <w:rPr>
          <w:rFonts w:ascii="Times New Roman" w:hAnsi="Times New Roman"/>
          <w:sz w:val="24"/>
          <w:szCs w:val="24"/>
        </w:rPr>
        <w:t xml:space="preserve"> следует продолжать до прогрессирования заболевания или до развития неприемлемой токсичности. Лечение ниволумабом должно продолжаться до прогрессирования заболевания, до развития неприемлемой токсичности или до 24 месяцев у пациентов без прогрессирования заболевания </w:t>
      </w:r>
      <w:bookmarkEnd w:id="8"/>
      <w:r w:rsidRPr="00DB638E">
        <w:rPr>
          <w:rFonts w:ascii="Times New Roman" w:hAnsi="Times New Roman"/>
          <w:sz w:val="24"/>
          <w:szCs w:val="24"/>
        </w:rPr>
        <w:t>(см. раздел «Способ применения и дозы» Инструкции по медицинскому применению лекарственного препарата ниволумаб).</w:t>
      </w:r>
    </w:p>
    <w:p w14:paraId="752A8BCE" w14:textId="77777777" w:rsidR="003D0BA9" w:rsidRPr="00DB638E" w:rsidRDefault="003D0BA9" w:rsidP="003D0BA9">
      <w:pPr>
        <w:spacing w:after="0" w:line="240" w:lineRule="auto"/>
        <w:jc w:val="both"/>
        <w:rPr>
          <w:rFonts w:ascii="Times New Roman" w:hAnsi="Times New Roman"/>
          <w:i/>
          <w:iCs/>
          <w:sz w:val="24"/>
          <w:szCs w:val="24"/>
        </w:rPr>
      </w:pPr>
      <w:bookmarkStart w:id="9" w:name="_Hlk74921960"/>
      <w:r w:rsidRPr="00DB638E">
        <w:rPr>
          <w:rFonts w:ascii="Times New Roman" w:hAnsi="Times New Roman"/>
          <w:i/>
          <w:iCs/>
          <w:sz w:val="24"/>
          <w:szCs w:val="24"/>
        </w:rPr>
        <w:t>Коррекция лечения</w:t>
      </w:r>
    </w:p>
    <w:p w14:paraId="63C2A5D3" w14:textId="6B18BE4E" w:rsidR="003A7B0F" w:rsidRPr="00DB638E" w:rsidRDefault="003D0BA9" w:rsidP="003D0BA9">
      <w:pPr>
        <w:spacing w:after="0" w:line="240" w:lineRule="auto"/>
        <w:jc w:val="both"/>
        <w:rPr>
          <w:rFonts w:ascii="Times New Roman" w:hAnsi="Times New Roman"/>
          <w:sz w:val="24"/>
          <w:szCs w:val="24"/>
        </w:rPr>
      </w:pPr>
      <w:r w:rsidRPr="00DB638E">
        <w:rPr>
          <w:rFonts w:ascii="Times New Roman" w:hAnsi="Times New Roman"/>
          <w:sz w:val="24"/>
          <w:szCs w:val="24"/>
        </w:rPr>
        <w:t xml:space="preserve">При развитии нежелательных реакций может потребоваться временное прекращение терапии и/или снижение дозы препарата </w:t>
      </w:r>
      <w:r w:rsidR="00C335EE" w:rsidRPr="00DB638E">
        <w:rPr>
          <w:rFonts w:ascii="Times New Roman" w:hAnsi="Times New Roman"/>
          <w:sz w:val="24"/>
          <w:szCs w:val="24"/>
        </w:rPr>
        <w:t>Кабозаниб</w:t>
      </w:r>
      <w:r w:rsidRPr="00DB638E">
        <w:rPr>
          <w:rFonts w:ascii="Times New Roman" w:hAnsi="Times New Roman"/>
          <w:sz w:val="24"/>
          <w:szCs w:val="24"/>
        </w:rPr>
        <w:t xml:space="preserve"> (см. Таблицу 1). Когда требуется снижение дозы, рекомендуется уменьшить сначала до 40 мг </w:t>
      </w:r>
      <w:r w:rsidR="00906C87" w:rsidRPr="00DB638E">
        <w:rPr>
          <w:rFonts w:ascii="Times New Roman" w:hAnsi="Times New Roman"/>
          <w:sz w:val="24"/>
          <w:szCs w:val="24"/>
        </w:rPr>
        <w:t>в день</w:t>
      </w:r>
      <w:r w:rsidRPr="00DB638E">
        <w:rPr>
          <w:rFonts w:ascii="Times New Roman" w:hAnsi="Times New Roman"/>
          <w:sz w:val="24"/>
          <w:szCs w:val="24"/>
        </w:rPr>
        <w:t xml:space="preserve">, а затем до 20 мг в день. При приеме препарата </w:t>
      </w:r>
      <w:r w:rsidR="00C335EE" w:rsidRPr="00DB638E">
        <w:rPr>
          <w:rFonts w:ascii="Times New Roman" w:hAnsi="Times New Roman"/>
          <w:sz w:val="24"/>
          <w:szCs w:val="24"/>
        </w:rPr>
        <w:t>Кабозаниб</w:t>
      </w:r>
      <w:r w:rsidRPr="00DB638E">
        <w:rPr>
          <w:rFonts w:ascii="Times New Roman" w:hAnsi="Times New Roman"/>
          <w:sz w:val="24"/>
          <w:szCs w:val="24"/>
        </w:rPr>
        <w:t xml:space="preserve"> в комбинации с ниволумабом, рекомендуется уменьшить дозу препарата </w:t>
      </w:r>
      <w:r w:rsidR="00C335EE" w:rsidRPr="00DB638E">
        <w:rPr>
          <w:rFonts w:ascii="Times New Roman" w:hAnsi="Times New Roman"/>
          <w:sz w:val="24"/>
          <w:szCs w:val="24"/>
        </w:rPr>
        <w:t>Кабозаниб</w:t>
      </w:r>
      <w:r w:rsidRPr="00DB638E">
        <w:rPr>
          <w:rFonts w:ascii="Times New Roman" w:hAnsi="Times New Roman"/>
          <w:sz w:val="24"/>
          <w:szCs w:val="24"/>
        </w:rPr>
        <w:t xml:space="preserve"> сначала до 20 мг в день, а затем до 20 мг через день (см. рекомендуемую коррекцию лечения в Инструкции по медицинскому применению лекарственного препарата ниволумаб)</w:t>
      </w:r>
      <w:r w:rsidR="003A7B0F" w:rsidRPr="00DB638E">
        <w:rPr>
          <w:rFonts w:ascii="Times New Roman" w:hAnsi="Times New Roman"/>
          <w:sz w:val="24"/>
          <w:szCs w:val="24"/>
        </w:rPr>
        <w:t>.</w:t>
      </w:r>
    </w:p>
    <w:p w14:paraId="15F99B98" w14:textId="77777777" w:rsidR="003D0BA9" w:rsidRPr="00DB638E" w:rsidRDefault="003D0BA9" w:rsidP="003D0BA9">
      <w:pPr>
        <w:spacing w:after="0" w:line="240" w:lineRule="auto"/>
        <w:jc w:val="both"/>
        <w:rPr>
          <w:rFonts w:ascii="Times New Roman" w:hAnsi="Times New Roman"/>
          <w:sz w:val="24"/>
          <w:szCs w:val="24"/>
        </w:rPr>
      </w:pPr>
      <w:r w:rsidRPr="00DB638E">
        <w:rPr>
          <w:rFonts w:ascii="Times New Roman" w:hAnsi="Times New Roman"/>
          <w:sz w:val="24"/>
          <w:szCs w:val="24"/>
        </w:rPr>
        <w:t>Временное прекращение терапии рекомендуется при развитии нежелательных реакций 3 или большей степени тяжести или при непереносимой токсичности 2 степени. Снижение дозы рекомендуется в том случае, когда нежелательные реакции будут постоянными, могут стать серьезными или непереносимыми.</w:t>
      </w:r>
    </w:p>
    <w:p w14:paraId="23D2D34A" w14:textId="77777777" w:rsidR="003D0BA9" w:rsidRPr="00DB638E" w:rsidRDefault="003D0BA9" w:rsidP="003D0BA9">
      <w:pPr>
        <w:spacing w:after="0" w:line="240" w:lineRule="auto"/>
        <w:jc w:val="both"/>
        <w:rPr>
          <w:rFonts w:ascii="Times New Roman" w:hAnsi="Times New Roman"/>
          <w:sz w:val="24"/>
          <w:szCs w:val="24"/>
        </w:rPr>
      </w:pPr>
      <w:r w:rsidRPr="00DB638E">
        <w:rPr>
          <w:rFonts w:ascii="Times New Roman" w:hAnsi="Times New Roman"/>
          <w:sz w:val="24"/>
          <w:szCs w:val="24"/>
        </w:rPr>
        <w:t>Если пациент пропустил прием препарата, пропущенная доза не должна приниматься, если до приема следующей дозы осталось меньше 12 часов.</w:t>
      </w:r>
    </w:p>
    <w:p w14:paraId="6A0072C8" w14:textId="77777777" w:rsidR="005F1719" w:rsidRPr="00DB638E" w:rsidRDefault="005F1719" w:rsidP="003D0BA9">
      <w:pPr>
        <w:spacing w:after="0" w:line="240" w:lineRule="auto"/>
        <w:jc w:val="both"/>
        <w:rPr>
          <w:rFonts w:ascii="Times New Roman" w:hAnsi="Times New Roman"/>
          <w:sz w:val="24"/>
          <w:szCs w:val="24"/>
        </w:rPr>
      </w:pPr>
    </w:p>
    <w:p w14:paraId="72BC5607" w14:textId="2F499678" w:rsidR="003D0BA9" w:rsidRPr="00DB638E" w:rsidRDefault="003D0BA9" w:rsidP="003D0BA9">
      <w:pPr>
        <w:spacing w:after="0" w:line="240" w:lineRule="auto"/>
        <w:jc w:val="both"/>
        <w:rPr>
          <w:rFonts w:ascii="Times New Roman" w:hAnsi="Times New Roman"/>
          <w:b/>
          <w:sz w:val="24"/>
          <w:szCs w:val="24"/>
        </w:rPr>
      </w:pPr>
      <w:r w:rsidRPr="00DB638E">
        <w:rPr>
          <w:rFonts w:ascii="Times New Roman" w:hAnsi="Times New Roman"/>
          <w:b/>
          <w:sz w:val="24"/>
          <w:szCs w:val="24"/>
        </w:rPr>
        <w:t>Таблица 1</w:t>
      </w:r>
      <w:r w:rsidR="003A7B0F" w:rsidRPr="00DB638E">
        <w:rPr>
          <w:rFonts w:ascii="Times New Roman" w:hAnsi="Times New Roman"/>
          <w:b/>
          <w:sz w:val="24"/>
          <w:szCs w:val="24"/>
        </w:rPr>
        <w:t>:</w:t>
      </w:r>
      <w:r w:rsidRPr="00DB638E">
        <w:rPr>
          <w:rFonts w:ascii="Times New Roman" w:hAnsi="Times New Roman"/>
          <w:b/>
          <w:sz w:val="24"/>
          <w:szCs w:val="24"/>
        </w:rPr>
        <w:t xml:space="preserve"> Рекомендуемая коррекция дозы препарата </w:t>
      </w:r>
      <w:r w:rsidR="00C335EE" w:rsidRPr="00DB638E">
        <w:rPr>
          <w:rFonts w:ascii="Times New Roman" w:hAnsi="Times New Roman"/>
          <w:b/>
          <w:sz w:val="24"/>
          <w:szCs w:val="24"/>
        </w:rPr>
        <w:t>Кабозаниб</w:t>
      </w:r>
      <w:r w:rsidRPr="00DB638E">
        <w:rPr>
          <w:rFonts w:ascii="Times New Roman" w:hAnsi="Times New Roman"/>
          <w:b/>
          <w:sz w:val="24"/>
          <w:szCs w:val="24"/>
        </w:rPr>
        <w:t xml:space="preserve"> в случае развития нежелательных реакций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7"/>
      </w:tblGrid>
      <w:tr w:rsidR="003D0BA9" w:rsidRPr="00DB638E" w14:paraId="1B264E46" w14:textId="77777777" w:rsidTr="00CA30B8">
        <w:tc>
          <w:tcPr>
            <w:tcW w:w="4671" w:type="dxa"/>
            <w:shd w:val="clear" w:color="auto" w:fill="auto"/>
          </w:tcPr>
          <w:p w14:paraId="3E3D4640" w14:textId="77777777" w:rsidR="003D0BA9" w:rsidRPr="00DB638E" w:rsidRDefault="003D0BA9" w:rsidP="003C21BB">
            <w:pPr>
              <w:spacing w:after="0" w:line="240" w:lineRule="auto"/>
              <w:rPr>
                <w:rFonts w:ascii="Times New Roman" w:hAnsi="Times New Roman"/>
                <w:b/>
                <w:sz w:val="24"/>
                <w:szCs w:val="24"/>
              </w:rPr>
            </w:pPr>
            <w:r w:rsidRPr="00DB638E">
              <w:rPr>
                <w:rFonts w:ascii="Times New Roman" w:hAnsi="Times New Roman"/>
                <w:b/>
                <w:sz w:val="24"/>
                <w:szCs w:val="24"/>
              </w:rPr>
              <w:t>Нежелательная реакция и степень тяжести</w:t>
            </w:r>
          </w:p>
        </w:tc>
        <w:tc>
          <w:tcPr>
            <w:tcW w:w="4674" w:type="dxa"/>
            <w:shd w:val="clear" w:color="auto" w:fill="auto"/>
          </w:tcPr>
          <w:p w14:paraId="4FBCDAE4" w14:textId="77777777" w:rsidR="003D0BA9" w:rsidRPr="00DB638E" w:rsidRDefault="003D0BA9" w:rsidP="003C21BB">
            <w:pPr>
              <w:spacing w:line="240" w:lineRule="auto"/>
              <w:rPr>
                <w:rFonts w:ascii="Times New Roman" w:hAnsi="Times New Roman"/>
                <w:b/>
                <w:sz w:val="24"/>
                <w:szCs w:val="24"/>
              </w:rPr>
            </w:pPr>
            <w:r w:rsidRPr="00DB638E">
              <w:rPr>
                <w:rFonts w:ascii="Times New Roman" w:hAnsi="Times New Roman"/>
                <w:b/>
                <w:sz w:val="24"/>
                <w:szCs w:val="24"/>
              </w:rPr>
              <w:t>Коррекция лечения</w:t>
            </w:r>
          </w:p>
        </w:tc>
      </w:tr>
      <w:tr w:rsidR="003D0BA9" w:rsidRPr="00DB638E" w14:paraId="054EBE8A" w14:textId="77777777" w:rsidTr="00CA30B8">
        <w:tc>
          <w:tcPr>
            <w:tcW w:w="4671" w:type="dxa"/>
            <w:shd w:val="clear" w:color="auto" w:fill="auto"/>
          </w:tcPr>
          <w:p w14:paraId="2795870F" w14:textId="77777777" w:rsidR="003D0BA9" w:rsidRPr="00DB638E" w:rsidRDefault="003D0BA9" w:rsidP="003A7B0F">
            <w:pPr>
              <w:spacing w:line="240" w:lineRule="auto"/>
              <w:jc w:val="both"/>
              <w:rPr>
                <w:rFonts w:ascii="Times New Roman" w:hAnsi="Times New Roman"/>
                <w:sz w:val="24"/>
                <w:szCs w:val="24"/>
              </w:rPr>
            </w:pPr>
            <w:r w:rsidRPr="00DB638E">
              <w:rPr>
                <w:rFonts w:ascii="Times New Roman" w:hAnsi="Times New Roman"/>
                <w:sz w:val="24"/>
                <w:szCs w:val="24"/>
              </w:rPr>
              <w:t>Нежелательные реакции 1 и 2 степени тяжести, которые являются переносимыми и легко купируются</w:t>
            </w:r>
          </w:p>
        </w:tc>
        <w:tc>
          <w:tcPr>
            <w:tcW w:w="4674" w:type="dxa"/>
            <w:shd w:val="clear" w:color="auto" w:fill="auto"/>
          </w:tcPr>
          <w:p w14:paraId="2E6B03B2" w14:textId="77777777" w:rsidR="003D0BA9" w:rsidRPr="00DB638E" w:rsidRDefault="003D0BA9" w:rsidP="003C21BB">
            <w:pPr>
              <w:spacing w:line="240" w:lineRule="auto"/>
              <w:rPr>
                <w:rFonts w:ascii="Times New Roman" w:hAnsi="Times New Roman"/>
                <w:sz w:val="24"/>
                <w:szCs w:val="24"/>
              </w:rPr>
            </w:pPr>
            <w:r w:rsidRPr="00DB638E">
              <w:rPr>
                <w:rFonts w:ascii="Times New Roman" w:hAnsi="Times New Roman"/>
                <w:sz w:val="24"/>
                <w:szCs w:val="24"/>
              </w:rPr>
              <w:t>Корректировка дозы обычно не требуется.</w:t>
            </w:r>
          </w:p>
          <w:p w14:paraId="5A7994CF" w14:textId="77777777" w:rsidR="003D0BA9" w:rsidRPr="00DB638E" w:rsidRDefault="003D0BA9" w:rsidP="003A7B0F">
            <w:pPr>
              <w:spacing w:after="0" w:line="240" w:lineRule="auto"/>
              <w:jc w:val="both"/>
              <w:rPr>
                <w:rFonts w:ascii="Times New Roman" w:hAnsi="Times New Roman"/>
                <w:sz w:val="24"/>
                <w:szCs w:val="24"/>
              </w:rPr>
            </w:pPr>
            <w:r w:rsidRPr="00DB638E">
              <w:rPr>
                <w:rFonts w:ascii="Times New Roman" w:hAnsi="Times New Roman"/>
                <w:sz w:val="24"/>
                <w:szCs w:val="24"/>
              </w:rPr>
              <w:t>Рассматривается возможность проведения симптоматического лечения в соответствии с показаниями.</w:t>
            </w:r>
          </w:p>
        </w:tc>
      </w:tr>
      <w:tr w:rsidR="003D0BA9" w:rsidRPr="00DB638E" w14:paraId="2C4D07E0" w14:textId="77777777" w:rsidTr="00CA30B8">
        <w:tc>
          <w:tcPr>
            <w:tcW w:w="4671" w:type="dxa"/>
            <w:shd w:val="clear" w:color="auto" w:fill="auto"/>
          </w:tcPr>
          <w:p w14:paraId="38F078D8" w14:textId="77777777" w:rsidR="003D0BA9" w:rsidRPr="00DB638E" w:rsidRDefault="003D0BA9" w:rsidP="003A7B0F">
            <w:pPr>
              <w:spacing w:line="240" w:lineRule="auto"/>
              <w:jc w:val="both"/>
              <w:rPr>
                <w:rFonts w:ascii="Times New Roman" w:hAnsi="Times New Roman"/>
                <w:sz w:val="24"/>
                <w:szCs w:val="24"/>
              </w:rPr>
            </w:pPr>
            <w:r w:rsidRPr="00DB638E">
              <w:rPr>
                <w:rFonts w:ascii="Times New Roman" w:hAnsi="Times New Roman"/>
                <w:sz w:val="24"/>
                <w:szCs w:val="24"/>
              </w:rPr>
              <w:t>Нежелательные реакции 2 степени, которые являются непереносимыми и не могут быть купированы уменьшением дозы или симптоматическим лечением.</w:t>
            </w:r>
          </w:p>
        </w:tc>
        <w:tc>
          <w:tcPr>
            <w:tcW w:w="4674" w:type="dxa"/>
            <w:shd w:val="clear" w:color="auto" w:fill="auto"/>
          </w:tcPr>
          <w:p w14:paraId="7C58BF98" w14:textId="77777777" w:rsidR="003D0BA9" w:rsidRPr="00DB638E" w:rsidRDefault="003D0BA9" w:rsidP="003A7B0F">
            <w:pPr>
              <w:spacing w:line="240" w:lineRule="auto"/>
              <w:jc w:val="both"/>
              <w:rPr>
                <w:rFonts w:ascii="Times New Roman" w:hAnsi="Times New Roman"/>
                <w:sz w:val="24"/>
                <w:szCs w:val="24"/>
              </w:rPr>
            </w:pPr>
            <w:r w:rsidRPr="00DB638E">
              <w:rPr>
                <w:rFonts w:ascii="Times New Roman" w:hAnsi="Times New Roman"/>
                <w:sz w:val="24"/>
                <w:szCs w:val="24"/>
              </w:rPr>
              <w:t>Временно прекращают лечение до тех пор, пока нежелательная реакция не будет устранена до ≤ 1 степени тяжести.</w:t>
            </w:r>
          </w:p>
          <w:p w14:paraId="73BB3535" w14:textId="77777777" w:rsidR="003D0BA9" w:rsidRPr="00DB638E" w:rsidRDefault="003D0BA9" w:rsidP="003C21BB">
            <w:pPr>
              <w:spacing w:line="240" w:lineRule="auto"/>
              <w:rPr>
                <w:rFonts w:ascii="Times New Roman" w:hAnsi="Times New Roman"/>
                <w:sz w:val="24"/>
                <w:szCs w:val="24"/>
              </w:rPr>
            </w:pPr>
            <w:r w:rsidRPr="00DB638E">
              <w:rPr>
                <w:rFonts w:ascii="Times New Roman" w:hAnsi="Times New Roman"/>
                <w:sz w:val="24"/>
                <w:szCs w:val="24"/>
              </w:rPr>
              <w:lastRenderedPageBreak/>
              <w:t>Проводят симптоматическое лечение в соответствии с показаниями.</w:t>
            </w:r>
          </w:p>
          <w:p w14:paraId="6FF5305B" w14:textId="77777777" w:rsidR="003D0BA9" w:rsidRPr="00DB638E" w:rsidRDefault="003D0BA9" w:rsidP="003C21BB">
            <w:pPr>
              <w:spacing w:after="0" w:line="240" w:lineRule="auto"/>
              <w:rPr>
                <w:rFonts w:ascii="Times New Roman" w:hAnsi="Times New Roman"/>
                <w:sz w:val="24"/>
                <w:szCs w:val="24"/>
              </w:rPr>
            </w:pPr>
            <w:r w:rsidRPr="00DB638E">
              <w:rPr>
                <w:rFonts w:ascii="Times New Roman" w:hAnsi="Times New Roman"/>
                <w:sz w:val="24"/>
                <w:szCs w:val="24"/>
              </w:rPr>
              <w:t>Рассматривают повторное начало лечения при сниженной дозе.</w:t>
            </w:r>
          </w:p>
        </w:tc>
      </w:tr>
      <w:tr w:rsidR="003D0BA9" w:rsidRPr="00DB638E" w14:paraId="1F4F1BA0" w14:textId="77777777" w:rsidTr="00CA30B8">
        <w:tc>
          <w:tcPr>
            <w:tcW w:w="4671" w:type="dxa"/>
            <w:shd w:val="clear" w:color="auto" w:fill="auto"/>
          </w:tcPr>
          <w:p w14:paraId="2233D6BF" w14:textId="77777777" w:rsidR="003D0BA9" w:rsidRPr="00DB638E" w:rsidRDefault="003D0BA9" w:rsidP="003C21BB">
            <w:pPr>
              <w:spacing w:line="240" w:lineRule="auto"/>
              <w:rPr>
                <w:rFonts w:ascii="Times New Roman" w:hAnsi="Times New Roman"/>
                <w:sz w:val="24"/>
                <w:szCs w:val="24"/>
              </w:rPr>
            </w:pPr>
            <w:r w:rsidRPr="00DB638E">
              <w:rPr>
                <w:rFonts w:ascii="Times New Roman" w:hAnsi="Times New Roman"/>
                <w:sz w:val="24"/>
                <w:szCs w:val="24"/>
              </w:rPr>
              <w:lastRenderedPageBreak/>
              <w:t xml:space="preserve">Нежелательные реакции 3 степени (кроме клинически несущественных отклонений лабораторных показателей от нормы) </w:t>
            </w:r>
          </w:p>
        </w:tc>
        <w:tc>
          <w:tcPr>
            <w:tcW w:w="4674" w:type="dxa"/>
            <w:shd w:val="clear" w:color="auto" w:fill="auto"/>
          </w:tcPr>
          <w:p w14:paraId="39C223F8" w14:textId="77777777" w:rsidR="003D0BA9" w:rsidRPr="00DB638E" w:rsidRDefault="003D0BA9" w:rsidP="00CA30B8">
            <w:pPr>
              <w:spacing w:line="240" w:lineRule="auto"/>
              <w:jc w:val="both"/>
              <w:rPr>
                <w:rFonts w:ascii="Times New Roman" w:hAnsi="Times New Roman"/>
                <w:sz w:val="24"/>
                <w:szCs w:val="24"/>
              </w:rPr>
            </w:pPr>
            <w:r w:rsidRPr="00DB638E">
              <w:rPr>
                <w:rFonts w:ascii="Times New Roman" w:hAnsi="Times New Roman"/>
                <w:sz w:val="24"/>
                <w:szCs w:val="24"/>
              </w:rPr>
              <w:t>Временно прекращают лечение до тех пор, пока нежелательная реакция не будет устранена до ≤ 1 степени тяжести.</w:t>
            </w:r>
          </w:p>
          <w:p w14:paraId="67EABEFA" w14:textId="77777777" w:rsidR="003D0BA9" w:rsidRPr="00DB638E" w:rsidRDefault="003D0BA9" w:rsidP="003C21BB">
            <w:pPr>
              <w:spacing w:line="240" w:lineRule="auto"/>
              <w:rPr>
                <w:rFonts w:ascii="Times New Roman" w:hAnsi="Times New Roman"/>
                <w:sz w:val="24"/>
                <w:szCs w:val="24"/>
              </w:rPr>
            </w:pPr>
            <w:r w:rsidRPr="00DB638E">
              <w:rPr>
                <w:rFonts w:ascii="Times New Roman" w:hAnsi="Times New Roman"/>
                <w:sz w:val="24"/>
                <w:szCs w:val="24"/>
              </w:rPr>
              <w:t>Проводят симптоматическое лечение в соответствии с показаниями.</w:t>
            </w:r>
          </w:p>
          <w:p w14:paraId="33AD6D83" w14:textId="77777777" w:rsidR="003D0BA9" w:rsidRPr="00DB638E" w:rsidRDefault="003D0BA9" w:rsidP="003C21BB">
            <w:pPr>
              <w:spacing w:after="0" w:line="240" w:lineRule="auto"/>
              <w:rPr>
                <w:rFonts w:ascii="Times New Roman" w:hAnsi="Times New Roman"/>
                <w:sz w:val="24"/>
                <w:szCs w:val="24"/>
              </w:rPr>
            </w:pPr>
            <w:r w:rsidRPr="00DB638E">
              <w:rPr>
                <w:rFonts w:ascii="Times New Roman" w:hAnsi="Times New Roman"/>
                <w:sz w:val="24"/>
                <w:szCs w:val="24"/>
              </w:rPr>
              <w:t>Рассматривают повторное начало лечения при сниженной дозе.</w:t>
            </w:r>
          </w:p>
        </w:tc>
      </w:tr>
      <w:tr w:rsidR="003D0BA9" w:rsidRPr="00DB638E" w14:paraId="681655AF" w14:textId="77777777" w:rsidTr="00CA30B8">
        <w:tc>
          <w:tcPr>
            <w:tcW w:w="4671" w:type="dxa"/>
            <w:shd w:val="clear" w:color="auto" w:fill="auto"/>
          </w:tcPr>
          <w:p w14:paraId="38E38538" w14:textId="77777777" w:rsidR="003D0BA9" w:rsidRPr="00DB638E" w:rsidRDefault="003D0BA9" w:rsidP="003C21BB">
            <w:pPr>
              <w:spacing w:line="240" w:lineRule="auto"/>
              <w:rPr>
                <w:rFonts w:ascii="Times New Roman" w:hAnsi="Times New Roman"/>
                <w:sz w:val="24"/>
                <w:szCs w:val="24"/>
              </w:rPr>
            </w:pPr>
            <w:r w:rsidRPr="00DB638E">
              <w:rPr>
                <w:rFonts w:ascii="Times New Roman" w:hAnsi="Times New Roman"/>
                <w:sz w:val="24"/>
                <w:szCs w:val="24"/>
              </w:rPr>
              <w:t>Нежелательные реакции 4 степени (кроме клинически несущественных отклонений лабораторных показателей от нормы)</w:t>
            </w:r>
          </w:p>
        </w:tc>
        <w:tc>
          <w:tcPr>
            <w:tcW w:w="4674" w:type="dxa"/>
            <w:shd w:val="clear" w:color="auto" w:fill="auto"/>
          </w:tcPr>
          <w:p w14:paraId="0B7A82C0" w14:textId="77777777" w:rsidR="003D0BA9" w:rsidRPr="00DB638E" w:rsidRDefault="003D0BA9" w:rsidP="00CA30B8">
            <w:pPr>
              <w:spacing w:line="240" w:lineRule="auto"/>
              <w:jc w:val="both"/>
              <w:rPr>
                <w:rFonts w:ascii="Times New Roman" w:hAnsi="Times New Roman"/>
                <w:sz w:val="24"/>
                <w:szCs w:val="24"/>
              </w:rPr>
            </w:pPr>
            <w:r w:rsidRPr="00DB638E">
              <w:rPr>
                <w:rFonts w:ascii="Times New Roman" w:hAnsi="Times New Roman"/>
                <w:sz w:val="24"/>
                <w:szCs w:val="24"/>
              </w:rPr>
              <w:t>Временно прекращают лечение.</w:t>
            </w:r>
          </w:p>
          <w:p w14:paraId="75F6A536" w14:textId="77777777" w:rsidR="003D0BA9" w:rsidRPr="00DB638E" w:rsidRDefault="003D0BA9" w:rsidP="00CA30B8">
            <w:pPr>
              <w:spacing w:line="240" w:lineRule="auto"/>
              <w:jc w:val="both"/>
              <w:rPr>
                <w:rFonts w:ascii="Times New Roman" w:hAnsi="Times New Roman"/>
                <w:sz w:val="24"/>
                <w:szCs w:val="24"/>
              </w:rPr>
            </w:pPr>
            <w:r w:rsidRPr="00DB638E">
              <w:rPr>
                <w:rFonts w:ascii="Times New Roman" w:hAnsi="Times New Roman"/>
                <w:sz w:val="24"/>
                <w:szCs w:val="24"/>
              </w:rPr>
              <w:t>Проводят соответствующее лечение.</w:t>
            </w:r>
          </w:p>
          <w:p w14:paraId="122D01EE" w14:textId="77777777" w:rsidR="003D0BA9" w:rsidRPr="00DB638E" w:rsidRDefault="003D0BA9" w:rsidP="00CA30B8">
            <w:pPr>
              <w:spacing w:after="0" w:line="240" w:lineRule="auto"/>
              <w:jc w:val="both"/>
              <w:rPr>
                <w:rFonts w:ascii="Times New Roman" w:hAnsi="Times New Roman"/>
                <w:sz w:val="24"/>
                <w:szCs w:val="24"/>
              </w:rPr>
            </w:pPr>
            <w:r w:rsidRPr="00DB638E">
              <w:rPr>
                <w:rFonts w:ascii="Times New Roman" w:hAnsi="Times New Roman"/>
                <w:sz w:val="24"/>
                <w:szCs w:val="24"/>
              </w:rPr>
              <w:t xml:space="preserve">Если нежелательная реакция разрешается до ≤ 1 степени тяжести, повторно начинают лечение препаратом </w:t>
            </w:r>
            <w:r w:rsidR="00C335EE" w:rsidRPr="00DB638E">
              <w:rPr>
                <w:rFonts w:ascii="Times New Roman" w:hAnsi="Times New Roman"/>
                <w:sz w:val="24"/>
                <w:szCs w:val="24"/>
              </w:rPr>
              <w:t>Кабозаниб</w:t>
            </w:r>
            <w:r w:rsidRPr="00DB638E">
              <w:rPr>
                <w:rFonts w:ascii="Times New Roman" w:hAnsi="Times New Roman"/>
                <w:sz w:val="24"/>
                <w:szCs w:val="24"/>
              </w:rPr>
              <w:t xml:space="preserve"> при уменьшенной дозе.</w:t>
            </w:r>
          </w:p>
          <w:p w14:paraId="63AFBDEF" w14:textId="77777777" w:rsidR="003D0BA9" w:rsidRPr="00DB638E" w:rsidRDefault="003D0BA9" w:rsidP="00CA30B8">
            <w:pPr>
              <w:spacing w:after="0" w:line="240" w:lineRule="auto"/>
              <w:jc w:val="both"/>
              <w:rPr>
                <w:rFonts w:ascii="Times New Roman" w:hAnsi="Times New Roman"/>
                <w:sz w:val="24"/>
                <w:szCs w:val="24"/>
              </w:rPr>
            </w:pPr>
            <w:r w:rsidRPr="00DB638E">
              <w:rPr>
                <w:rFonts w:ascii="Times New Roman" w:hAnsi="Times New Roman"/>
                <w:sz w:val="24"/>
                <w:szCs w:val="24"/>
              </w:rPr>
              <w:t xml:space="preserve">Если неблагоприятная реакция не устраняется, навсегда прекращают терапию препаратом </w:t>
            </w:r>
            <w:r w:rsidR="00C335EE" w:rsidRPr="00DB638E">
              <w:rPr>
                <w:rFonts w:ascii="Times New Roman" w:hAnsi="Times New Roman"/>
                <w:sz w:val="24"/>
                <w:szCs w:val="24"/>
              </w:rPr>
              <w:t>Кабозаниб</w:t>
            </w:r>
            <w:r w:rsidRPr="00DB638E">
              <w:rPr>
                <w:rFonts w:ascii="Times New Roman" w:hAnsi="Times New Roman"/>
                <w:sz w:val="24"/>
                <w:szCs w:val="24"/>
              </w:rPr>
              <w:t>.</w:t>
            </w:r>
          </w:p>
        </w:tc>
      </w:tr>
      <w:tr w:rsidR="003D0BA9" w:rsidRPr="00DB638E" w14:paraId="16242366" w14:textId="77777777" w:rsidTr="00CA30B8">
        <w:tc>
          <w:tcPr>
            <w:tcW w:w="4671" w:type="dxa"/>
            <w:tcBorders>
              <w:top w:val="single" w:sz="4" w:space="0" w:color="auto"/>
              <w:left w:val="single" w:sz="4" w:space="0" w:color="auto"/>
              <w:bottom w:val="single" w:sz="4" w:space="0" w:color="auto"/>
              <w:right w:val="single" w:sz="4" w:space="0" w:color="auto"/>
            </w:tcBorders>
          </w:tcPr>
          <w:p w14:paraId="3BE20EF0" w14:textId="77777777" w:rsidR="003D0BA9" w:rsidRPr="00DB638E" w:rsidRDefault="003D0BA9" w:rsidP="003C21BB">
            <w:pPr>
              <w:spacing w:line="240" w:lineRule="auto"/>
              <w:ind w:left="-105" w:right="57" w:hanging="3"/>
              <w:jc w:val="both"/>
              <w:rPr>
                <w:rFonts w:ascii="Times New Roman" w:hAnsi="Times New Roman"/>
                <w:sz w:val="24"/>
                <w:szCs w:val="24"/>
              </w:rPr>
            </w:pPr>
            <w:r w:rsidRPr="00DB638E">
              <w:rPr>
                <w:rFonts w:ascii="Times New Roman" w:hAnsi="Times New Roman"/>
                <w:sz w:val="24"/>
                <w:szCs w:val="24"/>
              </w:rPr>
              <w:t xml:space="preserve">Повышение активности ферментов печени у пациентов с почечно-клеточным раком, получавших препарат </w:t>
            </w:r>
            <w:r w:rsidR="00C335EE" w:rsidRPr="00DB638E">
              <w:rPr>
                <w:rFonts w:ascii="Times New Roman" w:hAnsi="Times New Roman"/>
                <w:sz w:val="24"/>
                <w:szCs w:val="24"/>
              </w:rPr>
              <w:t>Кабозаниб</w:t>
            </w:r>
            <w:r w:rsidRPr="00DB638E">
              <w:rPr>
                <w:rFonts w:ascii="Times New Roman" w:hAnsi="Times New Roman"/>
                <w:sz w:val="24"/>
                <w:szCs w:val="24"/>
              </w:rPr>
              <w:t xml:space="preserve"> в сочетании с ниволумабом</w:t>
            </w:r>
          </w:p>
        </w:tc>
        <w:tc>
          <w:tcPr>
            <w:tcW w:w="4674" w:type="dxa"/>
            <w:tcBorders>
              <w:top w:val="single" w:sz="4" w:space="0" w:color="auto"/>
              <w:left w:val="single" w:sz="4" w:space="0" w:color="auto"/>
              <w:bottom w:val="single" w:sz="4" w:space="0" w:color="auto"/>
              <w:right w:val="single" w:sz="4" w:space="0" w:color="auto"/>
            </w:tcBorders>
          </w:tcPr>
          <w:p w14:paraId="6A63EA65" w14:textId="77777777" w:rsidR="003D0BA9" w:rsidRPr="00DB638E" w:rsidRDefault="003D0BA9" w:rsidP="003C21BB">
            <w:pPr>
              <w:spacing w:line="240" w:lineRule="auto"/>
              <w:ind w:left="743" w:right="57" w:hanging="851"/>
              <w:jc w:val="both"/>
              <w:rPr>
                <w:rFonts w:ascii="Times New Roman" w:hAnsi="Times New Roman"/>
                <w:sz w:val="24"/>
                <w:szCs w:val="24"/>
              </w:rPr>
            </w:pPr>
          </w:p>
        </w:tc>
      </w:tr>
      <w:tr w:rsidR="003D0BA9" w:rsidRPr="00DB638E" w14:paraId="78930EE0" w14:textId="77777777" w:rsidTr="00CA30B8">
        <w:tc>
          <w:tcPr>
            <w:tcW w:w="4671" w:type="dxa"/>
            <w:tcBorders>
              <w:top w:val="single" w:sz="4" w:space="0" w:color="auto"/>
              <w:left w:val="single" w:sz="4" w:space="0" w:color="auto"/>
              <w:bottom w:val="single" w:sz="4" w:space="0" w:color="auto"/>
              <w:right w:val="single" w:sz="4" w:space="0" w:color="auto"/>
            </w:tcBorders>
          </w:tcPr>
          <w:p w14:paraId="036EB974" w14:textId="77777777" w:rsidR="003D0BA9" w:rsidRPr="00DB638E" w:rsidRDefault="003D0BA9" w:rsidP="003C21BB">
            <w:pPr>
              <w:spacing w:line="240" w:lineRule="auto"/>
              <w:ind w:left="-105" w:right="57"/>
              <w:jc w:val="both"/>
              <w:rPr>
                <w:rFonts w:ascii="Times New Roman" w:hAnsi="Times New Roman"/>
                <w:sz w:val="24"/>
                <w:szCs w:val="24"/>
              </w:rPr>
            </w:pPr>
            <w:r w:rsidRPr="00DB638E">
              <w:rPr>
                <w:rFonts w:ascii="Times New Roman" w:hAnsi="Times New Roman"/>
                <w:sz w:val="24"/>
                <w:szCs w:val="24"/>
              </w:rPr>
              <w:t>Аланинаминотрансфераза (АЛТ) или аспартатаминотрансфераза (АСТ) &gt;3 раза, но ≤10 раз от верхней границы нормы (ВГН) без сопутствующего увеличения общего билирубина ≥2 раза от ВГН</w:t>
            </w:r>
          </w:p>
        </w:tc>
        <w:tc>
          <w:tcPr>
            <w:tcW w:w="4674" w:type="dxa"/>
            <w:tcBorders>
              <w:top w:val="single" w:sz="4" w:space="0" w:color="auto"/>
              <w:left w:val="single" w:sz="4" w:space="0" w:color="auto"/>
              <w:bottom w:val="single" w:sz="4" w:space="0" w:color="auto"/>
              <w:right w:val="single" w:sz="4" w:space="0" w:color="auto"/>
            </w:tcBorders>
          </w:tcPr>
          <w:p w14:paraId="49CD4FDC" w14:textId="77777777" w:rsidR="003D0BA9" w:rsidRPr="00DB638E" w:rsidRDefault="003D0BA9" w:rsidP="003C21BB">
            <w:pPr>
              <w:spacing w:line="240" w:lineRule="auto"/>
              <w:ind w:left="-114" w:right="57" w:firstLine="6"/>
              <w:jc w:val="both"/>
              <w:rPr>
                <w:rFonts w:ascii="Times New Roman" w:hAnsi="Times New Roman"/>
                <w:sz w:val="24"/>
                <w:szCs w:val="24"/>
              </w:rPr>
            </w:pPr>
            <w:r w:rsidRPr="00DB638E">
              <w:rPr>
                <w:rFonts w:ascii="Times New Roman" w:hAnsi="Times New Roman"/>
                <w:sz w:val="24"/>
                <w:szCs w:val="24"/>
              </w:rPr>
              <w:t xml:space="preserve">Временно прекращают лечение препаратом </w:t>
            </w:r>
            <w:r w:rsidR="00C335EE" w:rsidRPr="00DB638E">
              <w:rPr>
                <w:rFonts w:ascii="Times New Roman" w:hAnsi="Times New Roman"/>
                <w:sz w:val="24"/>
                <w:szCs w:val="24"/>
              </w:rPr>
              <w:t>Кабозаниб</w:t>
            </w:r>
            <w:r w:rsidRPr="00DB638E">
              <w:rPr>
                <w:rFonts w:ascii="Times New Roman" w:hAnsi="Times New Roman"/>
                <w:sz w:val="24"/>
                <w:szCs w:val="24"/>
              </w:rPr>
              <w:t xml:space="preserve"> и ниволумабом до тех пор, пока нежелательная реакция не будет устранена до ≤1 степени тяжести.</w:t>
            </w:r>
          </w:p>
          <w:p w14:paraId="647D9804" w14:textId="7986C0AD" w:rsidR="003D0BA9" w:rsidRPr="00DB638E" w:rsidRDefault="00CB7785" w:rsidP="003C21BB">
            <w:pPr>
              <w:spacing w:line="240" w:lineRule="auto"/>
              <w:ind w:left="-114" w:right="57" w:firstLine="6"/>
              <w:jc w:val="both"/>
              <w:rPr>
                <w:rFonts w:ascii="Times New Roman" w:hAnsi="Times New Roman"/>
                <w:sz w:val="24"/>
                <w:szCs w:val="24"/>
              </w:rPr>
            </w:pPr>
            <w:r w:rsidRPr="00DB638E">
              <w:rPr>
                <w:rFonts w:ascii="Times New Roman" w:hAnsi="Times New Roman"/>
                <w:sz w:val="24"/>
                <w:szCs w:val="24"/>
              </w:rPr>
              <w:t>Может быть рассмотрена терапия глюкокортикостероидами при подозрении на иммуно-опосредованную реакцию (см. инструкцию по применению ниволумаба).</w:t>
            </w:r>
          </w:p>
          <w:p w14:paraId="413DBD46" w14:textId="77777777" w:rsidR="003D0BA9" w:rsidRPr="00DB638E" w:rsidRDefault="003D0BA9" w:rsidP="003C21BB">
            <w:pPr>
              <w:spacing w:after="0" w:line="240" w:lineRule="auto"/>
              <w:ind w:left="-114" w:right="57" w:firstLine="6"/>
              <w:jc w:val="both"/>
              <w:rPr>
                <w:rFonts w:ascii="Times New Roman" w:hAnsi="Times New Roman"/>
                <w:sz w:val="24"/>
                <w:szCs w:val="24"/>
              </w:rPr>
            </w:pPr>
            <w:r w:rsidRPr="00DB638E">
              <w:rPr>
                <w:rFonts w:ascii="Times New Roman" w:hAnsi="Times New Roman"/>
                <w:sz w:val="24"/>
                <w:szCs w:val="24"/>
              </w:rPr>
              <w:t xml:space="preserve">Рассматривают повторное начало лечения одним лекарственным препаратом или последовательное возобновление приема обоих лекарственных препаратов после разрешения нежелательной реакции. </w:t>
            </w:r>
          </w:p>
        </w:tc>
      </w:tr>
      <w:tr w:rsidR="003D0BA9" w:rsidRPr="00DB638E" w14:paraId="535DC0E0" w14:textId="77777777" w:rsidTr="00CA30B8">
        <w:tc>
          <w:tcPr>
            <w:tcW w:w="4671" w:type="dxa"/>
            <w:tcBorders>
              <w:top w:val="single" w:sz="4" w:space="0" w:color="auto"/>
              <w:left w:val="single" w:sz="4" w:space="0" w:color="auto"/>
              <w:bottom w:val="single" w:sz="4" w:space="0" w:color="auto"/>
              <w:right w:val="single" w:sz="4" w:space="0" w:color="auto"/>
            </w:tcBorders>
          </w:tcPr>
          <w:p w14:paraId="3CAEAF85" w14:textId="77777777" w:rsidR="003D0BA9" w:rsidRPr="00DB638E" w:rsidRDefault="003D0BA9" w:rsidP="003C21BB">
            <w:pPr>
              <w:spacing w:line="240" w:lineRule="auto"/>
              <w:ind w:left="-105" w:right="57"/>
              <w:jc w:val="both"/>
              <w:rPr>
                <w:rFonts w:ascii="Times New Roman" w:hAnsi="Times New Roman"/>
                <w:sz w:val="24"/>
                <w:szCs w:val="24"/>
              </w:rPr>
            </w:pPr>
            <w:r w:rsidRPr="00DB638E">
              <w:rPr>
                <w:rFonts w:ascii="Times New Roman" w:hAnsi="Times New Roman"/>
                <w:sz w:val="24"/>
                <w:szCs w:val="24"/>
              </w:rPr>
              <w:t>АЛТ или АСТ &gt;10 раз или &gt;3 раз от ВГН с сопутствующим увеличением общего билирубина ≥2 раза от ВГН</w:t>
            </w:r>
          </w:p>
        </w:tc>
        <w:tc>
          <w:tcPr>
            <w:tcW w:w="4674" w:type="dxa"/>
            <w:tcBorders>
              <w:top w:val="single" w:sz="4" w:space="0" w:color="auto"/>
              <w:left w:val="single" w:sz="4" w:space="0" w:color="auto"/>
              <w:bottom w:val="single" w:sz="4" w:space="0" w:color="auto"/>
              <w:right w:val="single" w:sz="4" w:space="0" w:color="auto"/>
            </w:tcBorders>
          </w:tcPr>
          <w:p w14:paraId="14905CCF" w14:textId="77777777" w:rsidR="003D0BA9" w:rsidRPr="00DB638E" w:rsidRDefault="003D0BA9" w:rsidP="003C21BB">
            <w:pPr>
              <w:spacing w:line="240" w:lineRule="auto"/>
              <w:ind w:left="-114" w:right="57" w:firstLine="6"/>
              <w:jc w:val="both"/>
              <w:rPr>
                <w:rFonts w:ascii="Times New Roman" w:hAnsi="Times New Roman"/>
                <w:sz w:val="24"/>
                <w:szCs w:val="24"/>
              </w:rPr>
            </w:pPr>
            <w:r w:rsidRPr="00DB638E">
              <w:rPr>
                <w:rFonts w:ascii="Times New Roman" w:hAnsi="Times New Roman"/>
                <w:sz w:val="24"/>
                <w:szCs w:val="24"/>
              </w:rPr>
              <w:t xml:space="preserve">Прекращают терапию препаратом </w:t>
            </w:r>
            <w:r w:rsidR="00C335EE" w:rsidRPr="00DB638E">
              <w:rPr>
                <w:rFonts w:ascii="Times New Roman" w:hAnsi="Times New Roman"/>
                <w:sz w:val="24"/>
                <w:szCs w:val="24"/>
              </w:rPr>
              <w:t>Кабозаниб</w:t>
            </w:r>
            <w:r w:rsidRPr="00DB638E">
              <w:rPr>
                <w:rFonts w:ascii="Times New Roman" w:hAnsi="Times New Roman"/>
                <w:sz w:val="24"/>
                <w:szCs w:val="24"/>
              </w:rPr>
              <w:t xml:space="preserve"> и ниволумабом. </w:t>
            </w:r>
          </w:p>
          <w:p w14:paraId="01451C5D" w14:textId="778EB74E" w:rsidR="003D0BA9" w:rsidRPr="00DB638E" w:rsidRDefault="003D0BA9" w:rsidP="003C21BB">
            <w:pPr>
              <w:spacing w:after="0" w:line="240" w:lineRule="auto"/>
              <w:ind w:left="-114" w:right="57" w:firstLine="6"/>
              <w:jc w:val="both"/>
              <w:rPr>
                <w:rFonts w:ascii="Times New Roman" w:hAnsi="Times New Roman"/>
                <w:sz w:val="24"/>
                <w:szCs w:val="24"/>
              </w:rPr>
            </w:pPr>
            <w:r w:rsidRPr="00DB638E">
              <w:rPr>
                <w:rFonts w:ascii="Times New Roman" w:hAnsi="Times New Roman"/>
                <w:sz w:val="24"/>
                <w:szCs w:val="24"/>
              </w:rPr>
              <w:t>Может быть рассмотрена терапия глюкокортикостероидами при подозрении на иммуно-опосредованную реакцию</w:t>
            </w:r>
            <w:r w:rsidR="00CB7785" w:rsidRPr="00DB638E">
              <w:rPr>
                <w:rFonts w:ascii="Times New Roman" w:hAnsi="Times New Roman"/>
                <w:sz w:val="24"/>
                <w:szCs w:val="24"/>
              </w:rPr>
              <w:t xml:space="preserve"> (см. инструкцию по применению ниволумаба).</w:t>
            </w:r>
          </w:p>
        </w:tc>
      </w:tr>
    </w:tbl>
    <w:p w14:paraId="4EBD27D8" w14:textId="7FFFD429" w:rsidR="003D0BA9" w:rsidRPr="00DB638E" w:rsidRDefault="003D0BA9" w:rsidP="005F1719">
      <w:pPr>
        <w:spacing w:after="0" w:line="240" w:lineRule="auto"/>
        <w:jc w:val="both"/>
        <w:rPr>
          <w:rFonts w:ascii="Times New Roman" w:hAnsi="Times New Roman"/>
          <w:sz w:val="24"/>
          <w:szCs w:val="24"/>
        </w:rPr>
      </w:pPr>
      <w:r w:rsidRPr="00DB638E">
        <w:rPr>
          <w:rFonts w:ascii="Times New Roman" w:hAnsi="Times New Roman"/>
          <w:sz w:val="24"/>
          <w:szCs w:val="24"/>
        </w:rPr>
        <w:t>Примечание: Степени токсичности приведены в соответствии с Общими терминологическими критериями нежелательных явлений Национального института онкологии, версия 4</w:t>
      </w:r>
      <w:r w:rsidR="00CB7785" w:rsidRPr="00DB638E">
        <w:rPr>
          <w:rFonts w:ascii="Times New Roman" w:hAnsi="Times New Roman"/>
          <w:sz w:val="24"/>
          <w:szCs w:val="24"/>
        </w:rPr>
        <w:t xml:space="preserve"> </w:t>
      </w:r>
      <w:bookmarkStart w:id="10" w:name="_Hlk188435378"/>
      <w:r w:rsidR="00CB7785" w:rsidRPr="00DB638E">
        <w:rPr>
          <w:rFonts w:ascii="Times New Roman" w:hAnsi="Times New Roman"/>
          <w:sz w:val="24"/>
          <w:szCs w:val="24"/>
        </w:rPr>
        <w:t>(NCI-CTCAE v4)</w:t>
      </w:r>
      <w:bookmarkEnd w:id="10"/>
      <w:r w:rsidRPr="00DB638E">
        <w:rPr>
          <w:rFonts w:ascii="Times New Roman" w:hAnsi="Times New Roman"/>
          <w:sz w:val="24"/>
          <w:szCs w:val="24"/>
        </w:rPr>
        <w:t>.</w:t>
      </w:r>
      <w:bookmarkEnd w:id="9"/>
    </w:p>
    <w:p w14:paraId="49AE5FF0" w14:textId="77777777" w:rsidR="003D0BA9" w:rsidRPr="00DB638E" w:rsidRDefault="003D0BA9" w:rsidP="003D0BA9">
      <w:pPr>
        <w:spacing w:after="0" w:line="240" w:lineRule="auto"/>
        <w:contextualSpacing/>
        <w:rPr>
          <w:rFonts w:ascii="Times New Roman" w:hAnsi="Times New Roman"/>
          <w:i/>
          <w:sz w:val="24"/>
          <w:szCs w:val="24"/>
          <w:u w:val="single"/>
        </w:rPr>
      </w:pPr>
      <w:r w:rsidRPr="00DB638E">
        <w:rPr>
          <w:rFonts w:ascii="Times New Roman" w:hAnsi="Times New Roman"/>
          <w:i/>
          <w:sz w:val="24"/>
          <w:szCs w:val="24"/>
          <w:u w:val="single"/>
        </w:rPr>
        <w:lastRenderedPageBreak/>
        <w:t>Сопутствующая терапия</w:t>
      </w:r>
    </w:p>
    <w:p w14:paraId="41A34531"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Следует с осторожностью принимать сопутствующие лекарственные препараты, которые являются мощными ингибиторами CYP3A4, а также следует избегать постоянного применения сопутствующих лекарственных препаратов, которые являются мощными индукторами CYP3A4 (см. разделы 4.4 и 4.5).</w:t>
      </w:r>
    </w:p>
    <w:p w14:paraId="2FA23BD3"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Следует рассмотреть вопрос о выборе альтернативного сопутствующего лекарственного препарата без или с минимальной способностью индукции или ингибирования CYP3A4.</w:t>
      </w:r>
    </w:p>
    <w:p w14:paraId="7DDDCB04" w14:textId="77777777" w:rsidR="003D0BA9" w:rsidRPr="00DB638E" w:rsidRDefault="003D0BA9" w:rsidP="003D0BA9">
      <w:pPr>
        <w:spacing w:after="0" w:line="240" w:lineRule="auto"/>
        <w:contextualSpacing/>
        <w:jc w:val="both"/>
        <w:rPr>
          <w:rFonts w:ascii="Times New Roman" w:eastAsia="Times New Roman" w:hAnsi="Times New Roman"/>
          <w:b/>
          <w:sz w:val="24"/>
          <w:szCs w:val="24"/>
          <w:lang w:eastAsia="ru-RU"/>
        </w:rPr>
      </w:pPr>
      <w:r w:rsidRPr="00DB638E">
        <w:rPr>
          <w:rFonts w:ascii="Times New Roman" w:eastAsia="Times New Roman" w:hAnsi="Times New Roman"/>
          <w:b/>
          <w:sz w:val="24"/>
          <w:szCs w:val="24"/>
          <w:lang w:eastAsia="ru-RU"/>
        </w:rPr>
        <w:t>Особые группы пациентов</w:t>
      </w:r>
    </w:p>
    <w:p w14:paraId="40C24F97" w14:textId="77777777" w:rsidR="003D0BA9" w:rsidRPr="00DB638E" w:rsidRDefault="003D0BA9" w:rsidP="003D0BA9">
      <w:pPr>
        <w:spacing w:after="0" w:line="240" w:lineRule="auto"/>
        <w:contextualSpacing/>
        <w:jc w:val="both"/>
        <w:rPr>
          <w:rFonts w:ascii="Times New Roman" w:eastAsia="Times New Roman" w:hAnsi="Times New Roman"/>
          <w:i/>
          <w:sz w:val="24"/>
          <w:szCs w:val="24"/>
          <w:lang w:eastAsia="ru-RU"/>
        </w:rPr>
      </w:pPr>
      <w:r w:rsidRPr="00DB638E">
        <w:rPr>
          <w:rFonts w:ascii="Times New Roman" w:eastAsia="Times New Roman" w:hAnsi="Times New Roman"/>
          <w:i/>
          <w:sz w:val="24"/>
          <w:szCs w:val="24"/>
          <w:lang w:eastAsia="ru-RU"/>
        </w:rPr>
        <w:t xml:space="preserve">Пожилые пациенты </w:t>
      </w:r>
    </w:p>
    <w:p w14:paraId="79742680" w14:textId="62927B1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Коррекция дозы у пациентов в возрасте </w:t>
      </w:r>
      <w:bookmarkStart w:id="11" w:name="_Hlk188435399"/>
      <w:r w:rsidR="00CB7785" w:rsidRPr="00DB638E">
        <w:rPr>
          <w:rFonts w:ascii="Times New Roman" w:hAnsi="Times New Roman"/>
          <w:sz w:val="24"/>
          <w:szCs w:val="24"/>
        </w:rPr>
        <w:t>≥</w:t>
      </w:r>
      <w:bookmarkEnd w:id="11"/>
      <w:r w:rsidRPr="00DB638E">
        <w:rPr>
          <w:rFonts w:ascii="Times New Roman" w:hAnsi="Times New Roman"/>
          <w:sz w:val="24"/>
          <w:szCs w:val="24"/>
        </w:rPr>
        <w:t>65 лет не требуется.</w:t>
      </w:r>
    </w:p>
    <w:p w14:paraId="77F5E3C0" w14:textId="77777777" w:rsidR="005F1719" w:rsidRPr="00DB638E" w:rsidRDefault="005F1719" w:rsidP="005F1719">
      <w:pPr>
        <w:spacing w:line="240" w:lineRule="auto"/>
        <w:contextualSpacing/>
        <w:jc w:val="both"/>
        <w:rPr>
          <w:rFonts w:ascii="Times New Roman" w:hAnsi="Times New Roman"/>
          <w:i/>
          <w:iCs/>
          <w:sz w:val="24"/>
          <w:szCs w:val="24"/>
        </w:rPr>
      </w:pPr>
      <w:r w:rsidRPr="00DB638E">
        <w:rPr>
          <w:rFonts w:ascii="Times New Roman" w:hAnsi="Times New Roman"/>
          <w:i/>
          <w:iCs/>
          <w:sz w:val="24"/>
          <w:szCs w:val="24"/>
        </w:rPr>
        <w:t>Раса</w:t>
      </w:r>
    </w:p>
    <w:p w14:paraId="2F2F2247" w14:textId="77777777" w:rsidR="005F1719" w:rsidRPr="00DB638E" w:rsidRDefault="005F1719" w:rsidP="005F1719">
      <w:pPr>
        <w:spacing w:line="240" w:lineRule="auto"/>
        <w:contextualSpacing/>
        <w:jc w:val="both"/>
        <w:rPr>
          <w:rFonts w:ascii="Times New Roman" w:hAnsi="Times New Roman"/>
          <w:sz w:val="24"/>
          <w:szCs w:val="24"/>
        </w:rPr>
      </w:pPr>
      <w:r w:rsidRPr="00DB638E">
        <w:rPr>
          <w:rFonts w:ascii="Times New Roman" w:hAnsi="Times New Roman"/>
          <w:sz w:val="24"/>
          <w:szCs w:val="24"/>
        </w:rPr>
        <w:t>Нет необходимости корректировать дозу в зависимости от этнической принадлежности (см. раздел 5.2).</w:t>
      </w:r>
    </w:p>
    <w:p w14:paraId="3E42DC6E" w14:textId="77777777" w:rsidR="005F1719" w:rsidRPr="00DB638E" w:rsidRDefault="005F1719" w:rsidP="005F1719">
      <w:pPr>
        <w:spacing w:after="0" w:line="240" w:lineRule="auto"/>
        <w:contextualSpacing/>
        <w:jc w:val="both"/>
        <w:rPr>
          <w:rFonts w:ascii="Times New Roman" w:hAnsi="Times New Roman"/>
          <w:i/>
          <w:sz w:val="24"/>
          <w:szCs w:val="24"/>
        </w:rPr>
      </w:pPr>
      <w:r w:rsidRPr="00DB638E">
        <w:rPr>
          <w:rFonts w:ascii="Times New Roman" w:hAnsi="Times New Roman"/>
          <w:i/>
          <w:sz w:val="24"/>
          <w:szCs w:val="24"/>
        </w:rPr>
        <w:t>Пациенты с почечной недостаточностью</w:t>
      </w:r>
    </w:p>
    <w:p w14:paraId="260F2B40" w14:textId="77777777" w:rsidR="005F1719" w:rsidRPr="00DB638E" w:rsidRDefault="005F1719" w:rsidP="005F1719">
      <w:pPr>
        <w:spacing w:line="240" w:lineRule="auto"/>
        <w:contextualSpacing/>
        <w:jc w:val="both"/>
        <w:rPr>
          <w:rFonts w:ascii="Times New Roman" w:hAnsi="Times New Roman"/>
          <w:sz w:val="24"/>
          <w:szCs w:val="24"/>
        </w:rPr>
      </w:pPr>
      <w:bookmarkStart w:id="12" w:name="_Hlk74921612"/>
      <w:r w:rsidRPr="00DB638E">
        <w:rPr>
          <w:rFonts w:ascii="Times New Roman" w:hAnsi="Times New Roman"/>
          <w:sz w:val="24"/>
          <w:szCs w:val="24"/>
        </w:rPr>
        <w:t>Кабозантиниб следует применять с осторожностью у пациентов с почечной недостаточностью легкой или средней степени тяжести. Кабозантиниб не рекомендуется применять у пациентов с тяжелой почечной недостаточностью, так как безопасность и эффективность в этой популяции не установлены.</w:t>
      </w:r>
      <w:bookmarkEnd w:id="12"/>
    </w:p>
    <w:p w14:paraId="2EFAEE13" w14:textId="77777777" w:rsidR="005F1719" w:rsidRPr="00DB638E" w:rsidRDefault="005F1719" w:rsidP="005F1719">
      <w:pPr>
        <w:spacing w:after="0" w:line="240" w:lineRule="auto"/>
        <w:contextualSpacing/>
        <w:jc w:val="both"/>
        <w:rPr>
          <w:rFonts w:ascii="Times New Roman" w:hAnsi="Times New Roman"/>
          <w:i/>
          <w:sz w:val="24"/>
          <w:szCs w:val="24"/>
        </w:rPr>
      </w:pPr>
      <w:r w:rsidRPr="00DB638E">
        <w:rPr>
          <w:rFonts w:ascii="Times New Roman" w:hAnsi="Times New Roman"/>
          <w:i/>
          <w:sz w:val="24"/>
          <w:szCs w:val="24"/>
        </w:rPr>
        <w:t>Пациенты с печеночной недостаточностью</w:t>
      </w:r>
    </w:p>
    <w:p w14:paraId="6B8C0EBD" w14:textId="77777777" w:rsidR="005F1719" w:rsidRPr="00DB638E" w:rsidRDefault="005F1719" w:rsidP="005F1719">
      <w:pPr>
        <w:spacing w:line="240" w:lineRule="auto"/>
        <w:contextualSpacing/>
        <w:jc w:val="both"/>
        <w:rPr>
          <w:rFonts w:ascii="Times New Roman" w:hAnsi="Times New Roman"/>
          <w:sz w:val="24"/>
          <w:szCs w:val="24"/>
        </w:rPr>
      </w:pPr>
      <w:bookmarkStart w:id="13" w:name="_Hlk74921617"/>
      <w:r w:rsidRPr="00DB638E">
        <w:rPr>
          <w:rFonts w:ascii="Times New Roman" w:hAnsi="Times New Roman"/>
          <w:sz w:val="24"/>
          <w:szCs w:val="24"/>
        </w:rPr>
        <w:t>У пациентов с печеночной недостаточностью легкой степени тяжести коррекция дозы не требуется. Имеются ограниченные данные у пациентов с печеночной недостаточностью средней степени тяжести (Чайлд-Пью B). Какие-либо конкретные рекомендации по дозированию отсутствуют. Рекомендуется тщательный мониторинг общей безопасности у таких пациентов (см. разделы 4.4 и 5.2). Кабозантиниб не рекомендуется применять у пациентов с тяжелой печеночной недостаточностью (Чайлд-Пью С), так как клинический опыт применения у таких пациентов отсутствует (см. раздел 5.2).</w:t>
      </w:r>
      <w:bookmarkEnd w:id="13"/>
    </w:p>
    <w:p w14:paraId="771E5F91" w14:textId="77777777" w:rsidR="005F1719" w:rsidRPr="00DB638E" w:rsidRDefault="005F1719" w:rsidP="005F1719">
      <w:pPr>
        <w:spacing w:after="0" w:line="240" w:lineRule="auto"/>
        <w:contextualSpacing/>
        <w:jc w:val="both"/>
        <w:rPr>
          <w:rFonts w:ascii="Times New Roman" w:hAnsi="Times New Roman"/>
          <w:i/>
          <w:sz w:val="24"/>
          <w:szCs w:val="24"/>
        </w:rPr>
      </w:pPr>
      <w:bookmarkStart w:id="14" w:name="_Hlk74921660"/>
      <w:r w:rsidRPr="00DB638E">
        <w:rPr>
          <w:rFonts w:ascii="Times New Roman" w:hAnsi="Times New Roman"/>
          <w:i/>
          <w:sz w:val="24"/>
          <w:szCs w:val="24"/>
        </w:rPr>
        <w:t>Пациенты с сердечной недостаточностью</w:t>
      </w:r>
    </w:p>
    <w:p w14:paraId="63454811" w14:textId="77777777" w:rsidR="005F1719" w:rsidRPr="00DB638E" w:rsidRDefault="005F1719" w:rsidP="005F1719">
      <w:pPr>
        <w:spacing w:line="240" w:lineRule="auto"/>
        <w:contextualSpacing/>
        <w:jc w:val="both"/>
        <w:rPr>
          <w:rFonts w:ascii="Times New Roman" w:hAnsi="Times New Roman"/>
          <w:sz w:val="24"/>
          <w:szCs w:val="24"/>
        </w:rPr>
      </w:pPr>
      <w:r w:rsidRPr="00DB638E">
        <w:rPr>
          <w:rFonts w:ascii="Times New Roman" w:hAnsi="Times New Roman"/>
          <w:sz w:val="24"/>
          <w:szCs w:val="24"/>
        </w:rPr>
        <w:t>Имеются ограниченные данные у пациентов с сердечной недостаточностью. Какие-либо конкретные рекомендации по дозированию отсутствуют.</w:t>
      </w:r>
      <w:bookmarkEnd w:id="14"/>
    </w:p>
    <w:p w14:paraId="73EAA0E5" w14:textId="77777777" w:rsidR="00483488" w:rsidRPr="00DB638E" w:rsidRDefault="00483488" w:rsidP="00483488">
      <w:pPr>
        <w:spacing w:after="0" w:line="240" w:lineRule="auto"/>
        <w:contextualSpacing/>
        <w:jc w:val="both"/>
        <w:rPr>
          <w:rFonts w:ascii="Times New Roman" w:eastAsia="Times New Roman" w:hAnsi="Times New Roman"/>
          <w:i/>
          <w:sz w:val="24"/>
          <w:szCs w:val="24"/>
          <w:lang w:eastAsia="ru-RU"/>
        </w:rPr>
      </w:pPr>
      <w:r w:rsidRPr="00DB638E">
        <w:rPr>
          <w:rFonts w:ascii="Times New Roman" w:eastAsia="Times New Roman" w:hAnsi="Times New Roman"/>
          <w:i/>
          <w:sz w:val="24"/>
          <w:szCs w:val="24"/>
          <w:lang w:eastAsia="ru-RU"/>
        </w:rPr>
        <w:t xml:space="preserve">Дети </w:t>
      </w:r>
    </w:p>
    <w:p w14:paraId="0B2B608A" w14:textId="77777777" w:rsidR="00483488" w:rsidRPr="00DB638E" w:rsidRDefault="00483488" w:rsidP="00483488">
      <w:pPr>
        <w:spacing w:line="240" w:lineRule="auto"/>
        <w:contextualSpacing/>
        <w:jc w:val="both"/>
        <w:rPr>
          <w:rFonts w:ascii="Times New Roman" w:hAnsi="Times New Roman"/>
          <w:sz w:val="24"/>
          <w:szCs w:val="24"/>
        </w:rPr>
      </w:pPr>
      <w:r w:rsidRPr="00DB638E">
        <w:rPr>
          <w:rFonts w:ascii="Times New Roman" w:hAnsi="Times New Roman"/>
          <w:sz w:val="24"/>
          <w:szCs w:val="24"/>
        </w:rPr>
        <w:t>Безопасность и эффективность кабозантиниба у детей и подростков в возрасте до 18 лет не установлены. Доступные на текущий момент данные описаны в разделе 4.8, 5.1 и 5.2, но рекомендации по дозированию не могут быть даны.</w:t>
      </w:r>
    </w:p>
    <w:p w14:paraId="1A233E9D" w14:textId="77777777" w:rsidR="009F5A85" w:rsidRPr="00DB638E" w:rsidRDefault="009F5A85" w:rsidP="0078568D">
      <w:pPr>
        <w:spacing w:after="0" w:line="240" w:lineRule="auto"/>
        <w:jc w:val="both"/>
        <w:rPr>
          <w:rFonts w:ascii="Times New Roman" w:hAnsi="Times New Roman"/>
          <w:b/>
          <w:sz w:val="24"/>
          <w:szCs w:val="24"/>
        </w:rPr>
      </w:pPr>
      <w:r w:rsidRPr="00DB638E">
        <w:rPr>
          <w:rFonts w:ascii="Times New Roman" w:hAnsi="Times New Roman"/>
          <w:b/>
          <w:sz w:val="24"/>
          <w:szCs w:val="24"/>
          <w:lang w:bidi="ru-RU"/>
        </w:rPr>
        <w:t xml:space="preserve">Способ применения </w:t>
      </w:r>
    </w:p>
    <w:p w14:paraId="5525D484" w14:textId="77777777" w:rsidR="0078568D" w:rsidRPr="00DB638E" w:rsidRDefault="00C335EE" w:rsidP="0078568D">
      <w:pPr>
        <w:spacing w:after="0" w:line="240" w:lineRule="auto"/>
        <w:jc w:val="both"/>
        <w:rPr>
          <w:rFonts w:ascii="Times New Roman" w:hAnsi="Times New Roman"/>
          <w:sz w:val="24"/>
          <w:szCs w:val="24"/>
        </w:rPr>
      </w:pPr>
      <w:r w:rsidRPr="00DB638E">
        <w:rPr>
          <w:rFonts w:ascii="Times New Roman" w:hAnsi="Times New Roman"/>
          <w:sz w:val="24"/>
          <w:szCs w:val="24"/>
        </w:rPr>
        <w:t>Кабозаниб</w:t>
      </w:r>
      <w:r w:rsidR="003D0BA9" w:rsidRPr="00DB638E">
        <w:rPr>
          <w:rFonts w:ascii="Times New Roman" w:hAnsi="Times New Roman"/>
          <w:sz w:val="24"/>
          <w:szCs w:val="24"/>
        </w:rPr>
        <w:t xml:space="preserve"> предназначен для приема внутрь. Таблетки следует проглатывать целиком, не разламывать. Следует воздержаться от приема пищи как минимум за 2 часа до приема и 1 час после приема препарата </w:t>
      </w:r>
      <w:r w:rsidRPr="00DB638E">
        <w:rPr>
          <w:rFonts w:ascii="Times New Roman" w:hAnsi="Times New Roman"/>
          <w:sz w:val="24"/>
          <w:szCs w:val="24"/>
        </w:rPr>
        <w:t>Кабозаниб</w:t>
      </w:r>
      <w:r w:rsidR="003D0BA9" w:rsidRPr="00DB638E">
        <w:rPr>
          <w:rFonts w:ascii="Times New Roman" w:hAnsi="Times New Roman"/>
          <w:sz w:val="24"/>
          <w:szCs w:val="24"/>
        </w:rPr>
        <w:t>.</w:t>
      </w:r>
    </w:p>
    <w:p w14:paraId="2756B0BC" w14:textId="77777777" w:rsidR="003D0BA9" w:rsidRPr="00DB638E" w:rsidRDefault="003D0BA9" w:rsidP="0078568D">
      <w:pPr>
        <w:spacing w:after="0" w:line="240" w:lineRule="auto"/>
        <w:jc w:val="both"/>
        <w:rPr>
          <w:rFonts w:ascii="Times New Roman" w:eastAsia="Times New Roman" w:hAnsi="Times New Roman"/>
          <w:b/>
          <w:sz w:val="24"/>
          <w:szCs w:val="24"/>
          <w:lang w:eastAsia="ru-RU"/>
        </w:rPr>
      </w:pPr>
    </w:p>
    <w:p w14:paraId="43C6DB89" w14:textId="77777777" w:rsidR="007D0E84" w:rsidRPr="00DB638E" w:rsidRDefault="00DB406A" w:rsidP="0078568D">
      <w:pPr>
        <w:spacing w:after="0" w:line="240" w:lineRule="auto"/>
        <w:jc w:val="both"/>
        <w:rPr>
          <w:rFonts w:ascii="Times New Roman" w:eastAsia="Times New Roman" w:hAnsi="Times New Roman"/>
          <w:b/>
          <w:sz w:val="24"/>
          <w:szCs w:val="24"/>
          <w:lang w:eastAsia="ru-RU"/>
        </w:rPr>
      </w:pPr>
      <w:r w:rsidRPr="00DB638E">
        <w:rPr>
          <w:rFonts w:ascii="Times New Roman" w:eastAsia="Times New Roman" w:hAnsi="Times New Roman"/>
          <w:b/>
          <w:sz w:val="24"/>
          <w:szCs w:val="24"/>
          <w:lang w:eastAsia="ru-RU"/>
        </w:rPr>
        <w:t>4.</w:t>
      </w:r>
      <w:r w:rsidR="00566737" w:rsidRPr="00DB638E">
        <w:rPr>
          <w:rFonts w:ascii="Times New Roman" w:eastAsia="Times New Roman" w:hAnsi="Times New Roman"/>
          <w:b/>
          <w:sz w:val="24"/>
          <w:szCs w:val="24"/>
          <w:lang w:eastAsia="ru-RU"/>
        </w:rPr>
        <w:t>3</w:t>
      </w:r>
      <w:r w:rsidRPr="00DB638E">
        <w:rPr>
          <w:rFonts w:ascii="Times New Roman" w:eastAsia="Times New Roman" w:hAnsi="Times New Roman"/>
          <w:b/>
          <w:sz w:val="24"/>
          <w:szCs w:val="24"/>
          <w:lang w:eastAsia="ru-RU"/>
        </w:rPr>
        <w:t xml:space="preserve"> </w:t>
      </w:r>
      <w:r w:rsidR="007D0E84" w:rsidRPr="00DB638E">
        <w:rPr>
          <w:rFonts w:ascii="Times New Roman" w:eastAsia="Times New Roman" w:hAnsi="Times New Roman"/>
          <w:b/>
          <w:sz w:val="24"/>
          <w:szCs w:val="24"/>
          <w:lang w:eastAsia="ru-RU"/>
        </w:rPr>
        <w:t>Противопоказания</w:t>
      </w:r>
    </w:p>
    <w:p w14:paraId="3EE0FC4C" w14:textId="77777777" w:rsidR="007D0E84" w:rsidRPr="00DB638E" w:rsidRDefault="003D0BA9" w:rsidP="0078568D">
      <w:pPr>
        <w:autoSpaceDE w:val="0"/>
        <w:autoSpaceDN w:val="0"/>
        <w:spacing w:after="0" w:line="240" w:lineRule="auto"/>
        <w:jc w:val="both"/>
        <w:rPr>
          <w:rFonts w:ascii="Times New Roman" w:eastAsia="Times New Roman" w:hAnsi="Times New Roman"/>
          <w:sz w:val="24"/>
          <w:szCs w:val="24"/>
          <w:lang w:eastAsia="ru-RU"/>
        </w:rPr>
      </w:pPr>
      <w:r w:rsidRPr="00DB638E">
        <w:rPr>
          <w:rFonts w:ascii="Times New Roman" w:eastAsia="Times New Roman" w:hAnsi="Times New Roman"/>
          <w:sz w:val="24"/>
          <w:szCs w:val="24"/>
          <w:lang w:eastAsia="ru-RU"/>
        </w:rPr>
        <w:t>Гиперчувствительность к действующему веществу (веществам) или к любому из вспомогательных веществ, перечисленных в разделе 6.1</w:t>
      </w:r>
    </w:p>
    <w:p w14:paraId="583BCE2B" w14:textId="77777777" w:rsidR="00483488" w:rsidRPr="00DB638E" w:rsidRDefault="00483488" w:rsidP="0078568D">
      <w:pPr>
        <w:autoSpaceDE w:val="0"/>
        <w:autoSpaceDN w:val="0"/>
        <w:spacing w:after="0" w:line="240" w:lineRule="auto"/>
        <w:jc w:val="both"/>
        <w:rPr>
          <w:rFonts w:ascii="Times New Roman" w:eastAsia="Times New Roman" w:hAnsi="Times New Roman"/>
          <w:sz w:val="24"/>
          <w:szCs w:val="24"/>
          <w:lang w:eastAsia="ru-RU"/>
        </w:rPr>
      </w:pPr>
    </w:p>
    <w:p w14:paraId="09612A4E" w14:textId="77777777" w:rsidR="00B10089" w:rsidRPr="00DB638E" w:rsidRDefault="00DB406A" w:rsidP="0078568D">
      <w:pPr>
        <w:spacing w:after="0" w:line="240" w:lineRule="auto"/>
        <w:jc w:val="both"/>
        <w:rPr>
          <w:rFonts w:ascii="Times New Roman" w:eastAsia="Times New Roman" w:hAnsi="Times New Roman"/>
          <w:b/>
          <w:sz w:val="24"/>
          <w:szCs w:val="24"/>
          <w:lang w:eastAsia="ru-RU"/>
        </w:rPr>
      </w:pPr>
      <w:r w:rsidRPr="00DB638E">
        <w:rPr>
          <w:rFonts w:ascii="Times New Roman" w:eastAsia="Times New Roman" w:hAnsi="Times New Roman"/>
          <w:b/>
          <w:sz w:val="24"/>
          <w:szCs w:val="24"/>
          <w:lang w:eastAsia="ru-RU"/>
        </w:rPr>
        <w:t>4.</w:t>
      </w:r>
      <w:r w:rsidR="009F72B0" w:rsidRPr="00DB638E">
        <w:rPr>
          <w:rFonts w:ascii="Times New Roman" w:eastAsia="Times New Roman" w:hAnsi="Times New Roman"/>
          <w:b/>
          <w:sz w:val="24"/>
          <w:szCs w:val="24"/>
          <w:lang w:eastAsia="ru-RU"/>
        </w:rPr>
        <w:t>4</w:t>
      </w:r>
      <w:r w:rsidRPr="00DB638E">
        <w:rPr>
          <w:rFonts w:ascii="Times New Roman" w:eastAsia="Times New Roman" w:hAnsi="Times New Roman"/>
          <w:b/>
          <w:sz w:val="24"/>
          <w:szCs w:val="24"/>
          <w:lang w:eastAsia="ru-RU"/>
        </w:rPr>
        <w:t xml:space="preserve"> </w:t>
      </w:r>
      <w:r w:rsidR="00566737" w:rsidRPr="00DB638E">
        <w:rPr>
          <w:rFonts w:ascii="Times New Roman" w:hAnsi="Times New Roman"/>
          <w:b/>
          <w:sz w:val="24"/>
          <w:szCs w:val="24"/>
          <w:lang w:bidi="ru-RU"/>
        </w:rPr>
        <w:t xml:space="preserve">Особые указания и </w:t>
      </w:r>
      <w:r w:rsidR="007D0E84" w:rsidRPr="00DB638E">
        <w:rPr>
          <w:rFonts w:ascii="Times New Roman" w:eastAsia="Times New Roman" w:hAnsi="Times New Roman"/>
          <w:b/>
          <w:sz w:val="24"/>
          <w:szCs w:val="24"/>
          <w:lang w:eastAsia="ru-RU"/>
        </w:rPr>
        <w:t xml:space="preserve">меры </w:t>
      </w:r>
      <w:r w:rsidR="00D9686A" w:rsidRPr="00DB638E">
        <w:rPr>
          <w:rFonts w:ascii="Times New Roman" w:eastAsia="Times New Roman" w:hAnsi="Times New Roman"/>
          <w:b/>
          <w:sz w:val="24"/>
          <w:szCs w:val="24"/>
          <w:lang w:eastAsia="ru-RU"/>
        </w:rPr>
        <w:t>предосторожности при применении</w:t>
      </w:r>
    </w:p>
    <w:p w14:paraId="6FA0AE47" w14:textId="77777777" w:rsidR="003D0BA9" w:rsidRPr="00DB638E" w:rsidRDefault="003D0BA9" w:rsidP="003D0BA9">
      <w:pPr>
        <w:spacing w:line="240" w:lineRule="auto"/>
        <w:contextualSpacing/>
        <w:jc w:val="both"/>
        <w:rPr>
          <w:rFonts w:ascii="Times New Roman" w:hAnsi="Times New Roman"/>
          <w:sz w:val="24"/>
          <w:szCs w:val="24"/>
        </w:rPr>
      </w:pPr>
      <w:bookmarkStart w:id="15" w:name="_Hlk74919580"/>
      <w:r w:rsidRPr="00DB638E">
        <w:rPr>
          <w:rFonts w:ascii="Times New Roman" w:hAnsi="Times New Roman"/>
          <w:sz w:val="24"/>
          <w:szCs w:val="24"/>
        </w:rPr>
        <w:t>Так как большинство побочных реакций развивается на ранней стадии лечения, врач должен тщательно наблюдать за пациентом в течение первых восьми недель терапии, чтобы определить необходимость изменение дозы препарата. Побочные реакции, которые обычно проявляются в начале лечения, включают гипокальциемию, гипокалиемию, тромбоцитопению, повышение артериального давления, ладонно-подошвенный синдром (ладонно-подошвенная эритродизестезия), протеинурию и отклонения со стороны желудочно-кишечного тракта (боль в животе, воспаление слизистой оболочки, запор, диарея, рвота).</w:t>
      </w:r>
    </w:p>
    <w:p w14:paraId="024ABFA0" w14:textId="77777777" w:rsidR="003D0BA9" w:rsidRPr="00DB638E" w:rsidRDefault="003D0BA9" w:rsidP="003D0BA9">
      <w:pPr>
        <w:spacing w:line="240" w:lineRule="auto"/>
        <w:contextualSpacing/>
        <w:jc w:val="both"/>
        <w:rPr>
          <w:rFonts w:ascii="Times New Roman" w:hAnsi="Times New Roman"/>
          <w:i/>
          <w:iCs/>
          <w:sz w:val="24"/>
          <w:szCs w:val="24"/>
        </w:rPr>
      </w:pPr>
      <w:r w:rsidRPr="00DB638E">
        <w:rPr>
          <w:rFonts w:ascii="Times New Roman" w:hAnsi="Times New Roman"/>
          <w:i/>
          <w:iCs/>
          <w:sz w:val="24"/>
          <w:szCs w:val="24"/>
        </w:rPr>
        <w:lastRenderedPageBreak/>
        <w:t>Устранение нежелательных реакций может потребовать временного прекращения терапии или снижения дозы (</w:t>
      </w:r>
      <w:r w:rsidR="00483488" w:rsidRPr="00DB638E">
        <w:rPr>
          <w:rFonts w:ascii="Times New Roman" w:hAnsi="Times New Roman"/>
          <w:i/>
          <w:iCs/>
          <w:sz w:val="24"/>
          <w:szCs w:val="24"/>
        </w:rPr>
        <w:t>см. раздел</w:t>
      </w:r>
      <w:r w:rsidRPr="00DB638E">
        <w:rPr>
          <w:rFonts w:ascii="Times New Roman" w:hAnsi="Times New Roman"/>
          <w:i/>
          <w:iCs/>
          <w:sz w:val="24"/>
          <w:szCs w:val="24"/>
        </w:rPr>
        <w:t xml:space="preserve"> 4.2):</w:t>
      </w:r>
    </w:p>
    <w:p w14:paraId="08A60AE9"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В опорном клиническом исследовании (METEOR) </w:t>
      </w:r>
      <w:r w:rsidRPr="00DB638E">
        <w:rPr>
          <w:rFonts w:ascii="Times New Roman" w:hAnsi="Times New Roman"/>
          <w:i/>
          <w:iCs/>
          <w:sz w:val="24"/>
          <w:szCs w:val="24"/>
        </w:rPr>
        <w:t>у пациентов с почечно-клеточным раком после предшествующей VEGF-таргетной терапии</w:t>
      </w:r>
      <w:r w:rsidRPr="00DB638E">
        <w:rPr>
          <w:rFonts w:ascii="Times New Roman" w:hAnsi="Times New Roman"/>
          <w:sz w:val="24"/>
          <w:szCs w:val="24"/>
        </w:rPr>
        <w:t>, снижение дозы и временное прекращение терапии по причине развития нежелательных явлений произошли соответственно у 59,8 % и 70 % пациентов, получавших кабозантиниб. Снижение дозы дважды потребовалось у 19,3 % пациентов. Среднее время до первого снижения дозы составляло 55 дней, а до временного прекращения терапии - 38 дней.</w:t>
      </w:r>
    </w:p>
    <w:p w14:paraId="64FD3F72"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В клиническом исследовании (CABOSUN) </w:t>
      </w:r>
      <w:r w:rsidRPr="00DB638E">
        <w:rPr>
          <w:rFonts w:ascii="Times New Roman" w:hAnsi="Times New Roman"/>
          <w:i/>
          <w:iCs/>
          <w:sz w:val="24"/>
          <w:szCs w:val="24"/>
        </w:rPr>
        <w:t>у пациентов с почечно-клеточным раком, не получавших предварительного лечения</w:t>
      </w:r>
      <w:r w:rsidRPr="00DB638E">
        <w:rPr>
          <w:rFonts w:ascii="Times New Roman" w:hAnsi="Times New Roman"/>
          <w:sz w:val="24"/>
          <w:szCs w:val="24"/>
        </w:rPr>
        <w:t xml:space="preserve">, снижение дозы и временное прекращение терапии произошли у 46 % и 73 % пациентов, получавших кабозантиниб, соответственно. </w:t>
      </w:r>
    </w:p>
    <w:p w14:paraId="6277EF17" w14:textId="5984627B"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В клиническом исследовании (CA2099ER) </w:t>
      </w:r>
      <w:r w:rsidRPr="00DB638E">
        <w:rPr>
          <w:rFonts w:ascii="Times New Roman" w:hAnsi="Times New Roman"/>
          <w:i/>
          <w:iCs/>
          <w:sz w:val="24"/>
          <w:szCs w:val="24"/>
        </w:rPr>
        <w:t xml:space="preserve">у пациентов с </w:t>
      </w:r>
      <w:r w:rsidR="002D0CEC" w:rsidRPr="00DB638E">
        <w:rPr>
          <w:rFonts w:ascii="Times New Roman" w:hAnsi="Times New Roman"/>
          <w:i/>
          <w:iCs/>
          <w:sz w:val="24"/>
          <w:szCs w:val="24"/>
        </w:rPr>
        <w:t xml:space="preserve">распространённым </w:t>
      </w:r>
      <w:r w:rsidRPr="00DB638E">
        <w:rPr>
          <w:rFonts w:ascii="Times New Roman" w:hAnsi="Times New Roman"/>
          <w:i/>
          <w:iCs/>
          <w:sz w:val="24"/>
          <w:szCs w:val="24"/>
        </w:rPr>
        <w:t>почечно-клеточным раком, получавших кабозантиниб в комбинации с ниволумабом</w:t>
      </w:r>
      <w:r w:rsidR="00DF4DB3" w:rsidRPr="00DB638E">
        <w:rPr>
          <w:rFonts w:ascii="Times New Roman" w:hAnsi="Times New Roman"/>
          <w:i/>
          <w:iCs/>
          <w:sz w:val="24"/>
          <w:szCs w:val="24"/>
        </w:rPr>
        <w:t xml:space="preserve"> </w:t>
      </w:r>
      <w:r w:rsidR="00DF4DB3" w:rsidRPr="00DB638E">
        <w:rPr>
          <w:rFonts w:ascii="Times New Roman" w:hAnsi="Times New Roman"/>
          <w:sz w:val="24"/>
          <w:szCs w:val="24"/>
        </w:rPr>
        <w:t>в первой линии лечения</w:t>
      </w:r>
      <w:r w:rsidRPr="00DB638E">
        <w:rPr>
          <w:rFonts w:ascii="Times New Roman" w:hAnsi="Times New Roman"/>
          <w:sz w:val="24"/>
          <w:szCs w:val="24"/>
        </w:rPr>
        <w:t>, снижение дозы и временное прекращение терапии по причине развития нежелательных явлений кабозантиниба или ниволумаба наблюдалось у 54,1% и 73,4% пациентов, соответственно. Снижение дозы дважды потребовалось у 9,4% пациентов. Среднее время до первого снижения дозы составляло 106 дней, а до первого временного прекращения терапии – 68 дней.</w:t>
      </w:r>
    </w:p>
    <w:p w14:paraId="2E1C2B7C" w14:textId="77777777" w:rsidR="00483488"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В клиническом исследовании (CELESTIAL) </w:t>
      </w:r>
      <w:r w:rsidRPr="00DB638E">
        <w:rPr>
          <w:rFonts w:ascii="Times New Roman" w:hAnsi="Times New Roman"/>
          <w:i/>
          <w:iCs/>
          <w:sz w:val="24"/>
          <w:szCs w:val="24"/>
        </w:rPr>
        <w:t>у пациентов с печеночно-клеточным раком после предшествующей системной терапии</w:t>
      </w:r>
      <w:r w:rsidRPr="00DB638E">
        <w:rPr>
          <w:rFonts w:ascii="Times New Roman" w:hAnsi="Times New Roman"/>
          <w:sz w:val="24"/>
          <w:szCs w:val="24"/>
        </w:rPr>
        <w:t>, снижение дозы и временное прекращение терапии произошли у 62 % и 84 % пациентов, получавших кабозантиниб, соответственно. Снижение дозы дважды потребовалось у 33 % пациентов. Среднее время до первого снижения дозы составляло 38 дней, а до временного прекращения терапии – 28 дней.  Пациентам с печеночной недостаточностью легкой или средней степени тяжести рекомендуется более тщательное наблюдение за состоянием.</w:t>
      </w:r>
    </w:p>
    <w:p w14:paraId="09BCFDA1" w14:textId="5C76F71B" w:rsidR="00483488" w:rsidRPr="00DB638E" w:rsidRDefault="00DF4DB3"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В клиническом исследовании (COSMIC-311) </w:t>
      </w:r>
      <w:r w:rsidRPr="00DB638E">
        <w:rPr>
          <w:rFonts w:ascii="Times New Roman" w:hAnsi="Times New Roman"/>
          <w:i/>
          <w:iCs/>
          <w:sz w:val="24"/>
          <w:szCs w:val="24"/>
        </w:rPr>
        <w:t>п</w:t>
      </w:r>
      <w:r w:rsidR="00483488" w:rsidRPr="00DB638E">
        <w:rPr>
          <w:rFonts w:ascii="Times New Roman" w:hAnsi="Times New Roman"/>
          <w:i/>
          <w:iCs/>
          <w:sz w:val="24"/>
          <w:szCs w:val="24"/>
        </w:rPr>
        <w:t>ри дифференцированной карциноме щитовидной железы</w:t>
      </w:r>
      <w:r w:rsidR="00483488" w:rsidRPr="00DB638E">
        <w:rPr>
          <w:rFonts w:ascii="Times New Roman" w:hAnsi="Times New Roman"/>
          <w:sz w:val="24"/>
          <w:szCs w:val="24"/>
        </w:rPr>
        <w:t xml:space="preserve"> снижение дозы и прерывание дозы наблюдалось у 67% и 71% пациентов, получавших кабозантиниб, соответственно. Двухкратное </w:t>
      </w:r>
      <w:r w:rsidR="001511F6" w:rsidRPr="00DB638E">
        <w:rPr>
          <w:rFonts w:ascii="Times New Roman" w:hAnsi="Times New Roman"/>
          <w:sz w:val="24"/>
          <w:szCs w:val="24"/>
        </w:rPr>
        <w:t xml:space="preserve">снижение </w:t>
      </w:r>
      <w:r w:rsidR="00483488" w:rsidRPr="00DB638E">
        <w:rPr>
          <w:rFonts w:ascii="Times New Roman" w:hAnsi="Times New Roman"/>
          <w:sz w:val="24"/>
          <w:szCs w:val="24"/>
        </w:rPr>
        <w:t>дозы потребовалось у 33% пациентов. Среднее время до первого снижения дозы составило 57 дней, а до прекращения приема первой дозы — 38,5 дней.</w:t>
      </w:r>
    </w:p>
    <w:p w14:paraId="325ACB34"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Гепатотоксичность</w:t>
      </w:r>
    </w:p>
    <w:p w14:paraId="603248D4" w14:textId="656CE371" w:rsidR="003D0BA9" w:rsidRPr="00DB638E" w:rsidRDefault="003D0BA9" w:rsidP="003D0BA9">
      <w:pPr>
        <w:spacing w:after="0" w:line="240" w:lineRule="auto"/>
        <w:contextualSpacing/>
        <w:jc w:val="both"/>
        <w:rPr>
          <w:rFonts w:ascii="Times New Roman" w:hAnsi="Times New Roman"/>
          <w:sz w:val="24"/>
          <w:szCs w:val="24"/>
        </w:rPr>
      </w:pPr>
      <w:r w:rsidRPr="00DB638E">
        <w:rPr>
          <w:rFonts w:ascii="Times New Roman" w:hAnsi="Times New Roman"/>
          <w:sz w:val="24"/>
          <w:szCs w:val="24"/>
        </w:rPr>
        <w:t>У пациентов, принимающих кабозантиниб, часто наблюдаются отклонения от нормы биохимических показателей функции печени (увеличение аланинаминотрансферазы (АЛТ), аспартатаминострансферазы (АСТ) и билирубина). Рекомендуется провести анализы для оценки состояния печени (АЛТ, АСТ и билирубин) до начала лечения кабозантинибом и тщательно контролировать во время лечения. Для пациентов с ухудшением биохимических показателей функции печени, которые считаются связанными с лечением кабозантинибом (то есть, когда альтернативная причина не очевидна), следует соблюдать рекомендации по изменению дозы в Таблице 1</w:t>
      </w:r>
      <w:r w:rsidR="00554F60" w:rsidRPr="00DB638E">
        <w:rPr>
          <w:rFonts w:ascii="Times New Roman" w:hAnsi="Times New Roman"/>
          <w:sz w:val="24"/>
          <w:szCs w:val="24"/>
        </w:rPr>
        <w:t xml:space="preserve"> (см.раздел 4.2).</w:t>
      </w:r>
    </w:p>
    <w:p w14:paraId="0420DD0A" w14:textId="139DA75B" w:rsidR="003D0BA9" w:rsidRPr="00DB638E" w:rsidRDefault="003D0BA9" w:rsidP="003D0BA9">
      <w:pPr>
        <w:spacing w:after="0" w:line="240" w:lineRule="auto"/>
        <w:contextualSpacing/>
        <w:jc w:val="both"/>
        <w:rPr>
          <w:rFonts w:ascii="Times New Roman" w:hAnsi="Times New Roman"/>
          <w:sz w:val="24"/>
          <w:szCs w:val="24"/>
        </w:rPr>
      </w:pPr>
      <w:r w:rsidRPr="00DB638E">
        <w:rPr>
          <w:rFonts w:ascii="Times New Roman" w:hAnsi="Times New Roman"/>
          <w:sz w:val="24"/>
          <w:szCs w:val="24"/>
        </w:rPr>
        <w:t>При применении кабозантиниба в комбинации с ниволумабом, у пациентов с почечно-клеточным раком отмечалась более высокая частота повышения активности АЛТ и АСТ 3 и 4 степени тяжести в сравнении с монотерапией кабозантинибом (см.раздел 4.8). Перед началом лечения и периодически в течение всего периода лечения следует контролировать ферменты печени.</w:t>
      </w:r>
      <w:r w:rsidRPr="00DB638E">
        <w:rPr>
          <w:sz w:val="24"/>
          <w:szCs w:val="24"/>
        </w:rPr>
        <w:t xml:space="preserve"> </w:t>
      </w:r>
      <w:r w:rsidRPr="00DB638E">
        <w:rPr>
          <w:rFonts w:ascii="Times New Roman" w:hAnsi="Times New Roman"/>
          <w:sz w:val="24"/>
          <w:szCs w:val="24"/>
        </w:rPr>
        <w:t xml:space="preserve">Необходимо следовать руководствам по лечению для обоих препаратов (см. </w:t>
      </w:r>
      <w:r w:rsidR="00554F60" w:rsidRPr="00DB638E">
        <w:rPr>
          <w:rFonts w:ascii="Times New Roman" w:hAnsi="Times New Roman"/>
          <w:sz w:val="24"/>
          <w:szCs w:val="24"/>
        </w:rPr>
        <w:t xml:space="preserve">раздел </w:t>
      </w:r>
      <w:r w:rsidRPr="00DB638E">
        <w:rPr>
          <w:rFonts w:ascii="Times New Roman" w:hAnsi="Times New Roman"/>
          <w:sz w:val="24"/>
          <w:szCs w:val="24"/>
        </w:rPr>
        <w:t>4.2 и см. Инструкцию по медицинскому применению ниволумаба).</w:t>
      </w:r>
    </w:p>
    <w:p w14:paraId="244517AF" w14:textId="09AA5444" w:rsidR="004E4313" w:rsidRPr="00DB638E" w:rsidRDefault="004E4313" w:rsidP="004E4313">
      <w:pPr>
        <w:autoSpaceDE w:val="0"/>
        <w:autoSpaceDN w:val="0"/>
        <w:adjustRightInd w:val="0"/>
        <w:spacing w:after="0" w:line="240" w:lineRule="auto"/>
        <w:jc w:val="both"/>
        <w:rPr>
          <w:rFonts w:ascii="Times New Roman" w:hAnsi="Times New Roman"/>
          <w:sz w:val="24"/>
          <w:szCs w:val="24"/>
          <w:lang w:eastAsia="ru-RU"/>
        </w:rPr>
      </w:pPr>
      <w:r w:rsidRPr="00DB638E">
        <w:rPr>
          <w:rFonts w:ascii="Times New Roman" w:hAnsi="Times New Roman"/>
          <w:sz w:val="24"/>
          <w:szCs w:val="24"/>
          <w:lang w:eastAsia="ru-RU"/>
        </w:rPr>
        <w:t>Сообщалось о редких случаях синдрома разрежения желчных протоков. Все случаи произошли у пациентов, которые получали ингибиторы иммунных контрольных точек до или одновременно с лечением кабозантинибом.</w:t>
      </w:r>
    </w:p>
    <w:p w14:paraId="7BCC6AF2" w14:textId="78C793CE" w:rsidR="003D0BA9" w:rsidRPr="00DB638E" w:rsidRDefault="003D0BA9" w:rsidP="003D0BA9">
      <w:pPr>
        <w:spacing w:after="0" w:line="240" w:lineRule="auto"/>
        <w:contextualSpacing/>
        <w:jc w:val="both"/>
        <w:rPr>
          <w:rFonts w:ascii="Times New Roman" w:hAnsi="Times New Roman"/>
          <w:sz w:val="24"/>
          <w:szCs w:val="24"/>
        </w:rPr>
      </w:pPr>
      <w:r w:rsidRPr="00DB638E">
        <w:rPr>
          <w:rFonts w:ascii="Times New Roman" w:hAnsi="Times New Roman"/>
          <w:sz w:val="24"/>
          <w:szCs w:val="24"/>
        </w:rPr>
        <w:lastRenderedPageBreak/>
        <w:t>Кабозантиниб выводится преимущественно через печень. Рекомендуется тщательный мониторинг общей безопасности у пациентов с печеночной недостаточностью легкой или средней степени тяжести</w:t>
      </w:r>
      <w:r w:rsidR="00554F60" w:rsidRPr="00DB638E">
        <w:rPr>
          <w:rFonts w:ascii="Times New Roman" w:hAnsi="Times New Roman"/>
          <w:sz w:val="24"/>
          <w:szCs w:val="24"/>
        </w:rPr>
        <w:t xml:space="preserve"> (см. также разделы 4.2 и 5.2)</w:t>
      </w:r>
      <w:r w:rsidRPr="00DB638E">
        <w:rPr>
          <w:rFonts w:ascii="Times New Roman" w:hAnsi="Times New Roman"/>
          <w:sz w:val="24"/>
          <w:szCs w:val="24"/>
        </w:rPr>
        <w:t>. У более высокой относительной доли пациентов с печеночной недостаточностью средней степени тяжести (Чайлд-Пью</w:t>
      </w:r>
      <w:r w:rsidR="00483488" w:rsidRPr="00DB638E">
        <w:rPr>
          <w:rFonts w:ascii="Times New Roman" w:hAnsi="Times New Roman"/>
          <w:sz w:val="24"/>
          <w:szCs w:val="24"/>
        </w:rPr>
        <w:t xml:space="preserve"> </w:t>
      </w:r>
      <w:r w:rsidRPr="00DB638E">
        <w:rPr>
          <w:rFonts w:ascii="Times New Roman" w:hAnsi="Times New Roman"/>
          <w:sz w:val="24"/>
          <w:szCs w:val="24"/>
        </w:rPr>
        <w:t xml:space="preserve">B) развилась печеночная энцефалопатия во время терапии кабозантинибом. </w:t>
      </w:r>
    </w:p>
    <w:p w14:paraId="6C2FCD75" w14:textId="77777777" w:rsidR="003D0BA9" w:rsidRPr="00DB638E" w:rsidRDefault="0092415B"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Кабозаниб</w:t>
      </w:r>
      <w:r w:rsidR="003D0BA9" w:rsidRPr="00DB638E">
        <w:rPr>
          <w:rFonts w:ascii="Times New Roman" w:hAnsi="Times New Roman"/>
          <w:sz w:val="24"/>
          <w:szCs w:val="24"/>
        </w:rPr>
        <w:t xml:space="preserve"> не рекомендуется применять у пациентов с тяжелой печеночной недостаточностью (Чайлд-Пью C, см. </w:t>
      </w:r>
      <w:r w:rsidR="00483488" w:rsidRPr="00DB638E">
        <w:rPr>
          <w:rFonts w:ascii="Times New Roman" w:hAnsi="Times New Roman"/>
          <w:sz w:val="24"/>
          <w:szCs w:val="24"/>
        </w:rPr>
        <w:t>р</w:t>
      </w:r>
      <w:r w:rsidR="003D0BA9" w:rsidRPr="00DB638E">
        <w:rPr>
          <w:rFonts w:ascii="Times New Roman" w:hAnsi="Times New Roman"/>
          <w:sz w:val="24"/>
          <w:szCs w:val="24"/>
        </w:rPr>
        <w:t>аздел 4.2).</w:t>
      </w:r>
    </w:p>
    <w:p w14:paraId="00E9F1FA"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Печеночная энцефалопатия</w:t>
      </w:r>
    </w:p>
    <w:p w14:paraId="29F4A9A9" w14:textId="526C4C2E"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В клиническом исследовании (CELESTIAL) у пациентов с печеночно-клеточным раком печеночная энцефалопатия чаще отмечалась в группе пациентов, принимавших кабозантиниб, чем в группе плацебо. Диарея, рвота, снижение аппетита и нарушение баланса электролитов были связаны с приемом кабозантиниба. У пациентов с печеночно-клеточным раком с нарушением функции печени такие не печеночные реакции могут быть провоцирующими факторами для развития печеночной энцефалопатии. Пациентов следует контролировать на предмет признаков и симптомов печеночной энцефалопатии.</w:t>
      </w:r>
    </w:p>
    <w:p w14:paraId="2A1D87D2"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 xml:space="preserve">Перфорации и свищи </w:t>
      </w:r>
    </w:p>
    <w:p w14:paraId="49F056F2"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При приеме кабозантиниба существует повышенный риск развития серьезных перфораций и свищей желудочно-кишечного тракта, иногда с летальным исходом. Пациенты с воспалительными заболеваниями кишечника (например, болезнь Крона, язвенный колит, перитонит, дивертикулит или аппендицит), инфильтрацией опухоли в желудочно-кишечный тракт или осложнением от предшествующей хирургической операции (особенно, когда это связано с медленным или неполным заживлением раны) должны тщательно оцениваться до начала лечения кабозантинибом, а в последствии таких пациентов следует тщательно контролировать на предмет развития симптомов перфораций и свищей, включая абсцесс и сепсис. Постоянная или повторяющаяся диарея может быть фактором риска для развития анального свища. Следует отменить терапию кабозантинибом у пациентов с перфорацией желудочно-кишечного тракта или свищом, которые невозможно контролировать должным образом.</w:t>
      </w:r>
    </w:p>
    <w:p w14:paraId="24446755"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Нарушения со стороны желудочно-кишечного тракта</w:t>
      </w:r>
    </w:p>
    <w:p w14:paraId="6F3CE8C4"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Диарея, тошнота/рвота, снижение аппетита и стоматит/боль в ротовой полости были одними из наиболее часто встречающихся побочных реакций со стороны желудочно-кишечного тракта (см. раздел 4.8). Для предотвращения обезвоживания, электролитного дисбаланса и потери веса следует начать незамедлительное медицинское лечение, включая симптоматическое лечение противорвотными средствами, противодиарейными препаратами или антацидами. Временное прекращение терапии или уменьшение дозы, или постоянное прекращение приема кабозантиниба следует рассматривать в случае устойчивых или повторяющихся существенных побочных реакций со стороны желудочно-кишечного тракта (см. Таблицу 1).</w:t>
      </w:r>
    </w:p>
    <w:p w14:paraId="0EBA8C96" w14:textId="77777777" w:rsidR="003D0BA9" w:rsidRPr="00DB638E" w:rsidRDefault="003D0BA9" w:rsidP="003D0BA9">
      <w:pPr>
        <w:spacing w:after="0" w:line="240" w:lineRule="auto"/>
        <w:contextualSpacing/>
        <w:rPr>
          <w:rFonts w:ascii="Times New Roman" w:hAnsi="Times New Roman"/>
          <w:sz w:val="24"/>
          <w:szCs w:val="24"/>
          <w:u w:val="single"/>
        </w:rPr>
      </w:pPr>
      <w:r w:rsidRPr="00DB638E">
        <w:rPr>
          <w:rFonts w:ascii="Times New Roman" w:hAnsi="Times New Roman"/>
          <w:sz w:val="24"/>
          <w:szCs w:val="24"/>
          <w:u w:val="single"/>
        </w:rPr>
        <w:t>Тромбоэмболия</w:t>
      </w:r>
    </w:p>
    <w:p w14:paraId="25B000D4"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При приеме кабозантиниба имеется повышенный риск развития венозной тромбоэмболии, включая легочную эмболию, и артериальной тромбоэмболии, иногда с летальным исходом. Кабозантиниб должен применяться с осторожностью у пациентов, которые находятся в группе риска или имеют в анамнезе такие случаи. В клиническом исследовании (CELESTIAL) у пациентов с печеночно-клеточным раком, принимавших кабозантиниб, наблюдался тромбоз воротной вены, включая одно событие с летальным исходом. Пациенты с инвазией воротной вены в анамнезе, по-видимому, имели более высокий риск развития тромбоза воротной вены. Следует отменить терапию кабозантинибом у пациентов, у которых развивается острый инфаркт миокарда или любые другие клинически значимые тромбоэмболические осложнения. </w:t>
      </w:r>
    </w:p>
    <w:p w14:paraId="6C1C908A"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Кровотечение</w:t>
      </w:r>
    </w:p>
    <w:p w14:paraId="1EE201EF" w14:textId="77777777" w:rsidR="003D0BA9" w:rsidRPr="00DB638E" w:rsidRDefault="003D0BA9" w:rsidP="003D0BA9">
      <w:pPr>
        <w:spacing w:after="0" w:line="240" w:lineRule="auto"/>
        <w:contextualSpacing/>
        <w:jc w:val="both"/>
        <w:rPr>
          <w:rFonts w:ascii="Times New Roman" w:hAnsi="Times New Roman"/>
          <w:sz w:val="24"/>
          <w:szCs w:val="24"/>
        </w:rPr>
      </w:pPr>
      <w:r w:rsidRPr="00DB638E">
        <w:rPr>
          <w:rFonts w:ascii="Times New Roman" w:hAnsi="Times New Roman"/>
          <w:sz w:val="24"/>
          <w:szCs w:val="24"/>
        </w:rPr>
        <w:lastRenderedPageBreak/>
        <w:t>При приеме кабозантиниба повышен риск возникновения тяжелого кровотечения, иногда с летальным исходом. Пациенты с тяжелым кровотечением в анамнезе должны тщательно оцениваться до начала лечения кабозантинибом. Кабозантиниб не следует назначать пациентам, которые находятся в группе риска или имеют тяжелое кровотечение.</w:t>
      </w:r>
    </w:p>
    <w:p w14:paraId="5F70F4C8" w14:textId="77777777" w:rsidR="003D0BA9" w:rsidRPr="00DB638E" w:rsidRDefault="003D0BA9" w:rsidP="003D0BA9">
      <w:pPr>
        <w:spacing w:after="0" w:line="240" w:lineRule="auto"/>
        <w:contextualSpacing/>
        <w:jc w:val="both"/>
        <w:rPr>
          <w:rFonts w:ascii="Times New Roman" w:hAnsi="Times New Roman"/>
          <w:sz w:val="24"/>
          <w:szCs w:val="24"/>
        </w:rPr>
      </w:pPr>
      <w:r w:rsidRPr="00DB638E">
        <w:rPr>
          <w:rFonts w:ascii="Times New Roman" w:hAnsi="Times New Roman"/>
          <w:sz w:val="24"/>
          <w:szCs w:val="24"/>
        </w:rPr>
        <w:t xml:space="preserve">В клиническом исследовании (CELESTIAL) у пациентов с печеночно-клеточным раком случаи кровотечения с летальным исходом регистрировались чаще в группе пациентов, принимавших кабозантиниб, чем в группе плацебо. Предрасполагающие факторы риска для тяжелого кровотечения в популяции с распространенным печеночно-клеточным раком могут включать инвазию опухоли крупных кровеносных сосудов и наличие цирроза печени в качестве исходного заболевания, что приводит к варикозному расширению вен пищевода, портальной гипертензии и тромбоцитопении. В исследовании CELESTIAL были исключены пациенты с сопутствующей антикоагулянтной терапией или пациенты, принимающие антиагрегантные средства. Пациенты с варикозным расширением вен с кровотечением или с высоким риском возникновения кровотечения, не получавших или частично получавших терапию, также были исключены из этого исследования. </w:t>
      </w:r>
    </w:p>
    <w:p w14:paraId="0B6B7706" w14:textId="19EE96E8"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Из клинического исследования у пациентов с</w:t>
      </w:r>
      <w:r w:rsidR="002D0CEC" w:rsidRPr="00DB638E">
        <w:rPr>
          <w:rFonts w:ascii="Times New Roman" w:hAnsi="Times New Roman"/>
          <w:sz w:val="24"/>
          <w:szCs w:val="24"/>
        </w:rPr>
        <w:t xml:space="preserve"> распространённым</w:t>
      </w:r>
      <w:r w:rsidRPr="00DB638E">
        <w:rPr>
          <w:rFonts w:ascii="Times New Roman" w:hAnsi="Times New Roman"/>
          <w:sz w:val="24"/>
          <w:szCs w:val="24"/>
        </w:rPr>
        <w:t xml:space="preserve"> почечно-клеточным раком, получавших кабозантиниб в комбинации с ниволумабом (CA2099ER), были исключены пациенты, получавшие антикоагулянты в терапевтических дозах.  </w:t>
      </w:r>
    </w:p>
    <w:p w14:paraId="34C1D6E7" w14:textId="6D94C4DE" w:rsidR="003D0BA9" w:rsidRPr="00DB638E" w:rsidRDefault="003D0BA9" w:rsidP="003D0BA9">
      <w:pPr>
        <w:spacing w:after="0" w:line="240" w:lineRule="auto"/>
        <w:contextualSpacing/>
        <w:jc w:val="both"/>
        <w:rPr>
          <w:rFonts w:ascii="Times New Roman" w:eastAsia="Times New Roman" w:hAnsi="Times New Roman"/>
          <w:sz w:val="24"/>
          <w:szCs w:val="24"/>
          <w:u w:val="single"/>
          <w:lang w:eastAsia="ru-RU"/>
        </w:rPr>
      </w:pPr>
      <w:r w:rsidRPr="00DB638E">
        <w:rPr>
          <w:rFonts w:ascii="Times New Roman" w:eastAsia="Times New Roman" w:hAnsi="Times New Roman"/>
          <w:sz w:val="24"/>
          <w:szCs w:val="24"/>
          <w:u w:val="single"/>
          <w:lang w:eastAsia="ru-RU"/>
        </w:rPr>
        <w:t>Аневризмы и расслоения артерии</w:t>
      </w:r>
    </w:p>
    <w:p w14:paraId="0B5E3ED4"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eastAsia="Times New Roman" w:hAnsi="Times New Roman"/>
          <w:sz w:val="24"/>
          <w:szCs w:val="24"/>
          <w:lang w:eastAsia="ru-RU"/>
        </w:rPr>
        <w:t>Применение ингибиторов VEGF у пациентов с гипертонией или без нее может способствовать образованию аневризм и/или расслоениям артерии. Пациенты с факторами риска, такими как гипертензия или аневризма в анамнезе, должны тщательно оцениваться до начала лечения кабозантинибом.</w:t>
      </w:r>
    </w:p>
    <w:p w14:paraId="399CF580"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Тромбоцитопения</w:t>
      </w:r>
    </w:p>
    <w:p w14:paraId="558308F7" w14:textId="2091F0F2"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В клиническом исследовании (CELESTIAL) у пациентов с печеночно-клеточным раком </w:t>
      </w:r>
      <w:r w:rsidR="00C31424" w:rsidRPr="00DB638E">
        <w:rPr>
          <w:rFonts w:ascii="Times New Roman" w:hAnsi="Times New Roman"/>
          <w:sz w:val="24"/>
          <w:szCs w:val="24"/>
        </w:rPr>
        <w:t xml:space="preserve">и в исследовании (COSMIC-311) у пациентов дифференцированной карциномой щитовидной железы </w:t>
      </w:r>
      <w:r w:rsidRPr="00DB638E">
        <w:rPr>
          <w:rFonts w:ascii="Times New Roman" w:hAnsi="Times New Roman"/>
          <w:sz w:val="24"/>
          <w:szCs w:val="24"/>
        </w:rPr>
        <w:t>отмечались тромбоцитопения и снижение количества тромбоцитов. Во время лечения кабозантинибом следует контролировать уровень тромбоцитов и изменять дозу в зависимости от тяжести тромбоцитопении (см. Таблицу 1).</w:t>
      </w:r>
    </w:p>
    <w:p w14:paraId="1EFBC0ED" w14:textId="77777777" w:rsidR="003D0BA9" w:rsidRPr="00DB638E" w:rsidRDefault="003D0BA9" w:rsidP="003D0BA9">
      <w:pPr>
        <w:spacing w:after="0" w:line="240" w:lineRule="auto"/>
        <w:contextualSpacing/>
        <w:rPr>
          <w:rFonts w:ascii="Times New Roman" w:hAnsi="Times New Roman"/>
          <w:sz w:val="24"/>
          <w:szCs w:val="24"/>
          <w:u w:val="single"/>
        </w:rPr>
      </w:pPr>
      <w:r w:rsidRPr="00DB638E">
        <w:rPr>
          <w:rFonts w:ascii="Times New Roman" w:hAnsi="Times New Roman"/>
          <w:sz w:val="24"/>
          <w:szCs w:val="24"/>
          <w:u w:val="single"/>
        </w:rPr>
        <w:t>Осложнения заживления раны</w:t>
      </w:r>
    </w:p>
    <w:p w14:paraId="3B250BBB"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При приеме кабозантиниба существует повышенный риск развития осложнений заживления раны. Лечение кабозантинибом следует прекратить, по крайней мере, за 28 дней до запланированной операции, включая стоматологическую операцию, если это возможно. Решение возобновить терапию кабозантинибом после операции должно основываться на клинической оценке адекватности заживления раны. Следует отменить терапию кабозантинибом у пациентов с осложнениями заживления раны, требующими медицинского вмешательства.</w:t>
      </w:r>
    </w:p>
    <w:p w14:paraId="173FD14A"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Артериальная гипертензия</w:t>
      </w:r>
    </w:p>
    <w:p w14:paraId="46310268" w14:textId="77777777" w:rsidR="005E30A1" w:rsidRPr="00DB638E" w:rsidRDefault="005E30A1" w:rsidP="003D0BA9">
      <w:pPr>
        <w:spacing w:after="0" w:line="240" w:lineRule="auto"/>
        <w:contextualSpacing/>
        <w:jc w:val="both"/>
        <w:rPr>
          <w:rFonts w:ascii="Times New Roman" w:hAnsi="Times New Roman"/>
          <w:sz w:val="24"/>
          <w:szCs w:val="24"/>
        </w:rPr>
      </w:pPr>
      <w:r w:rsidRPr="00DB638E">
        <w:rPr>
          <w:rFonts w:ascii="Times New Roman" w:hAnsi="Times New Roman"/>
          <w:sz w:val="24"/>
          <w:szCs w:val="24"/>
        </w:rPr>
        <w:t>При приеме кабозантиниба имеется повышенный риск развития артериальной гипертензии, в том числе гипертонического криза. Артериальное давление должно надлежащим образом контролироваться до начала терапии кабозантинибом. Во время лечения кабозантинибом у всех пациентов следует контролировать развитие артериальной гипертензии и, при необходимости, проводить лечение по стандартной схеме. В случае стойкого повышения артериального давления, несмотря на использование антигипертензивных средств, лечение кабозантинибом следует прервать до восстановления нормальных значений артериального давления, после чего прием кабозантиниба можно возобновить в сниженной дозе. Кабозантиниб следует отменить, если артериальная гипертензия тяжелая и стойкая, несмотря на антигипертензивную терапию и снижение дозы кабозантиниба. В случае гипертонического криза, терапию кабозантинибом следует прекратить.</w:t>
      </w:r>
    </w:p>
    <w:p w14:paraId="48AA3004" w14:textId="4E2395A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lastRenderedPageBreak/>
        <w:t>Остеонекроз</w:t>
      </w:r>
    </w:p>
    <w:p w14:paraId="4400E0F8"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При приеме кабозантиниба наблюдались случаи остеонекроза челюсти. Перед началом приема кабозантиниба и периодически во время терапии кабозантинибом следует проводить осмотр полости рта. Следует проинформировать пациентов о правилах гигиены полости рта. Лечение кабозантинибом следует прекратить, по крайней мере, за 28 дней до запланированной стоматологической операции или инвазивных стоматологических процедур, если это возможно. Следует соблюдать осторожность у пациентов, получающих препараты, вызывающие остеонекроз челюсти, такие как бисфосфонаты. Кабозантиниб следует отменить у пациентов с остеонекрозом челюсти.</w:t>
      </w:r>
    </w:p>
    <w:p w14:paraId="70C369ED" w14:textId="77777777" w:rsidR="003D0BA9" w:rsidRPr="00DB638E" w:rsidRDefault="003D0BA9" w:rsidP="003D0BA9">
      <w:pPr>
        <w:spacing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Ладонно-подошвенный синдром (ладонно-подошвенная эритродизестезия)</w:t>
      </w:r>
    </w:p>
    <w:p w14:paraId="13C38F27" w14:textId="6F3BC332"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При приеме кабозантиниба повышен риск возникновения ладонно-подошвенного синдрома (ладонно-подошвенной эритродизестезии). При развитии </w:t>
      </w:r>
      <w:r w:rsidR="00863BB7" w:rsidRPr="00DB638E">
        <w:rPr>
          <w:rFonts w:ascii="Times New Roman" w:hAnsi="Times New Roman"/>
          <w:sz w:val="24"/>
          <w:szCs w:val="24"/>
        </w:rPr>
        <w:t xml:space="preserve">тяжелой формы </w:t>
      </w:r>
      <w:r w:rsidRPr="00DB638E">
        <w:rPr>
          <w:rFonts w:ascii="Times New Roman" w:hAnsi="Times New Roman"/>
          <w:sz w:val="24"/>
          <w:szCs w:val="24"/>
        </w:rPr>
        <w:t xml:space="preserve">ладонно-подошвенного синдрома (ладонно-подошвенной эритродизестезии) следует рассмотреть возможность временного прекращения терапии кабозантинибом. Когда ладонно-подошвенный синдром (ладонно-подошвенная эритродизестезия) достигнет 1 степени тяжести, следует возобновить терапию кабозантинибом с более низкой дозой. </w:t>
      </w:r>
    </w:p>
    <w:p w14:paraId="50578DEE"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Протеинурия</w:t>
      </w:r>
    </w:p>
    <w:p w14:paraId="49ECB73B"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При приеме кабозантиниба существует повышенный риск развития протеинурии. Во время лечения кабозантинибом следует регулярно контролировать белок в моче. При развитии у пациентов нефротического синдрома кабозантиниб следует отменить.</w:t>
      </w:r>
    </w:p>
    <w:p w14:paraId="193E2F1F" w14:textId="2AEB5566" w:rsidR="003D0BA9" w:rsidRPr="00DB638E" w:rsidRDefault="00863BB7"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Синдром задней обратимой энцефалопатии</w:t>
      </w:r>
    </w:p>
    <w:p w14:paraId="01A28631" w14:textId="5502761C"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При приеме кабозантиниба наблюдалось развитие </w:t>
      </w:r>
      <w:r w:rsidR="00863BB7" w:rsidRPr="00DB638E">
        <w:rPr>
          <w:rFonts w:ascii="Times New Roman" w:hAnsi="Times New Roman"/>
          <w:sz w:val="24"/>
          <w:szCs w:val="24"/>
        </w:rPr>
        <w:t>синдрома задней обратимой энцефалопатии</w:t>
      </w:r>
      <w:r w:rsidR="004B382D" w:rsidRPr="00DB638E">
        <w:rPr>
          <w:rFonts w:ascii="Times New Roman" w:hAnsi="Times New Roman"/>
          <w:sz w:val="24"/>
          <w:szCs w:val="24"/>
        </w:rPr>
        <w:t xml:space="preserve">. </w:t>
      </w:r>
      <w:r w:rsidRPr="00DB638E">
        <w:rPr>
          <w:rFonts w:ascii="Times New Roman" w:hAnsi="Times New Roman"/>
          <w:sz w:val="24"/>
          <w:szCs w:val="24"/>
        </w:rPr>
        <w:t xml:space="preserve">Возможность развития этого синдрома следует рассматривать у любого пациента с множественными симптомами, включая эпилептиформные припадки, головную боль, нарушения зрения, спутанность сознания или изменение психического статуса. Лечение кабозантинибом следует отменить у пациентов при развитии </w:t>
      </w:r>
      <w:r w:rsidR="00863BB7" w:rsidRPr="00DB638E">
        <w:rPr>
          <w:rFonts w:ascii="Times New Roman" w:hAnsi="Times New Roman"/>
          <w:sz w:val="24"/>
          <w:szCs w:val="24"/>
        </w:rPr>
        <w:t>синдрома задней обратимой энцефалопатии</w:t>
      </w:r>
      <w:r w:rsidRPr="00DB638E">
        <w:rPr>
          <w:rFonts w:ascii="Times New Roman" w:hAnsi="Times New Roman"/>
          <w:sz w:val="24"/>
          <w:szCs w:val="24"/>
        </w:rPr>
        <w:t>.</w:t>
      </w:r>
    </w:p>
    <w:p w14:paraId="5302B5AE"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Удлинение QT интервала</w:t>
      </w:r>
    </w:p>
    <w:p w14:paraId="2A00B0AD"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Кабозантиниб следует применять с осторожностью у пациентов с удлинением интервала QT в анамнезе, пациентов, принимающих антиаритмические препараты, или у пациентов с имеющимся заболеванием сердца, брадикардией или нарушениями водно-электролитного баланса. На фоне лечения кабозантинибом следует проводить периодический мониторинг ЭКГ и концентрации электролитов в крови (кальций, калий и магний). </w:t>
      </w:r>
    </w:p>
    <w:p w14:paraId="7786A154"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Дисфункция щитовидной железы</w:t>
      </w:r>
    </w:p>
    <w:p w14:paraId="02E81479"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Всем пациентам рекомендуется базовая лабораторная оценка функции щитовидной железы. Пациентов с гипотиреозом в анамнезе или гипертиреозом следует лечить в соответствии со стандартной медицинской практикой до начала терапии кабозантинибом. Во время лечения кабозантинибом следует тщательно наблюдать за всеми пациентами на предмет признаков и симптомов дисфункции щитовидной железы. На протяжении всего лечения кабозантинибом следует периодически контролировать функцию щитовидной железы. Пациентов, у которых развивается дисфункция щитовидной железы, следует лечить в соответствии со стандартной медицинской практикой.</w:t>
      </w:r>
    </w:p>
    <w:p w14:paraId="1C660A4D"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Отклонения от нормы биохимических лабораторных показателей</w:t>
      </w:r>
    </w:p>
    <w:p w14:paraId="11A5E320" w14:textId="388689D5"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Увеличенная частота нарушений электролитного баланса (включая гипо- и гиперкалиемию, гипомагниемию, гипокальциемию, гипонатриемию) была связана с приемом кабозантиниба. </w:t>
      </w:r>
      <w:r w:rsidR="00D728B5" w:rsidRPr="00DB638E">
        <w:rPr>
          <w:rFonts w:ascii="Times New Roman" w:hAnsi="Times New Roman"/>
          <w:sz w:val="24"/>
          <w:szCs w:val="24"/>
        </w:rPr>
        <w:t xml:space="preserve">Гипокальциемия наблюдалась при применении кабозантиниба с более высокой частотой и/или повышенной тяжестью (включая 3 и 4 степени) у пациентов с раком щитовидной железы по сравнению с пациентами с другими видами рака. </w:t>
      </w:r>
      <w:r w:rsidRPr="00DB638E">
        <w:rPr>
          <w:rFonts w:ascii="Times New Roman" w:hAnsi="Times New Roman"/>
          <w:sz w:val="24"/>
          <w:szCs w:val="24"/>
        </w:rPr>
        <w:t xml:space="preserve">Рекомендуется контролировать биохимические параметры во время лечения кабозантинибом и назначать соответствующую заместительную терапию в соответствии </w:t>
      </w:r>
      <w:r w:rsidRPr="00DB638E">
        <w:rPr>
          <w:rFonts w:ascii="Times New Roman" w:hAnsi="Times New Roman"/>
          <w:sz w:val="24"/>
          <w:szCs w:val="24"/>
        </w:rPr>
        <w:lastRenderedPageBreak/>
        <w:t>со стандартной клинической практикой, если это необходимо. Случаи печеночной энцефалопатии у пациентов с печеночно-клеточным раком могут быть обусловлены развитием нарушений водно-электролитного баланса. Временное прекращение терапии или уменьшение дозы, или постоянное прекращение приема кабозантиниба следует рассматривать в случае устойчивых или повторяющихся существенных отклонений от нормы (см. Таблицу 1).</w:t>
      </w:r>
    </w:p>
    <w:p w14:paraId="2407011E"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Индукторы и ингибиторы CYP3A4</w:t>
      </w:r>
    </w:p>
    <w:p w14:paraId="3BC2A21B"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Кабозантиниб является субстратом для CYP3A4. Одновременное введение кабозантиниба с мощным ингибитором CYP3A4 кетоконазолом приводило к увеличению экспозиции кабозантиниба в плазме крови. Необходимо соблюдать осторожность при применении кабозантиниба с препаратами, которые являются мощными ингибиторами CYP3A4. Одновременное применение кабозантиниба с мощным индуктором CYP3A4 рифампицином приводило к снижению экспозиции кабозантиниба в плазме крови. Следует избегать длительного приема препаратов, которые являются мощными индукторами CYP3A4, на фоне лечения кабозантинибом (см. разделы 4.2 и 4.5).</w:t>
      </w:r>
    </w:p>
    <w:p w14:paraId="34D1C737" w14:textId="77777777" w:rsidR="003D0BA9" w:rsidRPr="00DB638E" w:rsidRDefault="003D0BA9" w:rsidP="003D0BA9">
      <w:pPr>
        <w:spacing w:after="0" w:line="240" w:lineRule="auto"/>
        <w:contextualSpacing/>
        <w:rPr>
          <w:rFonts w:ascii="Times New Roman" w:hAnsi="Times New Roman"/>
          <w:sz w:val="24"/>
          <w:szCs w:val="24"/>
          <w:u w:val="single"/>
        </w:rPr>
      </w:pPr>
      <w:r w:rsidRPr="00DB638E">
        <w:rPr>
          <w:rFonts w:ascii="Times New Roman" w:hAnsi="Times New Roman"/>
          <w:sz w:val="24"/>
          <w:szCs w:val="24"/>
          <w:u w:val="single"/>
        </w:rPr>
        <w:t>Субстраты Р-гликопротеина</w:t>
      </w:r>
    </w:p>
    <w:p w14:paraId="6ED467E9"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Кабозантиниб является ингибитором (IC</w:t>
      </w:r>
      <w:r w:rsidRPr="00DB638E">
        <w:rPr>
          <w:rFonts w:ascii="Times New Roman" w:hAnsi="Times New Roman"/>
          <w:sz w:val="24"/>
          <w:szCs w:val="24"/>
          <w:vertAlign w:val="subscript"/>
        </w:rPr>
        <w:t>50</w:t>
      </w:r>
      <w:r w:rsidRPr="00DB638E">
        <w:rPr>
          <w:rFonts w:ascii="Times New Roman" w:hAnsi="Times New Roman"/>
          <w:sz w:val="24"/>
          <w:szCs w:val="24"/>
        </w:rPr>
        <w:t xml:space="preserve"> = 7,0 мкМ), но не субстратом, транспортной активности P-гликопротеина в системе двунаправленного анализа с использованием MDCK-MDR1-клеток. Таким образом, кабозантиниб может иметь способность увеличивать концентрации совместно вводимых субстратов P-гликопротеина в плазме крови. Пациенты должны быть предупреждены о возможном воздействии при одновременном применении кабозантиниба и субстратов P-гликопротеина (например, фексофенадин, алискирен, амбрисентан, дабигатрана этексилат, дигоксин, колхицин, маравирок, позаконазол, ранолазин, саксаглиптин, ситаглиптин, талинолол, толваптан) (см. раздел 4.5).</w:t>
      </w:r>
    </w:p>
    <w:p w14:paraId="65A35B2A"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Ингибиторы MRP2</w:t>
      </w:r>
    </w:p>
    <w:p w14:paraId="46ED4E79"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Прием ингибиторов MRP2 может привезти к повышению концентрации кабозантиниба в плазме крови, в связи с чем следует соблюдать осторожность при одновременном применении с ингибиторами MRP2 (например, циклоспорин, эфавиренз, эмтрицитабин) (см. раздел 4.5).</w:t>
      </w:r>
    </w:p>
    <w:p w14:paraId="18E8473C" w14:textId="77777777" w:rsidR="003D0BA9" w:rsidRPr="00DB638E" w:rsidRDefault="003D0BA9" w:rsidP="003D0BA9">
      <w:pPr>
        <w:spacing w:after="0"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Вспомогательные вещества</w:t>
      </w:r>
    </w:p>
    <w:p w14:paraId="22018305" w14:textId="77777777" w:rsidR="000A15B0" w:rsidRPr="00DB638E" w:rsidRDefault="004A4981"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Л</w:t>
      </w:r>
      <w:r w:rsidR="003D0BA9" w:rsidRPr="00DB638E">
        <w:rPr>
          <w:rFonts w:ascii="Times New Roman" w:hAnsi="Times New Roman"/>
          <w:sz w:val="24"/>
          <w:szCs w:val="24"/>
        </w:rPr>
        <w:t>ицам с наследственной непереносимостью галактозы, дефицитом фермента Lapp (ЛАПП)-лактазы, мальабсорбцией глюкозы-галактозы</w:t>
      </w:r>
      <w:r w:rsidR="00D16838" w:rsidRPr="00DB638E">
        <w:rPr>
          <w:rFonts w:ascii="Times New Roman" w:hAnsi="Times New Roman"/>
          <w:sz w:val="24"/>
          <w:szCs w:val="24"/>
        </w:rPr>
        <w:t xml:space="preserve"> следует отказаться от приема препарата</w:t>
      </w:r>
      <w:r w:rsidR="003D0BA9" w:rsidRPr="00DB638E">
        <w:rPr>
          <w:rFonts w:ascii="Times New Roman" w:hAnsi="Times New Roman"/>
          <w:sz w:val="24"/>
          <w:szCs w:val="24"/>
        </w:rPr>
        <w:t>.</w:t>
      </w:r>
      <w:bookmarkEnd w:id="15"/>
    </w:p>
    <w:p w14:paraId="2F0C0F77" w14:textId="77777777" w:rsidR="00D16838" w:rsidRPr="00DB638E" w:rsidRDefault="00D16838" w:rsidP="003D0BA9">
      <w:pPr>
        <w:spacing w:line="240" w:lineRule="auto"/>
        <w:contextualSpacing/>
        <w:jc w:val="both"/>
        <w:rPr>
          <w:rFonts w:ascii="Times New Roman" w:hAnsi="Times New Roman"/>
          <w:sz w:val="24"/>
          <w:szCs w:val="24"/>
          <w:u w:val="single"/>
        </w:rPr>
      </w:pPr>
      <w:r w:rsidRPr="00DB638E">
        <w:rPr>
          <w:rFonts w:ascii="Times New Roman" w:hAnsi="Times New Roman"/>
          <w:sz w:val="24"/>
          <w:szCs w:val="24"/>
          <w:u w:val="single"/>
        </w:rPr>
        <w:t>Натрий</w:t>
      </w:r>
    </w:p>
    <w:p w14:paraId="7CBA07FE" w14:textId="77777777" w:rsidR="003D0BA9" w:rsidRPr="00DB638E" w:rsidRDefault="00D16838" w:rsidP="0078568D">
      <w:pPr>
        <w:spacing w:after="0" w:line="240" w:lineRule="auto"/>
        <w:jc w:val="both"/>
        <w:rPr>
          <w:rFonts w:ascii="Times New Roman" w:eastAsia="Times New Roman" w:hAnsi="Times New Roman"/>
          <w:bCs/>
          <w:sz w:val="24"/>
          <w:szCs w:val="24"/>
          <w:lang w:eastAsia="ru-RU"/>
        </w:rPr>
      </w:pPr>
      <w:r w:rsidRPr="00DB638E">
        <w:rPr>
          <w:rFonts w:ascii="Times New Roman" w:eastAsia="Times New Roman" w:hAnsi="Times New Roman"/>
          <w:bCs/>
          <w:sz w:val="24"/>
          <w:szCs w:val="24"/>
          <w:lang w:eastAsia="ru-RU"/>
        </w:rPr>
        <w:t xml:space="preserve">Препарат </w:t>
      </w:r>
      <w:r w:rsidR="00C335EE" w:rsidRPr="00DB638E">
        <w:rPr>
          <w:rFonts w:ascii="Times New Roman" w:eastAsia="Times New Roman" w:hAnsi="Times New Roman"/>
          <w:bCs/>
          <w:sz w:val="24"/>
          <w:szCs w:val="24"/>
          <w:lang w:eastAsia="ru-RU"/>
        </w:rPr>
        <w:t>Кабозаниб</w:t>
      </w:r>
      <w:r w:rsidRPr="00DB638E">
        <w:rPr>
          <w:rFonts w:ascii="Times New Roman" w:eastAsia="Times New Roman" w:hAnsi="Times New Roman"/>
          <w:bCs/>
          <w:sz w:val="24"/>
          <w:szCs w:val="24"/>
          <w:lang w:eastAsia="ru-RU"/>
        </w:rPr>
        <w:t xml:space="preserve"> содержит в своем составе менее 1 ммоль натрия на таблетку. Исходя из этого количества, можно считать, что препарат «свободен натрия».</w:t>
      </w:r>
    </w:p>
    <w:p w14:paraId="07D18B38" w14:textId="77777777" w:rsidR="00D16838" w:rsidRPr="00DB638E" w:rsidRDefault="00D16838" w:rsidP="0078568D">
      <w:pPr>
        <w:spacing w:after="0" w:line="240" w:lineRule="auto"/>
        <w:jc w:val="both"/>
        <w:rPr>
          <w:rFonts w:ascii="Times New Roman" w:eastAsia="Times New Roman" w:hAnsi="Times New Roman"/>
          <w:b/>
          <w:sz w:val="24"/>
          <w:szCs w:val="24"/>
          <w:lang w:eastAsia="ru-RU"/>
        </w:rPr>
      </w:pPr>
    </w:p>
    <w:p w14:paraId="0CD6A536" w14:textId="77777777" w:rsidR="007D0E84" w:rsidRPr="00DB638E" w:rsidRDefault="00DB406A" w:rsidP="0078568D">
      <w:pPr>
        <w:spacing w:after="0" w:line="240" w:lineRule="auto"/>
        <w:jc w:val="both"/>
        <w:rPr>
          <w:rFonts w:ascii="Times New Roman" w:eastAsia="Times New Roman" w:hAnsi="Times New Roman"/>
          <w:b/>
          <w:sz w:val="24"/>
          <w:szCs w:val="24"/>
          <w:lang w:eastAsia="ru-RU"/>
        </w:rPr>
      </w:pPr>
      <w:r w:rsidRPr="00DB638E">
        <w:rPr>
          <w:rFonts w:ascii="Times New Roman" w:eastAsia="Times New Roman" w:hAnsi="Times New Roman"/>
          <w:b/>
          <w:sz w:val="24"/>
          <w:szCs w:val="24"/>
          <w:lang w:eastAsia="ru-RU"/>
        </w:rPr>
        <w:t>4.</w:t>
      </w:r>
      <w:r w:rsidR="00B05BD1" w:rsidRPr="00DB638E">
        <w:rPr>
          <w:rFonts w:ascii="Times New Roman" w:eastAsia="Times New Roman" w:hAnsi="Times New Roman"/>
          <w:b/>
          <w:sz w:val="24"/>
          <w:szCs w:val="24"/>
          <w:lang w:eastAsia="ru-RU"/>
        </w:rPr>
        <w:t>5</w:t>
      </w:r>
      <w:r w:rsidRPr="00DB638E">
        <w:rPr>
          <w:rFonts w:ascii="Times New Roman" w:eastAsia="Times New Roman" w:hAnsi="Times New Roman"/>
          <w:b/>
          <w:sz w:val="24"/>
          <w:szCs w:val="24"/>
          <w:lang w:eastAsia="ru-RU"/>
        </w:rPr>
        <w:t xml:space="preserve"> </w:t>
      </w:r>
      <w:r w:rsidR="007D0E84" w:rsidRPr="00DB638E">
        <w:rPr>
          <w:rFonts w:ascii="Times New Roman" w:eastAsia="Times New Roman" w:hAnsi="Times New Roman"/>
          <w:b/>
          <w:sz w:val="24"/>
          <w:szCs w:val="24"/>
          <w:lang w:eastAsia="ru-RU"/>
        </w:rPr>
        <w:t>Взаимодействия с другими лекарственными препаратами</w:t>
      </w:r>
      <w:r w:rsidR="005D66F3" w:rsidRPr="00DB638E">
        <w:rPr>
          <w:rFonts w:ascii="Times New Roman" w:eastAsia="Times New Roman" w:hAnsi="Times New Roman"/>
          <w:b/>
          <w:sz w:val="24"/>
          <w:szCs w:val="24"/>
          <w:lang w:eastAsia="ru-RU"/>
        </w:rPr>
        <w:t xml:space="preserve"> и другие виды взаимодействия</w:t>
      </w:r>
    </w:p>
    <w:p w14:paraId="218CAF22" w14:textId="77777777" w:rsidR="003D0BA9" w:rsidRPr="00DB638E" w:rsidRDefault="003D0BA9" w:rsidP="003D0BA9">
      <w:pPr>
        <w:spacing w:line="240" w:lineRule="auto"/>
        <w:contextualSpacing/>
        <w:rPr>
          <w:rFonts w:ascii="Times New Roman" w:hAnsi="Times New Roman"/>
          <w:sz w:val="24"/>
          <w:szCs w:val="24"/>
          <w:u w:val="single"/>
        </w:rPr>
      </w:pPr>
      <w:r w:rsidRPr="00DB638E">
        <w:rPr>
          <w:rFonts w:ascii="Times New Roman" w:hAnsi="Times New Roman"/>
          <w:sz w:val="24"/>
          <w:szCs w:val="24"/>
          <w:u w:val="single"/>
        </w:rPr>
        <w:t>Влияние других лекарственных препаратов на кабозантиниб.</w:t>
      </w:r>
    </w:p>
    <w:p w14:paraId="2D276CC4" w14:textId="77777777" w:rsidR="003D0BA9" w:rsidRPr="00DB638E" w:rsidRDefault="003D0BA9" w:rsidP="003D0BA9">
      <w:pPr>
        <w:spacing w:after="0" w:line="240" w:lineRule="auto"/>
        <w:contextualSpacing/>
        <w:rPr>
          <w:rFonts w:ascii="Times New Roman" w:hAnsi="Times New Roman"/>
          <w:i/>
          <w:sz w:val="24"/>
          <w:szCs w:val="24"/>
        </w:rPr>
      </w:pPr>
      <w:r w:rsidRPr="00DB638E">
        <w:rPr>
          <w:rFonts w:ascii="Times New Roman" w:hAnsi="Times New Roman"/>
          <w:i/>
          <w:sz w:val="24"/>
          <w:szCs w:val="24"/>
        </w:rPr>
        <w:t>Ингибиторы и индукторы CYP3A4</w:t>
      </w:r>
    </w:p>
    <w:p w14:paraId="5C8464A2"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Одновременное применение мощного ингибитора CYP3A4 кетоконазола (400 мг в день в течение 27 дней) здоровыми добровольцами с однократным введением кабозантиниба уменьшало клиренс кабозантиниба (на 29 %) и повышало экспозицию кабозантиниба в плазме крови (AUC увеличивалась на 38 %). Следует соблюдать осторожность при одновременном применении мощных ингибиторов CYP3A4 (например, ритонавир, итраконазол, эритромицин, кларитромицин, грейпфрутовый сок) с кабозантинибом.</w:t>
      </w:r>
    </w:p>
    <w:p w14:paraId="5E1574FD" w14:textId="54C1FE20"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Одновременное применение мощного индуктора CYP3A4 рифампицина (600 мг ежедневно в течение 31 дня) здоровыми добровольцами с однократным введением кабозантиниба увеличивало клиренс кабозантиниба (в</w:t>
      </w:r>
      <w:r w:rsidR="0096629A" w:rsidRPr="00DB638E">
        <w:rPr>
          <w:rFonts w:ascii="Times New Roman" w:hAnsi="Times New Roman"/>
          <w:sz w:val="24"/>
          <w:szCs w:val="24"/>
        </w:rPr>
        <w:t xml:space="preserve"> </w:t>
      </w:r>
      <w:r w:rsidRPr="00DB638E">
        <w:rPr>
          <w:rFonts w:ascii="Times New Roman" w:hAnsi="Times New Roman"/>
          <w:sz w:val="24"/>
          <w:szCs w:val="24"/>
        </w:rPr>
        <w:t xml:space="preserve">4,3 раза) и уменьшало экспозицию </w:t>
      </w:r>
      <w:r w:rsidRPr="00DB638E">
        <w:rPr>
          <w:rFonts w:ascii="Times New Roman" w:hAnsi="Times New Roman"/>
          <w:sz w:val="24"/>
          <w:szCs w:val="24"/>
        </w:rPr>
        <w:lastRenderedPageBreak/>
        <w:t>кабозантиниба в плазме крови (AUC уменьшалась на 77 %). Следует избегать постоянного совместного применения мощных индукторов CYP3A4 (например, фенитоин, карбамазепин, рифампицин, фенобарбитал или растительные препараты, содержащие зверобой продырявленный [Hypericum perforatum]) с кабозантинибом.</w:t>
      </w:r>
    </w:p>
    <w:p w14:paraId="7835FB74" w14:textId="77777777" w:rsidR="003D0BA9" w:rsidRPr="00DB638E" w:rsidRDefault="003D0BA9" w:rsidP="003D0BA9">
      <w:pPr>
        <w:spacing w:after="0" w:line="240" w:lineRule="auto"/>
        <w:contextualSpacing/>
        <w:jc w:val="both"/>
        <w:rPr>
          <w:rFonts w:ascii="Times New Roman" w:hAnsi="Times New Roman"/>
          <w:i/>
          <w:sz w:val="24"/>
          <w:szCs w:val="24"/>
        </w:rPr>
      </w:pPr>
      <w:r w:rsidRPr="00DB638E">
        <w:rPr>
          <w:rFonts w:ascii="Times New Roman" w:hAnsi="Times New Roman"/>
          <w:i/>
          <w:sz w:val="24"/>
          <w:szCs w:val="24"/>
        </w:rPr>
        <w:t>Препараты, изменяющие рН желудочного сока</w:t>
      </w:r>
    </w:p>
    <w:p w14:paraId="49FC8069"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Совместное применение ингибитора протонной помпы эзомепразола (40 мг в день в течение 6 дней) с разовой дозой кабозантиниба 100 мг у здоровых добровольцев не приводило к клинически значимому влиянию на экспозицию кабозантиниба в плазме крови (AUC). Коррекция дозы не требуется при совместном применении препаратов, изменяющих рН желудочного сока (ингибиторы протонной помпы, антагонисты Н2-гистаминовых рецепторов и антациды), с кабозантинибом.</w:t>
      </w:r>
    </w:p>
    <w:p w14:paraId="76D70BF1" w14:textId="77777777" w:rsidR="003D0BA9" w:rsidRPr="00DB638E" w:rsidRDefault="003D0BA9" w:rsidP="003D0BA9">
      <w:pPr>
        <w:spacing w:after="0" w:line="240" w:lineRule="auto"/>
        <w:contextualSpacing/>
        <w:jc w:val="both"/>
        <w:rPr>
          <w:rFonts w:ascii="Times New Roman" w:hAnsi="Times New Roman"/>
          <w:i/>
          <w:sz w:val="24"/>
          <w:szCs w:val="24"/>
        </w:rPr>
      </w:pPr>
      <w:r w:rsidRPr="00DB638E">
        <w:rPr>
          <w:rFonts w:ascii="Times New Roman" w:hAnsi="Times New Roman"/>
          <w:i/>
          <w:sz w:val="24"/>
          <w:szCs w:val="24"/>
        </w:rPr>
        <w:t>Ингибиторы MRP2</w:t>
      </w:r>
    </w:p>
    <w:p w14:paraId="32F2078D"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Данные </w:t>
      </w:r>
      <w:r w:rsidRPr="00DB638E">
        <w:rPr>
          <w:rFonts w:ascii="Times New Roman" w:hAnsi="Times New Roman"/>
          <w:i/>
          <w:iCs/>
          <w:sz w:val="24"/>
          <w:szCs w:val="24"/>
        </w:rPr>
        <w:t>in vitro</w:t>
      </w:r>
      <w:r w:rsidRPr="00DB638E">
        <w:rPr>
          <w:rFonts w:ascii="Times New Roman" w:hAnsi="Times New Roman"/>
          <w:sz w:val="24"/>
          <w:szCs w:val="24"/>
        </w:rPr>
        <w:t xml:space="preserve"> демонстрируют, что кабозантиниб является субстратом MRP2. Поэтому введение ингибиторов MRP2 может привезти к повышению концентрации кабозантиниба в плазме крови.</w:t>
      </w:r>
    </w:p>
    <w:p w14:paraId="0A186E63" w14:textId="77777777" w:rsidR="003D0BA9" w:rsidRPr="00DB638E" w:rsidRDefault="003D0BA9" w:rsidP="003D0BA9">
      <w:pPr>
        <w:spacing w:after="0" w:line="240" w:lineRule="auto"/>
        <w:contextualSpacing/>
        <w:jc w:val="both"/>
        <w:rPr>
          <w:rFonts w:ascii="Times New Roman" w:hAnsi="Times New Roman"/>
          <w:i/>
          <w:sz w:val="24"/>
          <w:szCs w:val="24"/>
        </w:rPr>
      </w:pPr>
      <w:r w:rsidRPr="00DB638E">
        <w:rPr>
          <w:rFonts w:ascii="Times New Roman" w:hAnsi="Times New Roman"/>
          <w:i/>
          <w:sz w:val="24"/>
          <w:szCs w:val="24"/>
        </w:rPr>
        <w:t>Секвестранты желчных кислот</w:t>
      </w:r>
    </w:p>
    <w:p w14:paraId="664F8E59" w14:textId="77777777" w:rsidR="003D0BA9" w:rsidRPr="00DB638E" w:rsidRDefault="003D0BA9" w:rsidP="003D0BA9">
      <w:pPr>
        <w:spacing w:after="0" w:line="240" w:lineRule="auto"/>
        <w:contextualSpacing/>
        <w:jc w:val="both"/>
        <w:rPr>
          <w:rFonts w:ascii="Times New Roman" w:hAnsi="Times New Roman"/>
          <w:sz w:val="24"/>
          <w:szCs w:val="24"/>
        </w:rPr>
      </w:pPr>
      <w:r w:rsidRPr="00DB638E">
        <w:rPr>
          <w:rFonts w:ascii="Times New Roman" w:hAnsi="Times New Roman"/>
          <w:sz w:val="24"/>
          <w:szCs w:val="24"/>
        </w:rPr>
        <w:t>Препараты, связывающие соли желчных кислот, такие как колестирамин и колестагель, могут взаимодействовать с кабозантинибом и влиять на его абсорбцию (или реабсорбцию), что приводит к потенциальному уменьшению экспозиции в плазме крови (см. раздел 5.2). Клиническое значение этого потенциального взаимодействия неизвестно.</w:t>
      </w:r>
    </w:p>
    <w:p w14:paraId="1514E9FD" w14:textId="77777777" w:rsidR="003D0BA9" w:rsidRPr="00DB638E" w:rsidRDefault="003D0BA9" w:rsidP="003D0BA9">
      <w:pPr>
        <w:spacing w:after="0" w:line="240" w:lineRule="auto"/>
        <w:contextualSpacing/>
        <w:jc w:val="both"/>
        <w:rPr>
          <w:rFonts w:ascii="Times New Roman" w:hAnsi="Times New Roman"/>
          <w:sz w:val="24"/>
          <w:szCs w:val="24"/>
          <w:u w:val="single"/>
        </w:rPr>
      </w:pPr>
      <w:bookmarkStart w:id="16" w:name="_Hlk75274899"/>
      <w:r w:rsidRPr="00DB638E">
        <w:rPr>
          <w:rFonts w:ascii="Times New Roman" w:hAnsi="Times New Roman"/>
          <w:sz w:val="24"/>
          <w:szCs w:val="24"/>
          <w:u w:val="single"/>
        </w:rPr>
        <w:t>Влияние кабозантиниба на другие лекарственные препараты.</w:t>
      </w:r>
    </w:p>
    <w:p w14:paraId="5E6159D6" w14:textId="77777777" w:rsidR="003D0BA9" w:rsidRPr="00DB638E" w:rsidRDefault="003D0BA9" w:rsidP="003D0BA9">
      <w:pPr>
        <w:spacing w:after="0" w:line="240" w:lineRule="auto"/>
        <w:contextualSpacing/>
        <w:jc w:val="both"/>
        <w:rPr>
          <w:rFonts w:ascii="Times New Roman" w:hAnsi="Times New Roman"/>
          <w:sz w:val="24"/>
          <w:szCs w:val="24"/>
        </w:rPr>
      </w:pPr>
      <w:r w:rsidRPr="00DB638E">
        <w:rPr>
          <w:rFonts w:ascii="Times New Roman" w:hAnsi="Times New Roman"/>
          <w:sz w:val="24"/>
          <w:szCs w:val="24"/>
        </w:rPr>
        <w:t>Влияние кабозантиниба на фармакокинетику гормональных конрацептивов не изучалось. Поскольку контрацептивный эффект не может быть полностью гарантирован, рекомендуется использовать дополнительный метод контрацепции, такой как барьерный метод.</w:t>
      </w:r>
    </w:p>
    <w:bookmarkEnd w:id="16"/>
    <w:p w14:paraId="7D6BECEC" w14:textId="500FF61D" w:rsidR="00F74FD2" w:rsidRPr="00DB638E" w:rsidRDefault="00F74FD2"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Влияние кабозантиниба на фармакокинетику варфарина не исследовалось. Возможно взаимодействие с варфарином. В случае такой комбинации следует контролировать значения международного нормализованного отношения.</w:t>
      </w:r>
    </w:p>
    <w:p w14:paraId="09293B63" w14:textId="77777777" w:rsidR="003D0BA9" w:rsidRPr="00DB638E" w:rsidRDefault="003D0BA9" w:rsidP="003D0BA9">
      <w:pPr>
        <w:spacing w:after="0" w:line="240" w:lineRule="auto"/>
        <w:contextualSpacing/>
        <w:jc w:val="both"/>
        <w:rPr>
          <w:rFonts w:ascii="Times New Roman" w:hAnsi="Times New Roman"/>
          <w:i/>
          <w:sz w:val="24"/>
          <w:szCs w:val="24"/>
        </w:rPr>
      </w:pPr>
      <w:r w:rsidRPr="00DB638E">
        <w:rPr>
          <w:rFonts w:ascii="Times New Roman" w:hAnsi="Times New Roman"/>
          <w:i/>
          <w:sz w:val="24"/>
          <w:szCs w:val="24"/>
        </w:rPr>
        <w:t>Субстраты Р-гликопротеина</w:t>
      </w:r>
    </w:p>
    <w:p w14:paraId="0DD7EF01"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Кабозантиниб является ингибитором (IC</w:t>
      </w:r>
      <w:r w:rsidRPr="00DB638E">
        <w:rPr>
          <w:rFonts w:ascii="Times New Roman" w:hAnsi="Times New Roman"/>
          <w:sz w:val="24"/>
          <w:szCs w:val="24"/>
          <w:vertAlign w:val="subscript"/>
        </w:rPr>
        <w:t>50</w:t>
      </w:r>
      <w:r w:rsidRPr="00DB638E">
        <w:rPr>
          <w:rFonts w:ascii="Times New Roman" w:hAnsi="Times New Roman"/>
          <w:sz w:val="24"/>
          <w:szCs w:val="24"/>
        </w:rPr>
        <w:t xml:space="preserve"> = 7,0 мкМ), но не субстратом, транспортной активности P-гликопротеина в системе двунаправленного анализа с использованием MDCK-MDR1-клеток. Таким образом, кабозантиниб может увеличивать концентрации в плазме крови совместно применяемых субстратов P-гликопротеина. Пациенты должны быть предупреждены о возможном взаимодействии при одновременном применении кабозантиниба и субстратов P-гликопротеина (например, фексофенадин, алискирен, амбрисентан, дабигатрана этексилат, дигоксин, колхицин, маравирок, позаконазол, ранолазин, саксаглиптин, ситаглиптин, талинолол, толваптан).</w:t>
      </w:r>
    </w:p>
    <w:p w14:paraId="2FF8A905" w14:textId="77777777" w:rsidR="00CE7F7F" w:rsidRPr="00DB638E" w:rsidRDefault="00CE7F7F" w:rsidP="0078568D">
      <w:pPr>
        <w:spacing w:after="0" w:line="240" w:lineRule="auto"/>
        <w:jc w:val="both"/>
        <w:rPr>
          <w:rFonts w:ascii="Times New Roman" w:eastAsia="Times New Roman" w:hAnsi="Times New Roman"/>
          <w:b/>
          <w:sz w:val="24"/>
          <w:szCs w:val="24"/>
          <w:lang w:eastAsia="ru-RU"/>
        </w:rPr>
      </w:pPr>
    </w:p>
    <w:p w14:paraId="7178EC5F" w14:textId="77777777" w:rsidR="00B05BD1" w:rsidRPr="00DB638E" w:rsidRDefault="00B05BD1" w:rsidP="0078568D">
      <w:pPr>
        <w:spacing w:after="0" w:line="240" w:lineRule="auto"/>
        <w:jc w:val="both"/>
        <w:rPr>
          <w:rFonts w:ascii="Times New Roman" w:eastAsia="Times New Roman" w:hAnsi="Times New Roman"/>
          <w:b/>
          <w:sz w:val="24"/>
          <w:szCs w:val="24"/>
          <w:lang w:eastAsia="ru-RU"/>
        </w:rPr>
      </w:pPr>
      <w:r w:rsidRPr="00DB638E">
        <w:rPr>
          <w:rFonts w:ascii="Times New Roman" w:eastAsia="Times New Roman" w:hAnsi="Times New Roman"/>
          <w:b/>
          <w:sz w:val="24"/>
          <w:szCs w:val="24"/>
          <w:lang w:eastAsia="ru-RU"/>
        </w:rPr>
        <w:t xml:space="preserve">4.6 </w:t>
      </w:r>
      <w:r w:rsidRPr="00DB638E">
        <w:rPr>
          <w:rFonts w:ascii="Times New Roman" w:eastAsia="Times New Roman" w:hAnsi="Times New Roman" w:hint="eastAsia"/>
          <w:b/>
          <w:sz w:val="24"/>
          <w:szCs w:val="24"/>
          <w:lang w:eastAsia="ru-RU"/>
        </w:rPr>
        <w:t>Фертильность</w:t>
      </w:r>
      <w:r w:rsidRPr="00DB638E">
        <w:rPr>
          <w:rFonts w:ascii="Times New Roman" w:eastAsia="Times New Roman" w:hAnsi="Times New Roman"/>
          <w:b/>
          <w:sz w:val="24"/>
          <w:szCs w:val="24"/>
          <w:lang w:eastAsia="ru-RU"/>
        </w:rPr>
        <w:t xml:space="preserve">, </w:t>
      </w:r>
      <w:r w:rsidRPr="00DB638E">
        <w:rPr>
          <w:rFonts w:ascii="Times New Roman" w:eastAsia="Times New Roman" w:hAnsi="Times New Roman" w:hint="eastAsia"/>
          <w:b/>
          <w:sz w:val="24"/>
          <w:szCs w:val="24"/>
          <w:lang w:eastAsia="ru-RU"/>
        </w:rPr>
        <w:t>беременность</w:t>
      </w:r>
      <w:r w:rsidRPr="00DB638E">
        <w:rPr>
          <w:rFonts w:ascii="Times New Roman" w:eastAsia="Times New Roman" w:hAnsi="Times New Roman"/>
          <w:b/>
          <w:sz w:val="24"/>
          <w:szCs w:val="24"/>
          <w:lang w:eastAsia="ru-RU"/>
        </w:rPr>
        <w:t xml:space="preserve"> </w:t>
      </w:r>
      <w:r w:rsidRPr="00DB638E">
        <w:rPr>
          <w:rFonts w:ascii="Times New Roman" w:eastAsia="Times New Roman" w:hAnsi="Times New Roman" w:hint="eastAsia"/>
          <w:b/>
          <w:sz w:val="24"/>
          <w:szCs w:val="24"/>
          <w:lang w:eastAsia="ru-RU"/>
        </w:rPr>
        <w:t>и</w:t>
      </w:r>
      <w:r w:rsidRPr="00DB638E">
        <w:rPr>
          <w:rFonts w:ascii="Times New Roman" w:eastAsia="Times New Roman" w:hAnsi="Times New Roman"/>
          <w:b/>
          <w:sz w:val="24"/>
          <w:szCs w:val="24"/>
          <w:lang w:eastAsia="ru-RU"/>
        </w:rPr>
        <w:t xml:space="preserve"> </w:t>
      </w:r>
      <w:r w:rsidRPr="00DB638E">
        <w:rPr>
          <w:rFonts w:ascii="Times New Roman" w:eastAsia="Times New Roman" w:hAnsi="Times New Roman" w:hint="eastAsia"/>
          <w:b/>
          <w:sz w:val="24"/>
          <w:szCs w:val="24"/>
          <w:lang w:eastAsia="ru-RU"/>
        </w:rPr>
        <w:t>лактация</w:t>
      </w:r>
    </w:p>
    <w:p w14:paraId="4710E442" w14:textId="77777777" w:rsidR="003D0BA9" w:rsidRPr="00DB638E" w:rsidRDefault="003D0BA9" w:rsidP="003D0BA9">
      <w:pPr>
        <w:spacing w:line="240" w:lineRule="auto"/>
        <w:contextualSpacing/>
        <w:jc w:val="both"/>
        <w:rPr>
          <w:rFonts w:ascii="Times New Roman" w:hAnsi="Times New Roman"/>
          <w:sz w:val="24"/>
          <w:szCs w:val="24"/>
        </w:rPr>
      </w:pPr>
      <w:r w:rsidRPr="00DB638E">
        <w:rPr>
          <w:rFonts w:ascii="Times New Roman" w:hAnsi="Times New Roman"/>
          <w:sz w:val="24"/>
          <w:szCs w:val="24"/>
        </w:rPr>
        <w:t>Женщинам репродуктивного возраста следует избегать беременности во время лечения кабозантинибом. Женщины-партнеры мужчин, получающих кабозантиниб, также должны избегать беременности. Эффективные методы контрацепции должны использоваться пациентами мужского и женского пола и их партнерами во время терапии и в течение как минимум 4 месяцев после завершения терапии. Поскольку пероральные контрацептивы не могут считаться «эффективными методами контрацепции», их следует использовать вместе с другим методом, таким как барьерный метод (см. раздел 4.5).</w:t>
      </w:r>
    </w:p>
    <w:p w14:paraId="6E11999B" w14:textId="77777777" w:rsidR="003D0BA9" w:rsidRPr="00DB638E" w:rsidRDefault="003D0BA9" w:rsidP="003D0BA9">
      <w:pPr>
        <w:tabs>
          <w:tab w:val="left" w:pos="1251"/>
        </w:tabs>
        <w:kinsoku w:val="0"/>
        <w:overflowPunct w:val="0"/>
        <w:spacing w:after="0" w:line="240" w:lineRule="auto"/>
        <w:contextualSpacing/>
        <w:jc w:val="both"/>
        <w:rPr>
          <w:rFonts w:ascii="Times New Roman" w:hAnsi="Times New Roman"/>
          <w:i/>
          <w:sz w:val="24"/>
          <w:szCs w:val="24"/>
        </w:rPr>
      </w:pPr>
      <w:r w:rsidRPr="00DB638E">
        <w:rPr>
          <w:rFonts w:ascii="Times New Roman" w:hAnsi="Times New Roman"/>
          <w:bCs/>
          <w:i/>
          <w:sz w:val="24"/>
          <w:szCs w:val="24"/>
        </w:rPr>
        <w:t>Беременность</w:t>
      </w:r>
      <w:r w:rsidRPr="00DB638E">
        <w:rPr>
          <w:rFonts w:ascii="Times New Roman" w:hAnsi="Times New Roman"/>
          <w:i/>
          <w:sz w:val="24"/>
          <w:szCs w:val="24"/>
        </w:rPr>
        <w:t xml:space="preserve"> </w:t>
      </w:r>
    </w:p>
    <w:p w14:paraId="343EC326" w14:textId="77777777" w:rsidR="003D0BA9" w:rsidRPr="00DB638E" w:rsidRDefault="003D0BA9" w:rsidP="003D0BA9">
      <w:pPr>
        <w:spacing w:line="240" w:lineRule="auto"/>
        <w:contextualSpacing/>
        <w:jc w:val="both"/>
        <w:rPr>
          <w:rFonts w:ascii="Times New Roman" w:hAnsi="Times New Roman"/>
          <w:sz w:val="24"/>
          <w:szCs w:val="24"/>
        </w:rPr>
      </w:pPr>
      <w:bookmarkStart w:id="17" w:name="4.6.3_Lactation"/>
      <w:bookmarkStart w:id="18" w:name="_Hlk74921517"/>
      <w:bookmarkEnd w:id="17"/>
      <w:r w:rsidRPr="00DB638E">
        <w:rPr>
          <w:rFonts w:ascii="Times New Roman" w:hAnsi="Times New Roman"/>
          <w:sz w:val="24"/>
          <w:szCs w:val="24"/>
        </w:rPr>
        <w:t xml:space="preserve">Исследования кабозантиниба у беременных женщин не проводились. Исследования на животных показали эмбриофетальный и тератогенный эффекты (см. раздел 5.3). Потенциальный риск для человека неизвестен. Кабозантиниб не следует использовать во </w:t>
      </w:r>
      <w:r w:rsidRPr="00DB638E">
        <w:rPr>
          <w:rFonts w:ascii="Times New Roman" w:hAnsi="Times New Roman"/>
          <w:sz w:val="24"/>
          <w:szCs w:val="24"/>
        </w:rPr>
        <w:lastRenderedPageBreak/>
        <w:t>время беременности, только если клиническое состояние женщины не требует лечения кабозантинибом.</w:t>
      </w:r>
    </w:p>
    <w:bookmarkEnd w:id="18"/>
    <w:p w14:paraId="66D15BC0" w14:textId="77777777" w:rsidR="003D0BA9" w:rsidRPr="00DB638E" w:rsidRDefault="003D0BA9" w:rsidP="003D0BA9">
      <w:pPr>
        <w:tabs>
          <w:tab w:val="left" w:pos="1251"/>
        </w:tabs>
        <w:kinsoku w:val="0"/>
        <w:overflowPunct w:val="0"/>
        <w:spacing w:after="0" w:line="240" w:lineRule="auto"/>
        <w:contextualSpacing/>
        <w:jc w:val="both"/>
        <w:rPr>
          <w:rFonts w:ascii="Times New Roman" w:hAnsi="Times New Roman"/>
          <w:sz w:val="24"/>
          <w:szCs w:val="24"/>
        </w:rPr>
      </w:pPr>
      <w:r w:rsidRPr="00DB638E">
        <w:rPr>
          <w:rFonts w:ascii="Times New Roman" w:hAnsi="Times New Roman"/>
          <w:bCs/>
          <w:i/>
          <w:sz w:val="24"/>
          <w:szCs w:val="24"/>
        </w:rPr>
        <w:t>Период лактации</w:t>
      </w:r>
    </w:p>
    <w:p w14:paraId="08B9B184" w14:textId="77777777" w:rsidR="003D0BA9" w:rsidRPr="00DB638E" w:rsidRDefault="003D0BA9" w:rsidP="003D0BA9">
      <w:pPr>
        <w:spacing w:line="240" w:lineRule="auto"/>
        <w:contextualSpacing/>
        <w:jc w:val="both"/>
        <w:rPr>
          <w:rFonts w:ascii="Times New Roman" w:hAnsi="Times New Roman"/>
          <w:sz w:val="24"/>
          <w:szCs w:val="24"/>
        </w:rPr>
      </w:pPr>
      <w:bookmarkStart w:id="19" w:name="4.6.4_Fertility"/>
      <w:bookmarkStart w:id="20" w:name="_Hlk74921529"/>
      <w:bookmarkEnd w:id="19"/>
      <w:r w:rsidRPr="00DB638E">
        <w:rPr>
          <w:rFonts w:ascii="Times New Roman" w:hAnsi="Times New Roman"/>
          <w:sz w:val="24"/>
          <w:szCs w:val="24"/>
        </w:rPr>
        <w:t>Неизвестно, происходит ли экскреция кабозантиниба и/или его метаболитов с грудным молоком. Из-за потенциального вреда для ребенка следует прекратить грудное вскармливание во время лечения кабозантинибом и в течение как минимум 4 месяцев после завершения терапии.</w:t>
      </w:r>
    </w:p>
    <w:bookmarkEnd w:id="20"/>
    <w:p w14:paraId="56DBC37C" w14:textId="77777777" w:rsidR="003D0BA9" w:rsidRPr="00DB638E" w:rsidRDefault="003D0BA9" w:rsidP="003D0BA9">
      <w:pPr>
        <w:tabs>
          <w:tab w:val="left" w:pos="1251"/>
        </w:tabs>
        <w:kinsoku w:val="0"/>
        <w:overflowPunct w:val="0"/>
        <w:spacing w:after="0" w:line="240" w:lineRule="auto"/>
        <w:contextualSpacing/>
        <w:jc w:val="both"/>
        <w:rPr>
          <w:rFonts w:ascii="Times New Roman" w:hAnsi="Times New Roman"/>
          <w:i/>
          <w:sz w:val="24"/>
          <w:szCs w:val="24"/>
        </w:rPr>
      </w:pPr>
      <w:r w:rsidRPr="00DB638E">
        <w:rPr>
          <w:rFonts w:ascii="Times New Roman" w:hAnsi="Times New Roman"/>
          <w:bCs/>
          <w:i/>
          <w:sz w:val="24"/>
          <w:szCs w:val="24"/>
        </w:rPr>
        <w:t xml:space="preserve">Фертильность </w:t>
      </w:r>
    </w:p>
    <w:p w14:paraId="47E73E2B" w14:textId="313EFCEC" w:rsidR="003D0BA9" w:rsidRPr="00DB638E" w:rsidRDefault="003D0BA9" w:rsidP="003D0BA9">
      <w:pPr>
        <w:spacing w:line="240" w:lineRule="auto"/>
        <w:contextualSpacing/>
        <w:jc w:val="both"/>
        <w:rPr>
          <w:rFonts w:ascii="Times New Roman" w:hAnsi="Times New Roman"/>
          <w:sz w:val="24"/>
          <w:szCs w:val="24"/>
        </w:rPr>
      </w:pPr>
      <w:bookmarkStart w:id="21" w:name="_Hlk74921536"/>
      <w:r w:rsidRPr="00DB638E">
        <w:rPr>
          <w:rFonts w:ascii="Times New Roman" w:hAnsi="Times New Roman"/>
          <w:sz w:val="24"/>
          <w:szCs w:val="24"/>
        </w:rPr>
        <w:t>Данные о влиянии на фертильность отсутствуют. Основываясь на доклинических данных по безопасности, фертильность мужчин и женщин может быть нарушена на фоне лечения кабозантинибом (см. раздел 5.3). И мужчинам, и женщинам следует обратиться за консультацией специалиста и рассмотреть вопрос о сохранении репродуктивной функции до начала лечения.</w:t>
      </w:r>
    </w:p>
    <w:bookmarkEnd w:id="21"/>
    <w:p w14:paraId="0D48D476" w14:textId="77777777" w:rsidR="0078568D" w:rsidRPr="00DB638E" w:rsidRDefault="0078568D" w:rsidP="0078568D">
      <w:pPr>
        <w:spacing w:after="0" w:line="240" w:lineRule="auto"/>
        <w:jc w:val="both"/>
        <w:rPr>
          <w:rFonts w:ascii="Times New Roman" w:eastAsia="Times New Roman" w:hAnsi="Times New Roman"/>
          <w:b/>
          <w:iCs/>
          <w:sz w:val="24"/>
          <w:szCs w:val="24"/>
          <w:lang w:eastAsia="ru-RU"/>
        </w:rPr>
      </w:pPr>
    </w:p>
    <w:p w14:paraId="3E0B685E" w14:textId="77777777" w:rsidR="00CE7F7F" w:rsidRPr="00DB638E" w:rsidRDefault="00DB406A" w:rsidP="00CE7F7F">
      <w:pPr>
        <w:spacing w:after="0" w:line="240" w:lineRule="auto"/>
        <w:jc w:val="both"/>
        <w:rPr>
          <w:b/>
          <w:i/>
          <w:sz w:val="24"/>
          <w:szCs w:val="24"/>
        </w:rPr>
      </w:pPr>
      <w:r w:rsidRPr="00DB638E">
        <w:rPr>
          <w:rFonts w:ascii="Times New Roman" w:eastAsia="Times New Roman" w:hAnsi="Times New Roman"/>
          <w:b/>
          <w:sz w:val="24"/>
          <w:szCs w:val="24"/>
          <w:lang w:eastAsia="ru-RU"/>
        </w:rPr>
        <w:t>4.</w:t>
      </w:r>
      <w:r w:rsidR="00B05BD1" w:rsidRPr="00DB638E">
        <w:rPr>
          <w:rFonts w:ascii="Times New Roman" w:eastAsia="Times New Roman" w:hAnsi="Times New Roman"/>
          <w:b/>
          <w:sz w:val="24"/>
          <w:szCs w:val="24"/>
          <w:lang w:eastAsia="ru-RU"/>
        </w:rPr>
        <w:t>7</w:t>
      </w:r>
      <w:r w:rsidRPr="00DB638E">
        <w:rPr>
          <w:rFonts w:ascii="Times New Roman" w:eastAsia="Times New Roman" w:hAnsi="Times New Roman"/>
          <w:b/>
          <w:sz w:val="24"/>
          <w:szCs w:val="24"/>
          <w:lang w:eastAsia="ru-RU"/>
        </w:rPr>
        <w:t xml:space="preserve"> </w:t>
      </w:r>
      <w:r w:rsidR="00B05BD1" w:rsidRPr="00DB638E">
        <w:rPr>
          <w:rFonts w:ascii="Times New Roman" w:eastAsia="Times New Roman" w:hAnsi="Times New Roman"/>
          <w:b/>
          <w:sz w:val="24"/>
          <w:szCs w:val="24"/>
          <w:lang w:eastAsia="ru-RU"/>
        </w:rPr>
        <w:t xml:space="preserve">Влияние на способность управлять транспортными средствами и </w:t>
      </w:r>
      <w:r w:rsidR="00CE7F7F" w:rsidRPr="00DB638E">
        <w:rPr>
          <w:rFonts w:ascii="Times New Roman" w:hAnsi="Times New Roman"/>
          <w:b/>
          <w:sz w:val="24"/>
          <w:szCs w:val="24"/>
        </w:rPr>
        <w:t>потенциально опасными механизмами</w:t>
      </w:r>
      <w:r w:rsidR="00CE7F7F" w:rsidRPr="00DB638E">
        <w:rPr>
          <w:rFonts w:ascii="Times New Roman" w:eastAsia="Times New Roman" w:hAnsi="Times New Roman"/>
          <w:b/>
          <w:sz w:val="24"/>
          <w:szCs w:val="24"/>
          <w:lang w:eastAsia="ru-RU"/>
        </w:rPr>
        <w:t xml:space="preserve"> </w:t>
      </w:r>
      <w:bookmarkStart w:id="22" w:name="2175220282"/>
    </w:p>
    <w:p w14:paraId="56AFAC26" w14:textId="77777777" w:rsidR="003D0BA9" w:rsidRPr="00DB638E" w:rsidRDefault="003D0BA9" w:rsidP="003D0BA9">
      <w:pPr>
        <w:spacing w:after="0" w:line="240" w:lineRule="auto"/>
        <w:jc w:val="both"/>
        <w:rPr>
          <w:rFonts w:ascii="Times New Roman" w:eastAsia="Times New Roman" w:hAnsi="Times New Roman"/>
          <w:sz w:val="24"/>
          <w:szCs w:val="24"/>
          <w:lang w:eastAsia="ru-RU"/>
        </w:rPr>
      </w:pPr>
      <w:bookmarkStart w:id="23" w:name="_Hlk74921553"/>
      <w:r w:rsidRPr="00DB638E">
        <w:rPr>
          <w:rFonts w:ascii="Times New Roman" w:eastAsia="Times New Roman" w:hAnsi="Times New Roman"/>
          <w:sz w:val="24"/>
          <w:szCs w:val="24"/>
          <w:lang w:eastAsia="ru-RU"/>
        </w:rPr>
        <w:t>Кабозантиниб оказывает незначительное влияние на способность управлять транспортными средствами и механизмами. Побочные реакции, такие как усталость и слабость, были связаны с кабозантинибом. Поэтому следует соблюдать осторожность при вождении или эксплуатации механизмов.</w:t>
      </w:r>
    </w:p>
    <w:bookmarkEnd w:id="23"/>
    <w:p w14:paraId="2C6C0B04" w14:textId="77777777" w:rsidR="002E04B7" w:rsidRPr="00DB638E" w:rsidRDefault="002E04B7" w:rsidP="0078568D">
      <w:pPr>
        <w:spacing w:after="0" w:line="240" w:lineRule="auto"/>
        <w:jc w:val="both"/>
        <w:rPr>
          <w:rFonts w:ascii="Times New Roman" w:eastAsia="Times New Roman" w:hAnsi="Times New Roman"/>
          <w:b/>
          <w:sz w:val="24"/>
          <w:szCs w:val="24"/>
          <w:lang w:eastAsia="ru-RU"/>
        </w:rPr>
      </w:pPr>
    </w:p>
    <w:p w14:paraId="47EF70CB" w14:textId="77777777" w:rsidR="009D67EC" w:rsidRPr="00DB638E" w:rsidRDefault="009D67EC" w:rsidP="0078568D">
      <w:pPr>
        <w:spacing w:after="0" w:line="240" w:lineRule="auto"/>
        <w:jc w:val="both"/>
        <w:rPr>
          <w:rFonts w:ascii="Times New Roman" w:hAnsi="Times New Roman"/>
          <w:color w:val="000000"/>
          <w:sz w:val="24"/>
          <w:szCs w:val="24"/>
        </w:rPr>
      </w:pPr>
      <w:r w:rsidRPr="00DB638E">
        <w:rPr>
          <w:rFonts w:ascii="Times New Roman" w:eastAsia="Times New Roman" w:hAnsi="Times New Roman"/>
          <w:b/>
          <w:sz w:val="24"/>
          <w:szCs w:val="24"/>
          <w:lang w:eastAsia="ru-RU"/>
        </w:rPr>
        <w:t>4.8 Нежелательные реакции</w:t>
      </w:r>
      <w:bookmarkEnd w:id="22"/>
    </w:p>
    <w:p w14:paraId="47C6FB81" w14:textId="77777777" w:rsidR="00231A9A" w:rsidRPr="00DB638E" w:rsidRDefault="00231A9A" w:rsidP="00231A9A">
      <w:pPr>
        <w:spacing w:after="0" w:line="240" w:lineRule="auto"/>
        <w:contextualSpacing/>
        <w:jc w:val="both"/>
        <w:rPr>
          <w:rFonts w:ascii="Times New Roman" w:hAnsi="Times New Roman"/>
          <w:i/>
          <w:iCs/>
          <w:sz w:val="24"/>
          <w:szCs w:val="24"/>
        </w:rPr>
      </w:pPr>
      <w:bookmarkStart w:id="24" w:name="_Hlk74923419"/>
      <w:r w:rsidRPr="00DB638E">
        <w:rPr>
          <w:rFonts w:ascii="Times New Roman" w:hAnsi="Times New Roman"/>
          <w:i/>
          <w:iCs/>
          <w:sz w:val="24"/>
          <w:szCs w:val="24"/>
        </w:rPr>
        <w:t>Кабозантиниб в качестве монотерапии</w:t>
      </w:r>
    </w:p>
    <w:p w14:paraId="44FFCB02" w14:textId="77777777" w:rsidR="00231A9A" w:rsidRPr="00DB638E" w:rsidRDefault="00231A9A" w:rsidP="00231A9A">
      <w:pPr>
        <w:spacing w:after="0" w:line="240" w:lineRule="auto"/>
        <w:contextualSpacing/>
        <w:jc w:val="both"/>
        <w:rPr>
          <w:rFonts w:ascii="Times New Roman" w:hAnsi="Times New Roman"/>
          <w:sz w:val="24"/>
          <w:szCs w:val="24"/>
          <w:u w:val="single"/>
        </w:rPr>
      </w:pPr>
      <w:bookmarkStart w:id="25" w:name="_Hlk37746409"/>
      <w:bookmarkEnd w:id="24"/>
      <w:r w:rsidRPr="00DB638E">
        <w:rPr>
          <w:rFonts w:ascii="Times New Roman" w:hAnsi="Times New Roman"/>
          <w:sz w:val="24"/>
          <w:szCs w:val="24"/>
          <w:u w:val="single"/>
        </w:rPr>
        <w:t>Резюме профиля безопасности</w:t>
      </w:r>
    </w:p>
    <w:p w14:paraId="241BF78D" w14:textId="29A74780" w:rsidR="00231A9A" w:rsidRPr="00DB638E" w:rsidRDefault="00231A9A" w:rsidP="00231A9A">
      <w:pPr>
        <w:spacing w:line="240" w:lineRule="auto"/>
        <w:contextualSpacing/>
        <w:jc w:val="both"/>
        <w:rPr>
          <w:rFonts w:ascii="Times New Roman" w:hAnsi="Times New Roman"/>
          <w:sz w:val="24"/>
          <w:szCs w:val="24"/>
        </w:rPr>
      </w:pPr>
      <w:r w:rsidRPr="00DB638E">
        <w:rPr>
          <w:rFonts w:ascii="Times New Roman" w:hAnsi="Times New Roman"/>
          <w:sz w:val="24"/>
          <w:szCs w:val="24"/>
        </w:rPr>
        <w:t>Наиболее распространенными серьезными побочными реакциями</w:t>
      </w:r>
      <w:r w:rsidRPr="00DB638E">
        <w:rPr>
          <w:sz w:val="24"/>
          <w:szCs w:val="24"/>
        </w:rPr>
        <w:t xml:space="preserve"> </w:t>
      </w:r>
      <w:r w:rsidRPr="00DB638E">
        <w:rPr>
          <w:rFonts w:ascii="Times New Roman" w:hAnsi="Times New Roman"/>
          <w:sz w:val="24"/>
          <w:szCs w:val="24"/>
        </w:rPr>
        <w:t xml:space="preserve">в популяции с почечно-клеточным раком (≥1 % частоты возникновения) являются </w:t>
      </w:r>
      <w:r w:rsidR="0060072A" w:rsidRPr="00DB638E">
        <w:rPr>
          <w:rFonts w:ascii="Times New Roman" w:hAnsi="Times New Roman"/>
          <w:sz w:val="24"/>
          <w:szCs w:val="24"/>
        </w:rPr>
        <w:t xml:space="preserve">пневмония, </w:t>
      </w:r>
      <w:r w:rsidRPr="00DB638E">
        <w:rPr>
          <w:rFonts w:ascii="Times New Roman" w:hAnsi="Times New Roman"/>
          <w:sz w:val="24"/>
          <w:szCs w:val="24"/>
        </w:rPr>
        <w:t>боль в животе, диарея, тошнота, повышение артериального давления, эмболия, гипонатриемия, легочная эмболия, рвота, дегидратация, слабость, астения, снижение аппетита, тромбоз глубоких вен, головокружение, гипомагниемия и ладонно-подошвенный синдром (ладонно-подошвенная эритродизестезия).</w:t>
      </w:r>
    </w:p>
    <w:p w14:paraId="5FF49E4F" w14:textId="149729CC" w:rsidR="00231A9A" w:rsidRPr="00DB638E" w:rsidRDefault="00231A9A" w:rsidP="00231A9A">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Наиболее частыми побочными реакциями любого класса (отмечены у не менее, чем 25 % пациентов) в популяции с почечно-клеточным раком были диарея, слабость, тошнота, снижение аппетита, ладонно-подошвенный синдром (ладонно-подошвенная эритродизестезия), повышение артериального давления, снижение массы тела, рвота, дисгевзия, запор и повышение активности АСТ. Повышение артериального давления чаще наблюдалось </w:t>
      </w:r>
      <w:r w:rsidR="003405AB" w:rsidRPr="00DB638E">
        <w:rPr>
          <w:rFonts w:ascii="Times New Roman" w:hAnsi="Times New Roman"/>
          <w:sz w:val="24"/>
          <w:szCs w:val="24"/>
        </w:rPr>
        <w:t xml:space="preserve">в популяции с почечно-клеточным раком </w:t>
      </w:r>
      <w:r w:rsidRPr="00DB638E">
        <w:rPr>
          <w:rFonts w:ascii="Times New Roman" w:hAnsi="Times New Roman"/>
          <w:sz w:val="24"/>
          <w:szCs w:val="24"/>
        </w:rPr>
        <w:t xml:space="preserve">без предшествующего лечения (67%) по сравнению с </w:t>
      </w:r>
      <w:r w:rsidR="003405AB" w:rsidRPr="00DB638E">
        <w:rPr>
          <w:rFonts w:ascii="Times New Roman" w:hAnsi="Times New Roman"/>
          <w:sz w:val="24"/>
          <w:szCs w:val="24"/>
        </w:rPr>
        <w:t xml:space="preserve">популяцией с почечно-клеточным раком </w:t>
      </w:r>
      <w:r w:rsidRPr="00DB638E">
        <w:rPr>
          <w:rFonts w:ascii="Times New Roman" w:hAnsi="Times New Roman"/>
          <w:sz w:val="24"/>
          <w:szCs w:val="24"/>
        </w:rPr>
        <w:t xml:space="preserve">после предшествующей </w:t>
      </w:r>
      <w:r w:rsidR="0060072A" w:rsidRPr="00DB638E">
        <w:rPr>
          <w:rFonts w:ascii="Times New Roman" w:hAnsi="Times New Roman"/>
          <w:sz w:val="24"/>
          <w:szCs w:val="24"/>
        </w:rPr>
        <w:t>целевой</w:t>
      </w:r>
      <w:r w:rsidRPr="00DB638E">
        <w:rPr>
          <w:rFonts w:ascii="Times New Roman" w:hAnsi="Times New Roman"/>
          <w:sz w:val="24"/>
          <w:szCs w:val="24"/>
        </w:rPr>
        <w:t xml:space="preserve"> анти-VEGF терапии (37%).</w:t>
      </w:r>
    </w:p>
    <w:p w14:paraId="466A1E7B" w14:textId="77777777" w:rsidR="00231A9A" w:rsidRPr="00DB638E" w:rsidRDefault="00231A9A" w:rsidP="00231A9A">
      <w:pPr>
        <w:spacing w:line="240" w:lineRule="auto"/>
        <w:contextualSpacing/>
        <w:jc w:val="both"/>
        <w:rPr>
          <w:rFonts w:ascii="Times New Roman" w:hAnsi="Times New Roman"/>
          <w:sz w:val="24"/>
          <w:szCs w:val="24"/>
        </w:rPr>
      </w:pPr>
      <w:r w:rsidRPr="00DB638E">
        <w:rPr>
          <w:rFonts w:ascii="Times New Roman" w:hAnsi="Times New Roman"/>
          <w:sz w:val="24"/>
          <w:szCs w:val="24"/>
        </w:rPr>
        <w:t xml:space="preserve">Наиболее распространенными серьезными побочными реакциями в популяции с печеночно-клеточным раком (≥1 % частоты возникновения) являются печеночная энцефалопатия, астения, слабость, ладонно-подошвенный синдром (ладонно-подошвенная эритродизестезия), диарея, гипонатриемия, рвота, боль в животе и тромбоцитопения. </w:t>
      </w:r>
    </w:p>
    <w:p w14:paraId="70203018" w14:textId="77777777" w:rsidR="00231A9A" w:rsidRPr="00DB638E" w:rsidRDefault="00231A9A" w:rsidP="00231A9A">
      <w:pPr>
        <w:spacing w:line="240" w:lineRule="auto"/>
        <w:contextualSpacing/>
        <w:jc w:val="both"/>
        <w:rPr>
          <w:rFonts w:ascii="Times New Roman" w:hAnsi="Times New Roman"/>
          <w:sz w:val="24"/>
          <w:szCs w:val="24"/>
        </w:rPr>
      </w:pPr>
      <w:r w:rsidRPr="00DB638E">
        <w:rPr>
          <w:rFonts w:ascii="Times New Roman" w:hAnsi="Times New Roman"/>
          <w:sz w:val="24"/>
          <w:szCs w:val="24"/>
        </w:rPr>
        <w:t>Наиболее частыми побочными реакциями любой категории (отмечены не менее, чем у 25 % пациентов) в популяции с печеночно-клеточным раком были диарея, снижение аппетита, ладонно-подошвенный синдром (ладонно-подошвенная эритродизестезия), слабость, тошнота, повышение артериального давления и рвота.</w:t>
      </w:r>
    </w:p>
    <w:p w14:paraId="1DE1F9A3" w14:textId="5F8067E2" w:rsidR="00E720A4" w:rsidRPr="00DB638E" w:rsidRDefault="00E720A4" w:rsidP="00E720A4">
      <w:pPr>
        <w:spacing w:line="240" w:lineRule="auto"/>
        <w:contextualSpacing/>
        <w:jc w:val="both"/>
        <w:rPr>
          <w:rFonts w:ascii="Times New Roman" w:hAnsi="Times New Roman"/>
          <w:sz w:val="24"/>
          <w:szCs w:val="24"/>
        </w:rPr>
      </w:pPr>
      <w:r w:rsidRPr="00DB638E">
        <w:rPr>
          <w:rFonts w:ascii="Times New Roman" w:hAnsi="Times New Roman"/>
          <w:sz w:val="24"/>
          <w:szCs w:val="24"/>
        </w:rPr>
        <w:t>Наиболее частыми серьезными побочными реакциями у пациентов с Д</w:t>
      </w:r>
      <w:r w:rsidR="006D37D7" w:rsidRPr="00DB638E">
        <w:rPr>
          <w:rFonts w:ascii="Times New Roman" w:hAnsi="Times New Roman"/>
          <w:sz w:val="24"/>
          <w:szCs w:val="24"/>
        </w:rPr>
        <w:t>К</w:t>
      </w:r>
      <w:r w:rsidRPr="00DB638E">
        <w:rPr>
          <w:rFonts w:ascii="Times New Roman" w:hAnsi="Times New Roman"/>
          <w:sz w:val="24"/>
          <w:szCs w:val="24"/>
        </w:rPr>
        <w:t>ЩЖ (частота ≥1%) являются диарея, плевральный выпот, пневмония, тромбоэмболия легочной артерии, артериальная гипертензия, анемия, тромбоз глубоких вен, гипокальциемия, остеонекроз челюсти, боль, синдром ладонно-подошвенной эритродизестезии, рвота и почечная недостаточность.</w:t>
      </w:r>
    </w:p>
    <w:p w14:paraId="0132B1DE" w14:textId="0B0FAAA6" w:rsidR="00E720A4" w:rsidRPr="00DB638E" w:rsidRDefault="00E720A4" w:rsidP="00E720A4">
      <w:pPr>
        <w:spacing w:line="240" w:lineRule="auto"/>
        <w:contextualSpacing/>
        <w:jc w:val="both"/>
        <w:rPr>
          <w:rFonts w:ascii="Times New Roman" w:hAnsi="Times New Roman"/>
          <w:sz w:val="24"/>
          <w:szCs w:val="24"/>
        </w:rPr>
      </w:pPr>
      <w:r w:rsidRPr="00DB638E">
        <w:rPr>
          <w:rFonts w:ascii="Times New Roman" w:hAnsi="Times New Roman"/>
          <w:sz w:val="24"/>
          <w:szCs w:val="24"/>
        </w:rPr>
        <w:lastRenderedPageBreak/>
        <w:t>Наиболее частыми побочными реакциями любой степени (отмечались не менее чем у 25% пациентов) в популяции пациентов с Д</w:t>
      </w:r>
      <w:r w:rsidR="006D37D7" w:rsidRPr="00DB638E">
        <w:rPr>
          <w:rFonts w:ascii="Times New Roman" w:hAnsi="Times New Roman"/>
          <w:sz w:val="24"/>
          <w:szCs w:val="24"/>
        </w:rPr>
        <w:t>К</w:t>
      </w:r>
      <w:r w:rsidRPr="00DB638E">
        <w:rPr>
          <w:rFonts w:ascii="Times New Roman" w:hAnsi="Times New Roman"/>
          <w:sz w:val="24"/>
          <w:szCs w:val="24"/>
        </w:rPr>
        <w:t>ЩЖ были диарея, ладонно-подошвенная эритродизестезия, артериальная гипертензия, утомляемость, снижение аппетита, тошнота, повышение уровня аланинаминотрансферазы, повышение уровня аспартатаминотрансферазы и гипокальциемия.</w:t>
      </w:r>
    </w:p>
    <w:p w14:paraId="10DE4859" w14:textId="77777777" w:rsidR="00E720A4" w:rsidRPr="00DB638E" w:rsidRDefault="00231A9A" w:rsidP="00231A9A">
      <w:pPr>
        <w:spacing w:after="0" w:line="240" w:lineRule="auto"/>
        <w:contextualSpacing/>
        <w:jc w:val="both"/>
        <w:rPr>
          <w:rFonts w:ascii="Times New Roman" w:hAnsi="Times New Roman"/>
          <w:iCs/>
          <w:sz w:val="24"/>
          <w:szCs w:val="24"/>
          <w:u w:val="single"/>
        </w:rPr>
      </w:pPr>
      <w:r w:rsidRPr="00DB638E">
        <w:rPr>
          <w:rFonts w:ascii="Times New Roman" w:hAnsi="Times New Roman"/>
          <w:iCs/>
          <w:sz w:val="24"/>
          <w:szCs w:val="24"/>
          <w:u w:val="single"/>
        </w:rPr>
        <w:t xml:space="preserve">Перечень нежелательных реакций в виде таблицы </w:t>
      </w:r>
    </w:p>
    <w:p w14:paraId="3A8A48BD" w14:textId="062B27BE" w:rsidR="00231A9A" w:rsidRPr="00DB638E" w:rsidRDefault="00E720A4" w:rsidP="00231A9A">
      <w:pPr>
        <w:spacing w:after="0" w:line="240" w:lineRule="auto"/>
        <w:contextualSpacing/>
        <w:jc w:val="both"/>
        <w:rPr>
          <w:rFonts w:ascii="Times New Roman" w:hAnsi="Times New Roman"/>
          <w:sz w:val="24"/>
          <w:szCs w:val="24"/>
        </w:rPr>
      </w:pPr>
      <w:r w:rsidRPr="00DB638E">
        <w:rPr>
          <w:rFonts w:ascii="Times New Roman" w:hAnsi="Times New Roman"/>
          <w:sz w:val="24"/>
          <w:szCs w:val="24"/>
        </w:rPr>
        <w:t xml:space="preserve">Побочные реакции, о которых сообщалось в объединенном наборе данных для пациентов, получавших монотерапию кабозантинибом при </w:t>
      </w:r>
      <w:r w:rsidR="00846C83" w:rsidRPr="00DB638E">
        <w:rPr>
          <w:rFonts w:ascii="Times New Roman" w:hAnsi="Times New Roman"/>
          <w:sz w:val="24"/>
          <w:szCs w:val="24"/>
        </w:rPr>
        <w:t>почечно</w:t>
      </w:r>
      <w:r w:rsidR="00A77D83" w:rsidRPr="00DB638E">
        <w:rPr>
          <w:rFonts w:ascii="Times New Roman" w:hAnsi="Times New Roman"/>
          <w:sz w:val="24"/>
          <w:szCs w:val="24"/>
        </w:rPr>
        <w:t>-клеточн</w:t>
      </w:r>
      <w:r w:rsidR="00846C83" w:rsidRPr="00DB638E">
        <w:rPr>
          <w:rFonts w:ascii="Times New Roman" w:hAnsi="Times New Roman"/>
          <w:sz w:val="24"/>
          <w:szCs w:val="24"/>
        </w:rPr>
        <w:t>ом</w:t>
      </w:r>
      <w:r w:rsidR="00A77D83" w:rsidRPr="00DB638E">
        <w:rPr>
          <w:rFonts w:ascii="Times New Roman" w:hAnsi="Times New Roman"/>
          <w:sz w:val="24"/>
          <w:szCs w:val="24"/>
        </w:rPr>
        <w:t xml:space="preserve"> рак</w:t>
      </w:r>
      <w:r w:rsidR="00846C83" w:rsidRPr="00DB638E">
        <w:rPr>
          <w:rFonts w:ascii="Times New Roman" w:hAnsi="Times New Roman"/>
          <w:sz w:val="24"/>
          <w:szCs w:val="24"/>
        </w:rPr>
        <w:t>е</w:t>
      </w:r>
      <w:r w:rsidR="00A77D83" w:rsidRPr="00DB638E">
        <w:rPr>
          <w:rFonts w:ascii="Times New Roman" w:hAnsi="Times New Roman"/>
          <w:sz w:val="24"/>
          <w:szCs w:val="24"/>
        </w:rPr>
        <w:t xml:space="preserve">, </w:t>
      </w:r>
      <w:r w:rsidR="00846C83" w:rsidRPr="00DB638E">
        <w:rPr>
          <w:rFonts w:ascii="Times New Roman" w:hAnsi="Times New Roman"/>
          <w:sz w:val="24"/>
          <w:szCs w:val="24"/>
        </w:rPr>
        <w:t>печеночно</w:t>
      </w:r>
      <w:r w:rsidR="00A77D83" w:rsidRPr="00DB638E">
        <w:rPr>
          <w:rFonts w:ascii="Times New Roman" w:hAnsi="Times New Roman"/>
          <w:sz w:val="24"/>
          <w:szCs w:val="24"/>
        </w:rPr>
        <w:t>-клеточн</w:t>
      </w:r>
      <w:r w:rsidR="00846C83" w:rsidRPr="00DB638E">
        <w:rPr>
          <w:rFonts w:ascii="Times New Roman" w:hAnsi="Times New Roman"/>
          <w:sz w:val="24"/>
          <w:szCs w:val="24"/>
        </w:rPr>
        <w:t>ом</w:t>
      </w:r>
      <w:r w:rsidR="00A77D83" w:rsidRPr="00DB638E">
        <w:rPr>
          <w:rFonts w:ascii="Times New Roman" w:hAnsi="Times New Roman"/>
          <w:sz w:val="24"/>
          <w:szCs w:val="24"/>
        </w:rPr>
        <w:t xml:space="preserve"> рак</w:t>
      </w:r>
      <w:r w:rsidR="00846C83" w:rsidRPr="00DB638E">
        <w:rPr>
          <w:rFonts w:ascii="Times New Roman" w:hAnsi="Times New Roman"/>
          <w:sz w:val="24"/>
          <w:szCs w:val="24"/>
        </w:rPr>
        <w:t>е</w:t>
      </w:r>
      <w:r w:rsidR="00A77D83" w:rsidRPr="00DB638E">
        <w:rPr>
          <w:rFonts w:ascii="Times New Roman" w:hAnsi="Times New Roman"/>
          <w:sz w:val="24"/>
          <w:szCs w:val="24"/>
        </w:rPr>
        <w:t xml:space="preserve"> </w:t>
      </w:r>
      <w:r w:rsidRPr="00DB638E">
        <w:rPr>
          <w:rFonts w:ascii="Times New Roman" w:hAnsi="Times New Roman"/>
          <w:sz w:val="24"/>
          <w:szCs w:val="24"/>
        </w:rPr>
        <w:t>и Д</w:t>
      </w:r>
      <w:r w:rsidR="006D37D7" w:rsidRPr="00DB638E">
        <w:rPr>
          <w:rFonts w:ascii="Times New Roman" w:hAnsi="Times New Roman"/>
          <w:sz w:val="24"/>
          <w:szCs w:val="24"/>
        </w:rPr>
        <w:t>К</w:t>
      </w:r>
      <w:r w:rsidRPr="00DB638E">
        <w:rPr>
          <w:rFonts w:ascii="Times New Roman" w:hAnsi="Times New Roman"/>
          <w:sz w:val="24"/>
          <w:szCs w:val="24"/>
        </w:rPr>
        <w:t xml:space="preserve">ЩЖ (n=1128), или о которых сообщалось после постмаркетингового применения кабозантиниба, перечислены в таблице 2 </w:t>
      </w:r>
      <w:r w:rsidR="00231A9A" w:rsidRPr="00DB638E">
        <w:rPr>
          <w:rFonts w:ascii="Times New Roman" w:hAnsi="Times New Roman"/>
          <w:sz w:val="24"/>
          <w:szCs w:val="24"/>
        </w:rPr>
        <w:t xml:space="preserve">в соответствии с системно-органным классом MedDRA и категориями частоты проявления реакций.  </w:t>
      </w:r>
    </w:p>
    <w:p w14:paraId="59704A0E" w14:textId="5A4B4AA2" w:rsidR="00231A9A" w:rsidRPr="00DB638E" w:rsidRDefault="00231A9A" w:rsidP="004B382D">
      <w:pPr>
        <w:spacing w:after="0" w:line="240" w:lineRule="auto"/>
        <w:contextualSpacing/>
        <w:jc w:val="both"/>
        <w:rPr>
          <w:rFonts w:ascii="Times New Roman" w:hAnsi="Times New Roman"/>
          <w:sz w:val="24"/>
          <w:szCs w:val="24"/>
        </w:rPr>
      </w:pPr>
      <w:bookmarkStart w:id="26" w:name="_Hlk140479496"/>
      <w:r w:rsidRPr="00DB638E">
        <w:rPr>
          <w:rFonts w:ascii="Times New Roman" w:hAnsi="Times New Roman"/>
          <w:sz w:val="24"/>
          <w:szCs w:val="24"/>
        </w:rPr>
        <w:t xml:space="preserve">Частота нежелательных реакций классифицирована следующим образом: очень часто (≥1/10); часто (от ≥1/100 до &lt;1/10); нечасто (от ≥1/1 000 до &lt;1/100), неизвестно (невозможно оценить на основании имеющихся данных). </w:t>
      </w:r>
      <w:bookmarkStart w:id="27" w:name="4.8.3_Description_of_selected_adverse_re"/>
      <w:bookmarkEnd w:id="25"/>
      <w:bookmarkEnd w:id="27"/>
    </w:p>
    <w:bookmarkEnd w:id="26"/>
    <w:p w14:paraId="022C1B9E" w14:textId="77777777" w:rsidR="00562AAB" w:rsidRPr="00DB638E" w:rsidRDefault="00562AAB" w:rsidP="00562AAB">
      <w:pPr>
        <w:spacing w:after="0" w:line="240" w:lineRule="auto"/>
        <w:jc w:val="both"/>
        <w:rPr>
          <w:rFonts w:ascii="Times New Roman" w:hAnsi="Times New Roman"/>
          <w:sz w:val="24"/>
          <w:szCs w:val="24"/>
        </w:rPr>
      </w:pPr>
      <w:r w:rsidRPr="00DB638E">
        <w:rPr>
          <w:rFonts w:ascii="Times New Roman" w:hAnsi="Times New Roman"/>
          <w:sz w:val="24"/>
          <w:szCs w:val="24"/>
        </w:rPr>
        <w:t>В каждой частотной группе побочные реакции представлены в порядке уменьшения тяжести.</w:t>
      </w:r>
    </w:p>
    <w:p w14:paraId="43D5D8F9" w14:textId="77777777" w:rsidR="00231A9A" w:rsidRPr="00DB638E" w:rsidRDefault="00231A9A" w:rsidP="00231A9A">
      <w:pPr>
        <w:spacing w:line="240" w:lineRule="auto"/>
        <w:contextualSpacing/>
        <w:rPr>
          <w:rFonts w:ascii="Times New Roman" w:hAnsi="Times New Roman"/>
          <w:b/>
          <w:sz w:val="24"/>
          <w:szCs w:val="24"/>
        </w:rPr>
      </w:pPr>
    </w:p>
    <w:p w14:paraId="7DF192C8" w14:textId="77777777" w:rsidR="00231A9A" w:rsidRPr="00DB638E" w:rsidRDefault="00231A9A" w:rsidP="00231A9A">
      <w:pPr>
        <w:spacing w:line="240" w:lineRule="auto"/>
        <w:contextualSpacing/>
        <w:rPr>
          <w:rFonts w:ascii="Times New Roman" w:hAnsi="Times New Roman"/>
          <w:b/>
          <w:sz w:val="24"/>
          <w:szCs w:val="24"/>
        </w:rPr>
      </w:pPr>
      <w:r w:rsidRPr="00DB638E">
        <w:rPr>
          <w:rFonts w:ascii="Times New Roman" w:hAnsi="Times New Roman"/>
          <w:b/>
          <w:sz w:val="24"/>
          <w:szCs w:val="24"/>
        </w:rPr>
        <w:t xml:space="preserve">Таблица 2: </w:t>
      </w:r>
      <w:bookmarkStart w:id="28" w:name="_Hlk140479512"/>
      <w:r w:rsidRPr="00DB638E">
        <w:rPr>
          <w:rFonts w:ascii="Times New Roman" w:hAnsi="Times New Roman"/>
          <w:b/>
          <w:sz w:val="24"/>
          <w:szCs w:val="24"/>
        </w:rPr>
        <w:t>Побочные реакции, выявленные в клинических исследованиях или в пострегистрационном периоде использования кабозантиниба в качестве монотерапии</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7269"/>
      </w:tblGrid>
      <w:tr w:rsidR="00231A9A" w:rsidRPr="00DB638E" w14:paraId="05237742"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990A0D" w14:textId="77777777" w:rsidR="00231A9A" w:rsidRPr="00DB638E" w:rsidRDefault="00231A9A" w:rsidP="003C21BB">
            <w:pPr>
              <w:spacing w:after="0" w:line="240" w:lineRule="auto"/>
              <w:contextualSpacing/>
              <w:rPr>
                <w:rFonts w:ascii="Times New Roman" w:hAnsi="Times New Roman"/>
                <w:b/>
                <w:sz w:val="24"/>
                <w:szCs w:val="24"/>
                <w:lang w:val="en-GB"/>
              </w:rPr>
            </w:pPr>
            <w:bookmarkStart w:id="29" w:name="_Hlk75275442"/>
            <w:r w:rsidRPr="00DB638E">
              <w:rPr>
                <w:rFonts w:ascii="Times New Roman" w:hAnsi="Times New Roman"/>
                <w:b/>
                <w:sz w:val="24"/>
                <w:szCs w:val="24"/>
                <w:lang w:val="en-GB"/>
              </w:rPr>
              <w:t>Инфекционные и паразитарные заболевания</w:t>
            </w:r>
          </w:p>
        </w:tc>
      </w:tr>
      <w:tr w:rsidR="00231A9A" w:rsidRPr="00DB638E" w14:paraId="7D833BEE"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A2CCFC"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9EA741" w14:textId="26D3A8D8" w:rsidR="00231A9A" w:rsidRPr="00DB638E" w:rsidRDefault="0060072A" w:rsidP="003C21BB">
            <w:pPr>
              <w:spacing w:after="0" w:line="240" w:lineRule="auto"/>
              <w:contextualSpacing/>
              <w:rPr>
                <w:rFonts w:ascii="Times New Roman" w:hAnsi="Times New Roman"/>
                <w:sz w:val="24"/>
                <w:szCs w:val="24"/>
                <w:lang w:val="en-US"/>
              </w:rPr>
            </w:pPr>
            <w:bookmarkStart w:id="30" w:name="_Hlk74925154"/>
            <w:r w:rsidRPr="00DB638E">
              <w:rPr>
                <w:rFonts w:ascii="Times New Roman" w:hAnsi="Times New Roman"/>
                <w:sz w:val="24"/>
                <w:szCs w:val="24"/>
              </w:rPr>
              <w:t>А</w:t>
            </w:r>
            <w:r w:rsidR="00231A9A" w:rsidRPr="00DB638E">
              <w:rPr>
                <w:rFonts w:ascii="Times New Roman" w:hAnsi="Times New Roman"/>
                <w:sz w:val="24"/>
                <w:szCs w:val="24"/>
              </w:rPr>
              <w:t>бсцесс</w:t>
            </w:r>
            <w:bookmarkEnd w:id="30"/>
            <w:r w:rsidRPr="00DB638E">
              <w:rPr>
                <w:rFonts w:ascii="Times New Roman" w:hAnsi="Times New Roman"/>
                <w:sz w:val="24"/>
                <w:szCs w:val="24"/>
              </w:rPr>
              <w:t>, пневмония</w:t>
            </w:r>
          </w:p>
        </w:tc>
      </w:tr>
      <w:tr w:rsidR="00231A9A" w:rsidRPr="00DB638E" w14:paraId="2891618A"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9F1911" w14:textId="77777777" w:rsidR="00231A9A" w:rsidRPr="00DB638E" w:rsidRDefault="00231A9A" w:rsidP="003C21BB">
            <w:pPr>
              <w:spacing w:after="0" w:line="240" w:lineRule="auto"/>
              <w:contextualSpacing/>
              <w:rPr>
                <w:rFonts w:ascii="Times New Roman" w:hAnsi="Times New Roman"/>
                <w:b/>
                <w:sz w:val="24"/>
                <w:szCs w:val="24"/>
              </w:rPr>
            </w:pPr>
            <w:r w:rsidRPr="00DB638E">
              <w:rPr>
                <w:rFonts w:ascii="Times New Roman" w:hAnsi="Times New Roman"/>
                <w:b/>
                <w:sz w:val="24"/>
                <w:szCs w:val="24"/>
              </w:rPr>
              <w:t>Нарушения со стороны крови и лимфатической системы</w:t>
            </w:r>
          </w:p>
        </w:tc>
      </w:tr>
      <w:tr w:rsidR="00231A9A" w:rsidRPr="00DB638E" w14:paraId="7C113DCF"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57C618"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Очень 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57742F" w14:textId="77777777" w:rsidR="00231A9A" w:rsidRPr="00DB638E" w:rsidRDefault="00231A9A" w:rsidP="003C21BB">
            <w:pPr>
              <w:spacing w:after="0" w:line="240" w:lineRule="auto"/>
              <w:contextualSpacing/>
              <w:rPr>
                <w:rFonts w:ascii="Times New Roman" w:hAnsi="Times New Roman"/>
                <w:sz w:val="24"/>
                <w:szCs w:val="24"/>
                <w:lang w:val="en-GB"/>
              </w:rPr>
            </w:pPr>
            <w:bookmarkStart w:id="31" w:name="_Hlk74924985"/>
            <w:r w:rsidRPr="00DB638E">
              <w:rPr>
                <w:rFonts w:ascii="Times New Roman" w:hAnsi="Times New Roman"/>
                <w:sz w:val="24"/>
                <w:szCs w:val="24"/>
              </w:rPr>
              <w:t>анемия</w:t>
            </w:r>
            <w:r w:rsidRPr="00DB638E">
              <w:rPr>
                <w:rFonts w:ascii="Times New Roman" w:hAnsi="Times New Roman"/>
                <w:sz w:val="24"/>
                <w:szCs w:val="24"/>
                <w:lang w:val="en-GB"/>
              </w:rPr>
              <w:t xml:space="preserve">, </w:t>
            </w:r>
            <w:r w:rsidRPr="00DB638E">
              <w:rPr>
                <w:rFonts w:ascii="Times New Roman" w:hAnsi="Times New Roman"/>
                <w:sz w:val="24"/>
                <w:szCs w:val="24"/>
              </w:rPr>
              <w:t>т</w:t>
            </w:r>
            <w:r w:rsidRPr="00DB638E">
              <w:rPr>
                <w:rFonts w:ascii="Times New Roman" w:hAnsi="Times New Roman"/>
                <w:sz w:val="24"/>
                <w:szCs w:val="24"/>
                <w:lang w:val="en-GB"/>
              </w:rPr>
              <w:t>ромбоцитопения</w:t>
            </w:r>
            <w:bookmarkEnd w:id="31"/>
          </w:p>
        </w:tc>
      </w:tr>
      <w:tr w:rsidR="00231A9A" w:rsidRPr="00DB638E" w14:paraId="6915B115"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7D2F73" w14:textId="77777777" w:rsidR="00231A9A" w:rsidRPr="00DB638E" w:rsidRDefault="00231A9A" w:rsidP="003C21BB">
            <w:pPr>
              <w:spacing w:after="0" w:line="240" w:lineRule="auto"/>
              <w:contextualSpacing/>
              <w:rPr>
                <w:rFonts w:ascii="Times New Roman" w:hAnsi="Times New Roman"/>
                <w:sz w:val="24"/>
                <w:szCs w:val="24"/>
              </w:rPr>
            </w:pPr>
            <w:r w:rsidRPr="00DB638E">
              <w:rPr>
                <w:rFonts w:ascii="Times New Roman" w:hAnsi="Times New Roman"/>
                <w:sz w:val="24"/>
                <w:szCs w:val="24"/>
              </w:rPr>
              <w:t>Часто</w:t>
            </w:r>
          </w:p>
        </w:tc>
        <w:tc>
          <w:tcPr>
            <w:tcW w:w="4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92355B" w14:textId="77777777" w:rsidR="00231A9A" w:rsidRPr="00DB638E" w:rsidRDefault="00231A9A" w:rsidP="003C21BB">
            <w:pPr>
              <w:spacing w:after="0" w:line="240" w:lineRule="auto"/>
              <w:contextualSpacing/>
              <w:rPr>
                <w:rFonts w:ascii="Times New Roman" w:hAnsi="Times New Roman"/>
                <w:sz w:val="24"/>
                <w:szCs w:val="24"/>
                <w:lang w:val="en-GB"/>
              </w:rPr>
            </w:pPr>
            <w:bookmarkStart w:id="32" w:name="_Hlk74925160"/>
            <w:r w:rsidRPr="00DB638E">
              <w:rPr>
                <w:rFonts w:ascii="Times New Roman" w:hAnsi="Times New Roman"/>
                <w:sz w:val="24"/>
                <w:szCs w:val="24"/>
                <w:lang w:val="en-GB"/>
              </w:rPr>
              <w:t>нейтропения, лимфопения</w:t>
            </w:r>
            <w:bookmarkEnd w:id="32"/>
          </w:p>
        </w:tc>
      </w:tr>
      <w:tr w:rsidR="00231A9A" w:rsidRPr="00DB638E" w14:paraId="68AAB927"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0376858" w14:textId="77777777" w:rsidR="00231A9A" w:rsidRPr="00DB638E" w:rsidRDefault="00231A9A" w:rsidP="003C21BB">
            <w:pPr>
              <w:spacing w:after="0" w:line="240" w:lineRule="auto"/>
              <w:contextualSpacing/>
              <w:rPr>
                <w:rFonts w:ascii="Times New Roman" w:hAnsi="Times New Roman"/>
                <w:b/>
                <w:sz w:val="24"/>
                <w:szCs w:val="24"/>
              </w:rPr>
            </w:pPr>
            <w:r w:rsidRPr="00DB638E">
              <w:rPr>
                <w:rFonts w:ascii="Times New Roman" w:hAnsi="Times New Roman"/>
                <w:b/>
                <w:sz w:val="24"/>
                <w:szCs w:val="24"/>
              </w:rPr>
              <w:t>Нарушения со стороны эндокринной системы</w:t>
            </w:r>
          </w:p>
        </w:tc>
      </w:tr>
      <w:tr w:rsidR="00231A9A" w:rsidRPr="00DB638E" w14:paraId="3C1EE11A"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788E0E6B" w14:textId="77777777" w:rsidR="00231A9A" w:rsidRPr="00DB638E" w:rsidRDefault="00231A9A" w:rsidP="003C21BB">
            <w:pPr>
              <w:spacing w:after="0" w:line="240" w:lineRule="auto"/>
              <w:contextualSpacing/>
              <w:rPr>
                <w:rFonts w:ascii="Times New Roman" w:hAnsi="Times New Roman"/>
                <w:sz w:val="24"/>
                <w:szCs w:val="24"/>
              </w:rPr>
            </w:pPr>
            <w:r w:rsidRPr="00DB638E">
              <w:rPr>
                <w:rFonts w:ascii="Times New Roman" w:hAnsi="Times New Roman"/>
                <w:sz w:val="24"/>
                <w:szCs w:val="24"/>
              </w:rPr>
              <w:t>Очень часто</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CCC13C1" w14:textId="77777777" w:rsidR="00231A9A" w:rsidRPr="00DB638E" w:rsidRDefault="001B59CF" w:rsidP="003C21BB">
            <w:pPr>
              <w:spacing w:after="0" w:line="240" w:lineRule="auto"/>
              <w:contextualSpacing/>
              <w:rPr>
                <w:rFonts w:ascii="Times New Roman" w:hAnsi="Times New Roman"/>
                <w:sz w:val="24"/>
                <w:szCs w:val="24"/>
              </w:rPr>
            </w:pPr>
            <w:bookmarkStart w:id="33" w:name="_Hlk74924993"/>
            <w:r w:rsidRPr="00DB638E">
              <w:rPr>
                <w:rFonts w:ascii="Times New Roman" w:hAnsi="Times New Roman"/>
                <w:sz w:val="24"/>
                <w:szCs w:val="24"/>
              </w:rPr>
              <w:t>г</w:t>
            </w:r>
            <w:r w:rsidR="00231A9A" w:rsidRPr="00DB638E">
              <w:rPr>
                <w:rFonts w:ascii="Times New Roman" w:hAnsi="Times New Roman"/>
                <w:sz w:val="24"/>
                <w:szCs w:val="24"/>
                <w:lang w:val="en-GB"/>
              </w:rPr>
              <w:t>ипотиреоз</w:t>
            </w:r>
            <w:bookmarkEnd w:id="33"/>
            <w:r w:rsidRPr="00DB638E">
              <w:rPr>
                <w:rFonts w:ascii="Times New Roman" w:hAnsi="Times New Roman"/>
                <w:sz w:val="24"/>
                <w:szCs w:val="24"/>
              </w:rPr>
              <w:t>*</w:t>
            </w:r>
          </w:p>
        </w:tc>
      </w:tr>
      <w:tr w:rsidR="00231A9A" w:rsidRPr="00DB638E" w14:paraId="4D194039"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7AE8461" w14:textId="77777777" w:rsidR="00231A9A" w:rsidRPr="00DB638E" w:rsidRDefault="00231A9A" w:rsidP="003C21BB">
            <w:pPr>
              <w:spacing w:after="0" w:line="240" w:lineRule="auto"/>
              <w:contextualSpacing/>
              <w:rPr>
                <w:rFonts w:ascii="Times New Roman" w:hAnsi="Times New Roman"/>
                <w:b/>
                <w:bCs/>
                <w:sz w:val="24"/>
                <w:szCs w:val="24"/>
              </w:rPr>
            </w:pPr>
            <w:r w:rsidRPr="00DB638E">
              <w:rPr>
                <w:rFonts w:ascii="Times New Roman" w:hAnsi="Times New Roman"/>
                <w:b/>
                <w:bCs/>
                <w:sz w:val="24"/>
                <w:szCs w:val="24"/>
              </w:rPr>
              <w:t>Нарушения со стороны обмена веществ и питания</w:t>
            </w:r>
          </w:p>
        </w:tc>
      </w:tr>
      <w:tr w:rsidR="00231A9A" w:rsidRPr="00DB638E" w14:paraId="6B440125"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5CC1B361" w14:textId="77777777" w:rsidR="00231A9A" w:rsidRPr="00DB638E" w:rsidRDefault="00231A9A" w:rsidP="003C21BB">
            <w:pPr>
              <w:spacing w:after="0" w:line="240" w:lineRule="auto"/>
              <w:contextualSpacing/>
              <w:rPr>
                <w:rFonts w:ascii="Times New Roman" w:hAnsi="Times New Roman"/>
                <w:bCs/>
                <w:sz w:val="24"/>
                <w:szCs w:val="24"/>
                <w:lang w:val="en-GB"/>
              </w:rPr>
            </w:pPr>
            <w:r w:rsidRPr="00DB638E">
              <w:rPr>
                <w:rFonts w:ascii="Times New Roman" w:hAnsi="Times New Roman"/>
                <w:bCs/>
                <w:sz w:val="24"/>
                <w:szCs w:val="24"/>
              </w:rPr>
              <w:t>Очень часто</w:t>
            </w:r>
            <w:r w:rsidRPr="00DB638E">
              <w:rPr>
                <w:rFonts w:ascii="Times New Roman" w:hAnsi="Times New Roman"/>
                <w:bCs/>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0E0B86EE" w14:textId="77777777" w:rsidR="00231A9A" w:rsidRPr="00DB638E" w:rsidRDefault="00231A9A" w:rsidP="003C21BB">
            <w:pPr>
              <w:spacing w:after="0" w:line="240" w:lineRule="auto"/>
              <w:contextualSpacing/>
              <w:rPr>
                <w:rFonts w:ascii="Times New Roman" w:hAnsi="Times New Roman"/>
                <w:sz w:val="24"/>
                <w:szCs w:val="24"/>
              </w:rPr>
            </w:pPr>
            <w:bookmarkStart w:id="34" w:name="_Hlk74925004"/>
            <w:r w:rsidRPr="00DB638E">
              <w:rPr>
                <w:rFonts w:ascii="Times New Roman" w:hAnsi="Times New Roman"/>
                <w:sz w:val="24"/>
                <w:szCs w:val="24"/>
              </w:rPr>
              <w:t>снижение аппетита, гипомагниемия, гипокалиемия, гипоальбуминемия</w:t>
            </w:r>
            <w:bookmarkEnd w:id="34"/>
          </w:p>
        </w:tc>
      </w:tr>
      <w:tr w:rsidR="00231A9A" w:rsidRPr="00DB638E" w14:paraId="53BD99D4"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2AECDA7C" w14:textId="77777777" w:rsidR="00231A9A" w:rsidRPr="00DB638E" w:rsidRDefault="00231A9A" w:rsidP="003C21BB">
            <w:pPr>
              <w:spacing w:after="0" w:line="240" w:lineRule="auto"/>
              <w:contextualSpacing/>
              <w:rPr>
                <w:rFonts w:ascii="Times New Roman" w:hAnsi="Times New Roman"/>
                <w:bCs/>
                <w:sz w:val="24"/>
                <w:szCs w:val="24"/>
              </w:rPr>
            </w:pPr>
            <w:r w:rsidRPr="00DB638E">
              <w:rPr>
                <w:rFonts w:ascii="Times New Roman" w:hAnsi="Times New Roman"/>
                <w:bCs/>
                <w:sz w:val="24"/>
                <w:szCs w:val="24"/>
              </w:rPr>
              <w:t>Часто</w:t>
            </w:r>
          </w:p>
        </w:tc>
        <w:tc>
          <w:tcPr>
            <w:tcW w:w="4011" w:type="pct"/>
            <w:tcBorders>
              <w:top w:val="single" w:sz="4" w:space="0" w:color="auto"/>
              <w:left w:val="single" w:sz="4" w:space="0" w:color="auto"/>
              <w:bottom w:val="single" w:sz="4" w:space="0" w:color="auto"/>
              <w:right w:val="single" w:sz="4" w:space="0" w:color="auto"/>
            </w:tcBorders>
            <w:vAlign w:val="center"/>
            <w:hideMark/>
          </w:tcPr>
          <w:p w14:paraId="5B868C34" w14:textId="77777777" w:rsidR="00231A9A" w:rsidRPr="00DB638E" w:rsidRDefault="00231A9A" w:rsidP="003C21BB">
            <w:pPr>
              <w:spacing w:after="0" w:line="240" w:lineRule="auto"/>
              <w:contextualSpacing/>
              <w:rPr>
                <w:rFonts w:ascii="Times New Roman" w:hAnsi="Times New Roman"/>
                <w:sz w:val="24"/>
                <w:szCs w:val="24"/>
              </w:rPr>
            </w:pPr>
            <w:bookmarkStart w:id="35" w:name="_Hlk74925170"/>
            <w:r w:rsidRPr="00DB638E">
              <w:rPr>
                <w:rFonts w:ascii="Times New Roman" w:hAnsi="Times New Roman"/>
                <w:sz w:val="24"/>
                <w:szCs w:val="24"/>
              </w:rPr>
              <w:t>дегидратация, гипофосфатемия, гипонатриемия, гипокальциемия, гиперкалиемия, гипербилирубинемия, гипергликемия, гипогликемия</w:t>
            </w:r>
            <w:bookmarkEnd w:id="35"/>
          </w:p>
        </w:tc>
      </w:tr>
      <w:tr w:rsidR="00231A9A" w:rsidRPr="00DB638E" w14:paraId="7E524011"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BC34C48" w14:textId="77777777" w:rsidR="00231A9A" w:rsidRPr="00DB638E" w:rsidRDefault="00231A9A" w:rsidP="003C21BB">
            <w:pPr>
              <w:spacing w:after="0" w:line="240" w:lineRule="auto"/>
              <w:contextualSpacing/>
              <w:rPr>
                <w:rFonts w:ascii="Times New Roman" w:hAnsi="Times New Roman"/>
                <w:b/>
                <w:bCs/>
                <w:sz w:val="24"/>
                <w:szCs w:val="24"/>
              </w:rPr>
            </w:pPr>
            <w:r w:rsidRPr="00DB638E">
              <w:rPr>
                <w:rFonts w:ascii="Times New Roman" w:hAnsi="Times New Roman"/>
                <w:b/>
                <w:bCs/>
                <w:sz w:val="24"/>
                <w:szCs w:val="24"/>
              </w:rPr>
              <w:t>Нарушения со стороны нервной системы</w:t>
            </w:r>
          </w:p>
        </w:tc>
      </w:tr>
      <w:tr w:rsidR="00231A9A" w:rsidRPr="00DB638E" w14:paraId="4643E3A7"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3470CB2E" w14:textId="77777777" w:rsidR="00231A9A" w:rsidRPr="00DB638E" w:rsidRDefault="00231A9A" w:rsidP="003C21BB">
            <w:pPr>
              <w:spacing w:after="0" w:line="240" w:lineRule="auto"/>
              <w:contextualSpacing/>
              <w:rPr>
                <w:rFonts w:ascii="Times New Roman" w:hAnsi="Times New Roman"/>
                <w:sz w:val="24"/>
                <w:szCs w:val="24"/>
                <w:lang w:val="en-GB"/>
              </w:rPr>
            </w:pPr>
            <w:bookmarkStart w:id="36" w:name="_Hlk140479557"/>
            <w:r w:rsidRPr="00DB638E">
              <w:rPr>
                <w:rFonts w:ascii="Times New Roman" w:hAnsi="Times New Roman"/>
                <w:sz w:val="24"/>
                <w:szCs w:val="24"/>
              </w:rPr>
              <w:t>Очень 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662F790D" w14:textId="77777777" w:rsidR="00231A9A" w:rsidRPr="00DB638E" w:rsidRDefault="00231A9A" w:rsidP="003C21BB">
            <w:pPr>
              <w:spacing w:after="0" w:line="240" w:lineRule="auto"/>
              <w:contextualSpacing/>
              <w:rPr>
                <w:rFonts w:ascii="Times New Roman" w:hAnsi="Times New Roman"/>
                <w:sz w:val="24"/>
                <w:szCs w:val="24"/>
                <w:lang w:val="en-GB"/>
              </w:rPr>
            </w:pPr>
            <w:bookmarkStart w:id="37" w:name="_Hlk74925012"/>
            <w:r w:rsidRPr="00DB638E">
              <w:rPr>
                <w:rFonts w:ascii="Times New Roman" w:hAnsi="Times New Roman"/>
                <w:sz w:val="24"/>
                <w:szCs w:val="24"/>
              </w:rPr>
              <w:t>дисгевзия, головная боль, головокружение</w:t>
            </w:r>
            <w:bookmarkEnd w:id="37"/>
          </w:p>
        </w:tc>
      </w:tr>
      <w:bookmarkEnd w:id="36"/>
      <w:tr w:rsidR="00231A9A" w:rsidRPr="00DB638E" w14:paraId="4B0B0FAC"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35816824" w14:textId="77777777" w:rsidR="00231A9A" w:rsidRPr="00DB638E" w:rsidRDefault="00231A9A" w:rsidP="003C21BB">
            <w:pPr>
              <w:spacing w:after="0" w:line="240" w:lineRule="auto"/>
              <w:contextualSpacing/>
              <w:rPr>
                <w:rFonts w:ascii="Times New Roman" w:hAnsi="Times New Roman"/>
                <w:sz w:val="24"/>
                <w:szCs w:val="24"/>
              </w:rPr>
            </w:pPr>
            <w:r w:rsidRPr="00DB638E">
              <w:rPr>
                <w:rFonts w:ascii="Times New Roman" w:hAnsi="Times New Roman"/>
                <w:sz w:val="24"/>
                <w:szCs w:val="24"/>
              </w:rPr>
              <w:t>Часто</w:t>
            </w:r>
          </w:p>
        </w:tc>
        <w:tc>
          <w:tcPr>
            <w:tcW w:w="4011" w:type="pct"/>
            <w:tcBorders>
              <w:top w:val="single" w:sz="4" w:space="0" w:color="auto"/>
              <w:left w:val="single" w:sz="4" w:space="0" w:color="auto"/>
              <w:bottom w:val="single" w:sz="4" w:space="0" w:color="auto"/>
              <w:right w:val="single" w:sz="4" w:space="0" w:color="auto"/>
            </w:tcBorders>
            <w:vAlign w:val="center"/>
            <w:hideMark/>
          </w:tcPr>
          <w:p w14:paraId="40850B30" w14:textId="2101367F" w:rsidR="00231A9A" w:rsidRPr="00DB638E" w:rsidRDefault="00231A9A" w:rsidP="003C21BB">
            <w:pPr>
              <w:spacing w:after="0" w:line="240" w:lineRule="auto"/>
              <w:contextualSpacing/>
              <w:rPr>
                <w:rFonts w:ascii="Times New Roman" w:hAnsi="Times New Roman"/>
                <w:sz w:val="24"/>
                <w:szCs w:val="24"/>
                <w:lang w:val="en-GB"/>
              </w:rPr>
            </w:pPr>
            <w:bookmarkStart w:id="38" w:name="_Hlk74925185"/>
            <w:r w:rsidRPr="00DB638E">
              <w:rPr>
                <w:rFonts w:ascii="Times New Roman" w:hAnsi="Times New Roman"/>
                <w:sz w:val="24"/>
                <w:szCs w:val="24"/>
              </w:rPr>
              <w:t>периферическая нейропатия</w:t>
            </w:r>
            <w:r w:rsidR="0060072A" w:rsidRPr="00DB638E">
              <w:rPr>
                <w:rFonts w:ascii="Times New Roman" w:hAnsi="Times New Roman"/>
                <w:sz w:val="24"/>
                <w:szCs w:val="24"/>
                <w:vertAlign w:val="superscript"/>
              </w:rPr>
              <w:t>а</w:t>
            </w:r>
            <w:r w:rsidRPr="00DB638E">
              <w:rPr>
                <w:rFonts w:ascii="Times New Roman" w:hAnsi="Times New Roman"/>
                <w:sz w:val="24"/>
                <w:szCs w:val="24"/>
              </w:rPr>
              <w:t xml:space="preserve"> </w:t>
            </w:r>
            <w:bookmarkEnd w:id="38"/>
          </w:p>
        </w:tc>
      </w:tr>
      <w:tr w:rsidR="00231A9A" w:rsidRPr="00DB638E" w14:paraId="27677597"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02650E28"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Нечасто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9DCD1BF" w14:textId="77777777" w:rsidR="00231A9A" w:rsidRPr="00DB638E" w:rsidRDefault="001B59CF" w:rsidP="003C21BB">
            <w:pPr>
              <w:spacing w:after="0" w:line="240" w:lineRule="auto"/>
              <w:contextualSpacing/>
              <w:rPr>
                <w:rFonts w:ascii="Times New Roman" w:hAnsi="Times New Roman"/>
                <w:sz w:val="24"/>
                <w:szCs w:val="24"/>
              </w:rPr>
            </w:pPr>
            <w:bookmarkStart w:id="39" w:name="_Hlk74925482"/>
            <w:bookmarkStart w:id="40" w:name="_Hlk140479777"/>
            <w:r w:rsidRPr="00DB638E">
              <w:rPr>
                <w:rFonts w:ascii="Times New Roman" w:hAnsi="Times New Roman"/>
                <w:sz w:val="24"/>
                <w:szCs w:val="24"/>
              </w:rPr>
              <w:t>с</w:t>
            </w:r>
            <w:r w:rsidR="00231A9A" w:rsidRPr="00DB638E">
              <w:rPr>
                <w:rFonts w:ascii="Times New Roman" w:hAnsi="Times New Roman"/>
                <w:sz w:val="24"/>
                <w:szCs w:val="24"/>
              </w:rPr>
              <w:t>удороги</w:t>
            </w:r>
            <w:bookmarkEnd w:id="39"/>
            <w:r w:rsidRPr="00DB638E">
              <w:rPr>
                <w:rFonts w:ascii="Times New Roman" w:hAnsi="Times New Roman"/>
                <w:sz w:val="24"/>
                <w:szCs w:val="24"/>
              </w:rPr>
              <w:t>, нарушение мозгового кровообращения, синдром задней обратимой энцефалопатии</w:t>
            </w:r>
            <w:bookmarkEnd w:id="40"/>
          </w:p>
        </w:tc>
      </w:tr>
      <w:tr w:rsidR="00231A9A" w:rsidRPr="00DB638E" w14:paraId="559AC62A"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716ED4F" w14:textId="77777777" w:rsidR="00231A9A" w:rsidRPr="00DB638E" w:rsidRDefault="00231A9A" w:rsidP="003C21BB">
            <w:pPr>
              <w:spacing w:after="0" w:line="240" w:lineRule="auto"/>
              <w:contextualSpacing/>
              <w:rPr>
                <w:rFonts w:ascii="Times New Roman" w:hAnsi="Times New Roman"/>
                <w:b/>
                <w:sz w:val="24"/>
                <w:szCs w:val="24"/>
              </w:rPr>
            </w:pPr>
            <w:r w:rsidRPr="00DB638E">
              <w:rPr>
                <w:rFonts w:ascii="Times New Roman" w:hAnsi="Times New Roman"/>
                <w:b/>
                <w:sz w:val="24"/>
                <w:szCs w:val="24"/>
              </w:rPr>
              <w:t>Нарушения со стороны органа слуха и равновесия</w:t>
            </w:r>
          </w:p>
        </w:tc>
      </w:tr>
      <w:tr w:rsidR="00231A9A" w:rsidRPr="00DB638E" w14:paraId="6FFAE22B"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2DB12AA0"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00BD0F26" w14:textId="77777777" w:rsidR="00231A9A" w:rsidRPr="00DB638E" w:rsidRDefault="00231A9A" w:rsidP="003C21BB">
            <w:pPr>
              <w:spacing w:after="0" w:line="240" w:lineRule="auto"/>
              <w:contextualSpacing/>
              <w:rPr>
                <w:rFonts w:ascii="Times New Roman" w:hAnsi="Times New Roman"/>
                <w:sz w:val="24"/>
                <w:szCs w:val="24"/>
              </w:rPr>
            </w:pPr>
            <w:bookmarkStart w:id="41" w:name="_Hlk74925202"/>
            <w:r w:rsidRPr="00DB638E">
              <w:rPr>
                <w:rFonts w:ascii="Times New Roman" w:hAnsi="Times New Roman"/>
                <w:sz w:val="24"/>
                <w:szCs w:val="24"/>
              </w:rPr>
              <w:t>шум в ушах</w:t>
            </w:r>
            <w:bookmarkEnd w:id="41"/>
          </w:p>
        </w:tc>
      </w:tr>
      <w:tr w:rsidR="00231A9A" w:rsidRPr="00DB638E" w14:paraId="157C2A84"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6C382C3" w14:textId="77777777" w:rsidR="00231A9A" w:rsidRPr="00DB638E" w:rsidRDefault="00231A9A" w:rsidP="003C21BB">
            <w:pPr>
              <w:spacing w:after="0" w:line="240" w:lineRule="auto"/>
              <w:contextualSpacing/>
              <w:rPr>
                <w:rFonts w:ascii="Times New Roman" w:hAnsi="Times New Roman"/>
                <w:b/>
                <w:bCs/>
                <w:sz w:val="24"/>
                <w:szCs w:val="24"/>
                <w:lang w:val="en-GB"/>
              </w:rPr>
            </w:pPr>
            <w:r w:rsidRPr="00DB638E">
              <w:rPr>
                <w:rFonts w:ascii="Times New Roman" w:hAnsi="Times New Roman"/>
                <w:b/>
                <w:bCs/>
                <w:sz w:val="24"/>
                <w:szCs w:val="24"/>
              </w:rPr>
              <w:t>Нарушения со стороны сердца</w:t>
            </w:r>
          </w:p>
        </w:tc>
      </w:tr>
      <w:tr w:rsidR="00231A9A" w:rsidRPr="00DB638E" w14:paraId="58FDCE89"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5777BBDB" w14:textId="77777777" w:rsidR="00231A9A" w:rsidRPr="00DB638E" w:rsidRDefault="001B59CF" w:rsidP="003C21BB">
            <w:pPr>
              <w:spacing w:after="0" w:line="240" w:lineRule="auto"/>
              <w:contextualSpacing/>
              <w:rPr>
                <w:rFonts w:ascii="Times New Roman" w:hAnsi="Times New Roman"/>
                <w:sz w:val="24"/>
                <w:szCs w:val="24"/>
              </w:rPr>
            </w:pPr>
            <w:r w:rsidRPr="00DB638E">
              <w:rPr>
                <w:rFonts w:ascii="Times New Roman" w:hAnsi="Times New Roman"/>
                <w:sz w:val="24"/>
                <w:szCs w:val="24"/>
              </w:rPr>
              <w:t>Нечасто</w:t>
            </w:r>
          </w:p>
        </w:tc>
        <w:tc>
          <w:tcPr>
            <w:tcW w:w="4011" w:type="pct"/>
            <w:tcBorders>
              <w:top w:val="single" w:sz="4" w:space="0" w:color="auto"/>
              <w:left w:val="single" w:sz="4" w:space="0" w:color="auto"/>
              <w:bottom w:val="single" w:sz="4" w:space="0" w:color="auto"/>
              <w:right w:val="single" w:sz="4" w:space="0" w:color="auto"/>
            </w:tcBorders>
            <w:vAlign w:val="center"/>
            <w:hideMark/>
          </w:tcPr>
          <w:p w14:paraId="276E995A" w14:textId="77777777" w:rsidR="00231A9A" w:rsidRPr="00DB638E" w:rsidRDefault="001B59CF" w:rsidP="003C21BB">
            <w:pPr>
              <w:spacing w:after="0" w:line="240" w:lineRule="auto"/>
              <w:contextualSpacing/>
              <w:rPr>
                <w:rFonts w:ascii="Times New Roman" w:hAnsi="Times New Roman"/>
                <w:sz w:val="24"/>
                <w:szCs w:val="24"/>
              </w:rPr>
            </w:pPr>
            <w:bookmarkStart w:id="42" w:name="_Hlk74925885"/>
            <w:r w:rsidRPr="00DB638E">
              <w:rPr>
                <w:rFonts w:ascii="Times New Roman" w:hAnsi="Times New Roman"/>
                <w:sz w:val="24"/>
                <w:szCs w:val="24"/>
              </w:rPr>
              <w:t xml:space="preserve">острый </w:t>
            </w:r>
            <w:r w:rsidR="00231A9A" w:rsidRPr="00DB638E">
              <w:rPr>
                <w:rFonts w:ascii="Times New Roman" w:hAnsi="Times New Roman"/>
                <w:sz w:val="24"/>
                <w:szCs w:val="24"/>
              </w:rPr>
              <w:t>инфаркт миокарда</w:t>
            </w:r>
            <w:bookmarkEnd w:id="42"/>
          </w:p>
        </w:tc>
      </w:tr>
      <w:tr w:rsidR="00231A9A" w:rsidRPr="00DB638E" w14:paraId="5FDB8CC1"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BE94A7E" w14:textId="77777777" w:rsidR="00231A9A" w:rsidRPr="00DB638E" w:rsidRDefault="00231A9A" w:rsidP="003C21BB">
            <w:pPr>
              <w:spacing w:after="0" w:line="240" w:lineRule="auto"/>
              <w:contextualSpacing/>
              <w:rPr>
                <w:rFonts w:ascii="Times New Roman" w:hAnsi="Times New Roman"/>
                <w:b/>
                <w:bCs/>
                <w:sz w:val="24"/>
                <w:szCs w:val="24"/>
                <w:lang w:val="en-GB"/>
              </w:rPr>
            </w:pPr>
            <w:r w:rsidRPr="00DB638E">
              <w:rPr>
                <w:rFonts w:ascii="Times New Roman" w:hAnsi="Times New Roman"/>
                <w:b/>
                <w:bCs/>
                <w:sz w:val="24"/>
                <w:szCs w:val="24"/>
                <w:lang w:val="en-GB"/>
              </w:rPr>
              <w:t>Нарушения со стороны сосудов</w:t>
            </w:r>
          </w:p>
        </w:tc>
      </w:tr>
      <w:tr w:rsidR="00231A9A" w:rsidRPr="00DB638E" w14:paraId="26EE7A0C"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04B39ECF"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Очень 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9E024BE" w14:textId="77777777" w:rsidR="00231A9A" w:rsidRPr="00DB638E" w:rsidRDefault="00231A9A" w:rsidP="003C21BB">
            <w:pPr>
              <w:spacing w:after="0" w:line="240" w:lineRule="auto"/>
              <w:contextualSpacing/>
              <w:rPr>
                <w:rFonts w:ascii="Times New Roman" w:hAnsi="Times New Roman"/>
                <w:sz w:val="24"/>
                <w:szCs w:val="24"/>
                <w:lang w:val="en-GB"/>
              </w:rPr>
            </w:pPr>
            <w:bookmarkStart w:id="43" w:name="_Hlk74925025"/>
            <w:r w:rsidRPr="00DB638E">
              <w:rPr>
                <w:rFonts w:ascii="Times New Roman" w:hAnsi="Times New Roman"/>
                <w:sz w:val="24"/>
                <w:szCs w:val="24"/>
              </w:rPr>
              <w:t>повышение артериального давления</w:t>
            </w:r>
            <w:r w:rsidRPr="00DB638E">
              <w:rPr>
                <w:rFonts w:ascii="Times New Roman" w:hAnsi="Times New Roman"/>
                <w:sz w:val="24"/>
                <w:szCs w:val="24"/>
                <w:lang w:val="en-GB"/>
              </w:rPr>
              <w:t xml:space="preserve">, </w:t>
            </w:r>
            <w:r w:rsidRPr="00DB638E">
              <w:rPr>
                <w:rFonts w:ascii="Times New Roman" w:hAnsi="Times New Roman"/>
                <w:sz w:val="24"/>
                <w:szCs w:val="24"/>
              </w:rPr>
              <w:t>кровотечение</w:t>
            </w:r>
            <w:bookmarkEnd w:id="43"/>
            <w:r w:rsidR="001B59CF" w:rsidRPr="00DB638E">
              <w:rPr>
                <w:rFonts w:ascii="Times New Roman" w:hAnsi="Times New Roman"/>
                <w:sz w:val="24"/>
                <w:szCs w:val="24"/>
                <w:vertAlign w:val="superscript"/>
                <w:lang w:val="en-GB"/>
              </w:rPr>
              <w:t>b*</w:t>
            </w:r>
          </w:p>
        </w:tc>
      </w:tr>
      <w:tr w:rsidR="001B59CF" w:rsidRPr="00DB638E" w14:paraId="37EF83B7"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tcPr>
          <w:p w14:paraId="25CCDCED" w14:textId="77777777" w:rsidR="001B59CF" w:rsidRPr="00DB638E" w:rsidRDefault="001B59CF" w:rsidP="003C21BB">
            <w:pPr>
              <w:spacing w:after="0" w:line="240" w:lineRule="auto"/>
              <w:contextualSpacing/>
              <w:rPr>
                <w:rFonts w:ascii="Times New Roman" w:hAnsi="Times New Roman"/>
                <w:sz w:val="24"/>
                <w:szCs w:val="24"/>
              </w:rPr>
            </w:pPr>
            <w:r w:rsidRPr="00DB638E">
              <w:rPr>
                <w:rFonts w:ascii="Times New Roman" w:hAnsi="Times New Roman"/>
                <w:sz w:val="24"/>
                <w:szCs w:val="24"/>
              </w:rPr>
              <w:t>Часто</w:t>
            </w:r>
          </w:p>
        </w:tc>
        <w:tc>
          <w:tcPr>
            <w:tcW w:w="4011" w:type="pct"/>
            <w:tcBorders>
              <w:top w:val="single" w:sz="4" w:space="0" w:color="auto"/>
              <w:left w:val="single" w:sz="4" w:space="0" w:color="auto"/>
              <w:bottom w:val="single" w:sz="4" w:space="0" w:color="auto"/>
              <w:right w:val="single" w:sz="4" w:space="0" w:color="auto"/>
            </w:tcBorders>
            <w:vAlign w:val="center"/>
          </w:tcPr>
          <w:p w14:paraId="3F443D46" w14:textId="77777777" w:rsidR="001B59CF" w:rsidRPr="00DB638E" w:rsidRDefault="001B59CF" w:rsidP="003C21BB">
            <w:pPr>
              <w:spacing w:after="0" w:line="240" w:lineRule="auto"/>
              <w:contextualSpacing/>
              <w:rPr>
                <w:rFonts w:ascii="Times New Roman" w:hAnsi="Times New Roman"/>
                <w:sz w:val="24"/>
                <w:szCs w:val="24"/>
              </w:rPr>
            </w:pPr>
            <w:bookmarkStart w:id="44" w:name="_Hlk140479684"/>
            <w:r w:rsidRPr="00DB638E">
              <w:rPr>
                <w:rFonts w:ascii="Times New Roman" w:hAnsi="Times New Roman"/>
                <w:sz w:val="24"/>
                <w:szCs w:val="24"/>
              </w:rPr>
              <w:t>тромбоз вен</w:t>
            </w:r>
            <w:r w:rsidRPr="00DB638E">
              <w:rPr>
                <w:rFonts w:ascii="Times New Roman" w:hAnsi="Times New Roman"/>
                <w:sz w:val="24"/>
                <w:szCs w:val="24"/>
                <w:vertAlign w:val="superscript"/>
              </w:rPr>
              <w:t>с</w:t>
            </w:r>
            <w:bookmarkEnd w:id="44"/>
          </w:p>
        </w:tc>
      </w:tr>
      <w:tr w:rsidR="001B59CF" w:rsidRPr="00DB638E" w14:paraId="16A60E5A"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tcPr>
          <w:p w14:paraId="7A9CE2C9" w14:textId="77777777" w:rsidR="001B59CF" w:rsidRPr="00DB638E" w:rsidRDefault="001B59CF" w:rsidP="003C21BB">
            <w:pPr>
              <w:spacing w:after="0" w:line="240" w:lineRule="auto"/>
              <w:contextualSpacing/>
              <w:rPr>
                <w:rFonts w:ascii="Times New Roman" w:hAnsi="Times New Roman"/>
                <w:sz w:val="24"/>
                <w:szCs w:val="24"/>
              </w:rPr>
            </w:pPr>
            <w:r w:rsidRPr="00DB638E">
              <w:rPr>
                <w:rFonts w:ascii="Times New Roman" w:hAnsi="Times New Roman"/>
                <w:sz w:val="24"/>
                <w:szCs w:val="24"/>
              </w:rPr>
              <w:t>Нечасто</w:t>
            </w:r>
          </w:p>
        </w:tc>
        <w:tc>
          <w:tcPr>
            <w:tcW w:w="4011" w:type="pct"/>
            <w:tcBorders>
              <w:top w:val="single" w:sz="4" w:space="0" w:color="auto"/>
              <w:left w:val="single" w:sz="4" w:space="0" w:color="auto"/>
              <w:bottom w:val="single" w:sz="4" w:space="0" w:color="auto"/>
              <w:right w:val="single" w:sz="4" w:space="0" w:color="auto"/>
            </w:tcBorders>
            <w:vAlign w:val="center"/>
          </w:tcPr>
          <w:p w14:paraId="6FB53B04" w14:textId="42CAFFFC" w:rsidR="001B59CF" w:rsidRPr="00DB638E" w:rsidRDefault="001B59CF" w:rsidP="003C21BB">
            <w:pPr>
              <w:spacing w:after="0" w:line="240" w:lineRule="auto"/>
              <w:contextualSpacing/>
              <w:rPr>
                <w:rFonts w:ascii="Times New Roman" w:hAnsi="Times New Roman"/>
                <w:sz w:val="24"/>
                <w:szCs w:val="24"/>
              </w:rPr>
            </w:pPr>
            <w:bookmarkStart w:id="45" w:name="_Hlk140479795"/>
            <w:r w:rsidRPr="00DB638E">
              <w:rPr>
                <w:rFonts w:ascii="Times New Roman" w:hAnsi="Times New Roman"/>
                <w:sz w:val="24"/>
                <w:szCs w:val="24"/>
              </w:rPr>
              <w:t>гипертонический криз, артериальный тромбоз</w:t>
            </w:r>
            <w:bookmarkEnd w:id="45"/>
            <w:r w:rsidR="00A13FDE" w:rsidRPr="00DB638E">
              <w:rPr>
                <w:rFonts w:ascii="Times New Roman" w:hAnsi="Times New Roman"/>
                <w:sz w:val="24"/>
                <w:szCs w:val="24"/>
              </w:rPr>
              <w:t>, артериальная эмболия</w:t>
            </w:r>
          </w:p>
        </w:tc>
      </w:tr>
      <w:tr w:rsidR="00231A9A" w:rsidRPr="00DB638E" w14:paraId="6994E054"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7B815CF2" w14:textId="77777777" w:rsidR="00231A9A" w:rsidRPr="00DB638E" w:rsidRDefault="00231A9A" w:rsidP="003C21BB">
            <w:pPr>
              <w:spacing w:after="0" w:line="240" w:lineRule="auto"/>
              <w:contextualSpacing/>
              <w:rPr>
                <w:rFonts w:ascii="Times New Roman" w:hAnsi="Times New Roman"/>
                <w:sz w:val="24"/>
                <w:szCs w:val="24"/>
              </w:rPr>
            </w:pPr>
            <w:r w:rsidRPr="00DB638E">
              <w:rPr>
                <w:rFonts w:ascii="Times New Roman" w:hAnsi="Times New Roman"/>
                <w:sz w:val="24"/>
                <w:szCs w:val="24"/>
              </w:rPr>
              <w:t>Неизвестно</w:t>
            </w:r>
          </w:p>
        </w:tc>
        <w:tc>
          <w:tcPr>
            <w:tcW w:w="4011" w:type="pct"/>
            <w:tcBorders>
              <w:top w:val="single" w:sz="4" w:space="0" w:color="auto"/>
              <w:left w:val="single" w:sz="4" w:space="0" w:color="auto"/>
              <w:bottom w:val="single" w:sz="4" w:space="0" w:color="auto"/>
              <w:right w:val="single" w:sz="4" w:space="0" w:color="auto"/>
            </w:tcBorders>
            <w:vAlign w:val="center"/>
            <w:hideMark/>
          </w:tcPr>
          <w:p w14:paraId="2CD7B058" w14:textId="77777777" w:rsidR="00231A9A" w:rsidRPr="00DB638E" w:rsidRDefault="00231A9A" w:rsidP="003C21BB">
            <w:pPr>
              <w:spacing w:after="0" w:line="240" w:lineRule="auto"/>
              <w:contextualSpacing/>
              <w:rPr>
                <w:rFonts w:ascii="Times New Roman" w:hAnsi="Times New Roman"/>
                <w:sz w:val="24"/>
                <w:szCs w:val="24"/>
                <w:lang w:val="en-GB"/>
              </w:rPr>
            </w:pPr>
            <w:bookmarkStart w:id="46" w:name="_Hlk74925896"/>
            <w:r w:rsidRPr="00DB638E">
              <w:rPr>
                <w:rFonts w:ascii="Times New Roman" w:hAnsi="Times New Roman"/>
                <w:sz w:val="24"/>
                <w:szCs w:val="24"/>
                <w:lang w:val="en-GB"/>
              </w:rPr>
              <w:t>аневризмы и расслоения артерии</w:t>
            </w:r>
            <w:bookmarkEnd w:id="46"/>
          </w:p>
        </w:tc>
      </w:tr>
      <w:tr w:rsidR="00231A9A" w:rsidRPr="00DB638E" w14:paraId="2F26E094"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F6EF7D8" w14:textId="77777777" w:rsidR="00231A9A" w:rsidRPr="00DB638E" w:rsidRDefault="00231A9A" w:rsidP="003C21BB">
            <w:pPr>
              <w:spacing w:after="0" w:line="240" w:lineRule="auto"/>
              <w:contextualSpacing/>
              <w:rPr>
                <w:rFonts w:ascii="Times New Roman" w:hAnsi="Times New Roman"/>
                <w:b/>
                <w:sz w:val="24"/>
                <w:szCs w:val="24"/>
              </w:rPr>
            </w:pPr>
            <w:r w:rsidRPr="00DB638E">
              <w:rPr>
                <w:rFonts w:ascii="Times New Roman" w:hAnsi="Times New Roman"/>
                <w:b/>
                <w:sz w:val="24"/>
                <w:szCs w:val="24"/>
              </w:rPr>
              <w:t>Нарушения со стороны дыхательной системы, органов грудной клетки и средостения</w:t>
            </w:r>
          </w:p>
        </w:tc>
      </w:tr>
      <w:tr w:rsidR="00231A9A" w:rsidRPr="00DB638E" w14:paraId="359C6174"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01824FB5"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lastRenderedPageBreak/>
              <w:t xml:space="preserve">Очень часто </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F38803B" w14:textId="77777777" w:rsidR="00231A9A" w:rsidRPr="00DB638E" w:rsidRDefault="00231A9A" w:rsidP="003C21BB">
            <w:pPr>
              <w:spacing w:after="0" w:line="240" w:lineRule="auto"/>
              <w:contextualSpacing/>
              <w:rPr>
                <w:rFonts w:ascii="Times New Roman" w:hAnsi="Times New Roman"/>
                <w:sz w:val="24"/>
                <w:szCs w:val="24"/>
                <w:lang w:val="en-GB"/>
              </w:rPr>
            </w:pPr>
            <w:bookmarkStart w:id="47" w:name="_Hlk74925035"/>
            <w:r w:rsidRPr="00DB638E">
              <w:rPr>
                <w:rFonts w:ascii="Times New Roman" w:hAnsi="Times New Roman"/>
                <w:sz w:val="24"/>
                <w:szCs w:val="24"/>
                <w:lang w:val="en-GB"/>
              </w:rPr>
              <w:t xml:space="preserve">дисфония, </w:t>
            </w:r>
            <w:r w:rsidRPr="00DB638E">
              <w:rPr>
                <w:rFonts w:ascii="Times New Roman" w:hAnsi="Times New Roman"/>
                <w:sz w:val="24"/>
                <w:szCs w:val="24"/>
              </w:rPr>
              <w:t>диспноэ</w:t>
            </w:r>
            <w:r w:rsidRPr="00DB638E">
              <w:rPr>
                <w:rFonts w:ascii="Times New Roman" w:hAnsi="Times New Roman"/>
                <w:sz w:val="24"/>
                <w:szCs w:val="24"/>
                <w:lang w:val="en-GB"/>
              </w:rPr>
              <w:t xml:space="preserve">, </w:t>
            </w:r>
            <w:r w:rsidRPr="00DB638E">
              <w:rPr>
                <w:rFonts w:ascii="Times New Roman" w:hAnsi="Times New Roman"/>
                <w:sz w:val="24"/>
                <w:szCs w:val="24"/>
              </w:rPr>
              <w:t>кашель</w:t>
            </w:r>
            <w:bookmarkEnd w:id="47"/>
          </w:p>
        </w:tc>
      </w:tr>
      <w:tr w:rsidR="00231A9A" w:rsidRPr="00DB638E" w14:paraId="6C740782"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4B53747C" w14:textId="77777777" w:rsidR="00231A9A" w:rsidRPr="00DB638E" w:rsidRDefault="00231A9A" w:rsidP="003C21BB">
            <w:pPr>
              <w:spacing w:after="0" w:line="240" w:lineRule="auto"/>
              <w:contextualSpacing/>
              <w:rPr>
                <w:rFonts w:ascii="Times New Roman" w:hAnsi="Times New Roman"/>
                <w:sz w:val="24"/>
                <w:szCs w:val="24"/>
              </w:rPr>
            </w:pPr>
            <w:r w:rsidRPr="00DB638E">
              <w:rPr>
                <w:rFonts w:ascii="Times New Roman" w:hAnsi="Times New Roman"/>
                <w:sz w:val="24"/>
                <w:szCs w:val="24"/>
              </w:rPr>
              <w:t>Часто</w:t>
            </w:r>
          </w:p>
        </w:tc>
        <w:tc>
          <w:tcPr>
            <w:tcW w:w="4011" w:type="pct"/>
            <w:tcBorders>
              <w:top w:val="single" w:sz="4" w:space="0" w:color="auto"/>
              <w:left w:val="single" w:sz="4" w:space="0" w:color="auto"/>
              <w:bottom w:val="single" w:sz="4" w:space="0" w:color="auto"/>
              <w:right w:val="single" w:sz="4" w:space="0" w:color="auto"/>
            </w:tcBorders>
            <w:vAlign w:val="center"/>
            <w:hideMark/>
          </w:tcPr>
          <w:p w14:paraId="5BA88E9D" w14:textId="77777777" w:rsidR="00231A9A" w:rsidRPr="00DB638E" w:rsidRDefault="00231A9A" w:rsidP="003C21BB">
            <w:pPr>
              <w:spacing w:after="0" w:line="240" w:lineRule="auto"/>
              <w:contextualSpacing/>
              <w:rPr>
                <w:rFonts w:ascii="Times New Roman" w:hAnsi="Times New Roman"/>
                <w:sz w:val="24"/>
                <w:szCs w:val="24"/>
              </w:rPr>
            </w:pPr>
            <w:bookmarkStart w:id="48" w:name="_Hlk74925224"/>
            <w:r w:rsidRPr="00DB638E">
              <w:rPr>
                <w:rFonts w:ascii="Times New Roman" w:hAnsi="Times New Roman"/>
                <w:sz w:val="24"/>
                <w:szCs w:val="24"/>
              </w:rPr>
              <w:t>легочная эмболия</w:t>
            </w:r>
            <w:bookmarkEnd w:id="48"/>
          </w:p>
        </w:tc>
      </w:tr>
      <w:tr w:rsidR="001B59CF" w:rsidRPr="00DB638E" w14:paraId="641D9AFD"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tcPr>
          <w:p w14:paraId="3A50E456" w14:textId="77777777" w:rsidR="001B59CF" w:rsidRPr="00DB638E" w:rsidRDefault="001B59CF" w:rsidP="003C21BB">
            <w:pPr>
              <w:spacing w:after="0" w:line="240" w:lineRule="auto"/>
              <w:contextualSpacing/>
              <w:rPr>
                <w:rFonts w:ascii="Times New Roman" w:hAnsi="Times New Roman"/>
                <w:sz w:val="24"/>
                <w:szCs w:val="24"/>
              </w:rPr>
            </w:pPr>
            <w:r w:rsidRPr="00DB638E">
              <w:rPr>
                <w:rFonts w:ascii="Times New Roman" w:hAnsi="Times New Roman"/>
                <w:sz w:val="24"/>
                <w:szCs w:val="24"/>
              </w:rPr>
              <w:t>Нечасто</w:t>
            </w:r>
          </w:p>
        </w:tc>
        <w:tc>
          <w:tcPr>
            <w:tcW w:w="4011" w:type="pct"/>
            <w:tcBorders>
              <w:top w:val="single" w:sz="4" w:space="0" w:color="auto"/>
              <w:left w:val="single" w:sz="4" w:space="0" w:color="auto"/>
              <w:bottom w:val="single" w:sz="4" w:space="0" w:color="auto"/>
              <w:right w:val="single" w:sz="4" w:space="0" w:color="auto"/>
            </w:tcBorders>
            <w:vAlign w:val="center"/>
          </w:tcPr>
          <w:p w14:paraId="4C54967A" w14:textId="77777777" w:rsidR="001B59CF" w:rsidRPr="00DB638E" w:rsidRDefault="001B59CF" w:rsidP="003C21BB">
            <w:pPr>
              <w:spacing w:after="0" w:line="240" w:lineRule="auto"/>
              <w:contextualSpacing/>
              <w:rPr>
                <w:rFonts w:ascii="Times New Roman" w:hAnsi="Times New Roman"/>
                <w:sz w:val="24"/>
                <w:szCs w:val="24"/>
              </w:rPr>
            </w:pPr>
            <w:bookmarkStart w:id="49" w:name="_Hlk140479804"/>
            <w:r w:rsidRPr="00DB638E">
              <w:rPr>
                <w:rFonts w:ascii="Times New Roman" w:hAnsi="Times New Roman"/>
                <w:sz w:val="24"/>
                <w:szCs w:val="24"/>
              </w:rPr>
              <w:t>пневмоторакс</w:t>
            </w:r>
            <w:bookmarkEnd w:id="49"/>
          </w:p>
        </w:tc>
      </w:tr>
      <w:tr w:rsidR="00231A9A" w:rsidRPr="00DB638E" w14:paraId="62F2079C"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ECFBF7D" w14:textId="77777777" w:rsidR="00231A9A" w:rsidRPr="00DB638E" w:rsidRDefault="00231A9A" w:rsidP="003C21BB">
            <w:pPr>
              <w:spacing w:after="0" w:line="240" w:lineRule="auto"/>
              <w:contextualSpacing/>
              <w:rPr>
                <w:rFonts w:ascii="Times New Roman" w:hAnsi="Times New Roman"/>
                <w:b/>
                <w:bCs/>
                <w:sz w:val="24"/>
                <w:szCs w:val="24"/>
              </w:rPr>
            </w:pPr>
            <w:r w:rsidRPr="00DB638E">
              <w:rPr>
                <w:rFonts w:ascii="Times New Roman" w:hAnsi="Times New Roman"/>
                <w:b/>
                <w:bCs/>
                <w:sz w:val="24"/>
                <w:szCs w:val="24"/>
              </w:rPr>
              <w:t>Нарушения со стороны желудочно-кишечного тракта</w:t>
            </w:r>
          </w:p>
        </w:tc>
      </w:tr>
      <w:tr w:rsidR="00231A9A" w:rsidRPr="00DB638E" w14:paraId="0FB54E92"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7A1AC668"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Очень 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03A82B5" w14:textId="77777777" w:rsidR="00231A9A" w:rsidRPr="00DB638E" w:rsidRDefault="00231A9A" w:rsidP="003C21BB">
            <w:pPr>
              <w:spacing w:after="0" w:line="240" w:lineRule="auto"/>
              <w:contextualSpacing/>
              <w:rPr>
                <w:rFonts w:ascii="Times New Roman" w:hAnsi="Times New Roman"/>
                <w:sz w:val="24"/>
                <w:szCs w:val="24"/>
              </w:rPr>
            </w:pPr>
            <w:bookmarkStart w:id="50" w:name="_Hlk74925044"/>
            <w:r w:rsidRPr="00DB638E">
              <w:rPr>
                <w:rFonts w:ascii="Times New Roman" w:hAnsi="Times New Roman"/>
                <w:sz w:val="24"/>
                <w:szCs w:val="24"/>
              </w:rPr>
              <w:t>диарея</w:t>
            </w:r>
            <w:r w:rsidRPr="00DB638E">
              <w:rPr>
                <w:rFonts w:ascii="Times New Roman" w:hAnsi="Times New Roman"/>
                <w:sz w:val="24"/>
                <w:szCs w:val="24"/>
                <w:vertAlign w:val="superscript"/>
              </w:rPr>
              <w:t>*</w:t>
            </w:r>
            <w:r w:rsidRPr="00DB638E">
              <w:rPr>
                <w:rFonts w:ascii="Times New Roman" w:hAnsi="Times New Roman"/>
                <w:sz w:val="24"/>
                <w:szCs w:val="24"/>
              </w:rPr>
              <w:t>, тошнота, рвота, стоматит, запор, боль в животе, диспепсия</w:t>
            </w:r>
            <w:bookmarkEnd w:id="50"/>
          </w:p>
        </w:tc>
      </w:tr>
      <w:tr w:rsidR="00231A9A" w:rsidRPr="00DB638E" w14:paraId="6CE53074"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3993F169"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BA10FB9" w14:textId="09874DED" w:rsidR="00231A9A" w:rsidRPr="00DB638E" w:rsidRDefault="00231A9A" w:rsidP="003C21BB">
            <w:pPr>
              <w:spacing w:after="0" w:line="240" w:lineRule="auto"/>
              <w:contextualSpacing/>
              <w:rPr>
                <w:rFonts w:ascii="Times New Roman" w:hAnsi="Times New Roman"/>
                <w:sz w:val="24"/>
                <w:szCs w:val="24"/>
              </w:rPr>
            </w:pPr>
            <w:bookmarkStart w:id="51" w:name="_Hlk74925234"/>
            <w:r w:rsidRPr="00DB638E">
              <w:rPr>
                <w:rFonts w:ascii="Times New Roman" w:hAnsi="Times New Roman"/>
                <w:sz w:val="24"/>
                <w:szCs w:val="24"/>
              </w:rPr>
              <w:t>перфорация желудочно-кишечного тракта</w:t>
            </w:r>
            <w:r w:rsidRPr="00DB638E">
              <w:rPr>
                <w:rFonts w:ascii="Times New Roman" w:hAnsi="Times New Roman"/>
                <w:sz w:val="24"/>
                <w:szCs w:val="24"/>
                <w:vertAlign w:val="superscript"/>
              </w:rPr>
              <w:t>*</w:t>
            </w:r>
            <w:r w:rsidRPr="00DB638E">
              <w:rPr>
                <w:rFonts w:ascii="Times New Roman" w:hAnsi="Times New Roman"/>
                <w:sz w:val="24"/>
                <w:szCs w:val="24"/>
              </w:rPr>
              <w:t xml:space="preserve">, </w:t>
            </w:r>
            <w:r w:rsidR="00B806DC" w:rsidRPr="00DB638E">
              <w:rPr>
                <w:rFonts w:ascii="Times New Roman" w:hAnsi="Times New Roman"/>
                <w:sz w:val="24"/>
                <w:szCs w:val="24"/>
              </w:rPr>
              <w:t>п</w:t>
            </w:r>
            <w:r w:rsidR="001B59CF" w:rsidRPr="00DB638E">
              <w:rPr>
                <w:rFonts w:ascii="Times New Roman" w:hAnsi="Times New Roman"/>
                <w:sz w:val="24"/>
                <w:szCs w:val="24"/>
              </w:rPr>
              <w:t xml:space="preserve">анкреатит, </w:t>
            </w:r>
            <w:r w:rsidRPr="00DB638E">
              <w:rPr>
                <w:rFonts w:ascii="Times New Roman" w:hAnsi="Times New Roman"/>
                <w:sz w:val="24"/>
                <w:szCs w:val="24"/>
              </w:rPr>
              <w:t>свищ</w:t>
            </w:r>
            <w:r w:rsidRPr="00DB638E">
              <w:rPr>
                <w:rFonts w:ascii="Times New Roman" w:hAnsi="Times New Roman"/>
                <w:sz w:val="24"/>
                <w:szCs w:val="24"/>
                <w:vertAlign w:val="superscript"/>
              </w:rPr>
              <w:t>*</w:t>
            </w:r>
            <w:r w:rsidRPr="00DB638E">
              <w:rPr>
                <w:rFonts w:ascii="Times New Roman" w:hAnsi="Times New Roman"/>
                <w:sz w:val="24"/>
                <w:szCs w:val="24"/>
              </w:rPr>
              <w:t>, гастроэзофагеальная рефлюксная болезнь, геморрой, боль в ротовой полости, сухость во рту, дисфагия</w:t>
            </w:r>
            <w:bookmarkEnd w:id="51"/>
          </w:p>
        </w:tc>
      </w:tr>
      <w:tr w:rsidR="001B59CF" w:rsidRPr="00DB638E" w14:paraId="2846565D"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tcPr>
          <w:p w14:paraId="2F80C2E9" w14:textId="77777777" w:rsidR="001B59CF" w:rsidRPr="00DB638E" w:rsidRDefault="001B59CF" w:rsidP="003C21BB">
            <w:pPr>
              <w:spacing w:after="0" w:line="240" w:lineRule="auto"/>
              <w:contextualSpacing/>
              <w:rPr>
                <w:rFonts w:ascii="Times New Roman" w:hAnsi="Times New Roman"/>
                <w:sz w:val="24"/>
                <w:szCs w:val="24"/>
              </w:rPr>
            </w:pPr>
            <w:r w:rsidRPr="00DB638E">
              <w:rPr>
                <w:rFonts w:ascii="Times New Roman" w:hAnsi="Times New Roman"/>
                <w:sz w:val="24"/>
                <w:szCs w:val="24"/>
              </w:rPr>
              <w:t>Нечасто</w:t>
            </w:r>
          </w:p>
        </w:tc>
        <w:tc>
          <w:tcPr>
            <w:tcW w:w="4011" w:type="pct"/>
            <w:tcBorders>
              <w:top w:val="single" w:sz="4" w:space="0" w:color="auto"/>
              <w:left w:val="single" w:sz="4" w:space="0" w:color="auto"/>
              <w:bottom w:val="single" w:sz="4" w:space="0" w:color="auto"/>
              <w:right w:val="single" w:sz="4" w:space="0" w:color="auto"/>
            </w:tcBorders>
            <w:vAlign w:val="center"/>
          </w:tcPr>
          <w:p w14:paraId="79C2265A" w14:textId="77777777" w:rsidR="001B59CF" w:rsidRPr="00DB638E" w:rsidRDefault="001B59CF" w:rsidP="003C21BB">
            <w:pPr>
              <w:spacing w:after="0" w:line="240" w:lineRule="auto"/>
              <w:contextualSpacing/>
              <w:rPr>
                <w:rFonts w:ascii="Times New Roman" w:hAnsi="Times New Roman"/>
                <w:sz w:val="24"/>
                <w:szCs w:val="24"/>
              </w:rPr>
            </w:pPr>
            <w:bookmarkStart w:id="52" w:name="_Hlk140479813"/>
            <w:r w:rsidRPr="00DB638E">
              <w:rPr>
                <w:rFonts w:ascii="Times New Roman" w:hAnsi="Times New Roman"/>
                <w:sz w:val="24"/>
                <w:szCs w:val="24"/>
              </w:rPr>
              <w:t>глоссодиния</w:t>
            </w:r>
            <w:bookmarkEnd w:id="52"/>
          </w:p>
        </w:tc>
      </w:tr>
      <w:tr w:rsidR="00231A9A" w:rsidRPr="00DB638E" w14:paraId="220072BC"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D6BF771" w14:textId="77777777" w:rsidR="00231A9A" w:rsidRPr="00DB638E" w:rsidRDefault="00231A9A" w:rsidP="003C21BB">
            <w:pPr>
              <w:spacing w:after="0" w:line="240" w:lineRule="auto"/>
              <w:contextualSpacing/>
              <w:rPr>
                <w:rFonts w:ascii="Times New Roman" w:hAnsi="Times New Roman"/>
                <w:b/>
                <w:sz w:val="24"/>
                <w:szCs w:val="24"/>
              </w:rPr>
            </w:pPr>
            <w:r w:rsidRPr="00DB638E">
              <w:rPr>
                <w:rFonts w:ascii="Times New Roman" w:hAnsi="Times New Roman"/>
                <w:b/>
                <w:sz w:val="24"/>
                <w:szCs w:val="24"/>
              </w:rPr>
              <w:t>Нарушения со стороны печени и желчевыводящих путей</w:t>
            </w:r>
          </w:p>
        </w:tc>
      </w:tr>
      <w:tr w:rsidR="00231A9A" w:rsidRPr="00DB638E" w14:paraId="58E2309E"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063E511F" w14:textId="77777777" w:rsidR="00231A9A" w:rsidRPr="00DB638E" w:rsidRDefault="00231A9A" w:rsidP="003C21BB">
            <w:pPr>
              <w:spacing w:after="0" w:line="240" w:lineRule="auto"/>
              <w:contextualSpacing/>
              <w:rPr>
                <w:rFonts w:ascii="Times New Roman" w:hAnsi="Times New Roman"/>
                <w:sz w:val="24"/>
                <w:szCs w:val="24"/>
              </w:rPr>
            </w:pPr>
            <w:r w:rsidRPr="00DB638E">
              <w:rPr>
                <w:rFonts w:ascii="Times New Roman" w:hAnsi="Times New Roman"/>
                <w:sz w:val="24"/>
                <w:szCs w:val="24"/>
              </w:rPr>
              <w:t>Часто</w:t>
            </w:r>
          </w:p>
        </w:tc>
        <w:tc>
          <w:tcPr>
            <w:tcW w:w="4011" w:type="pct"/>
            <w:tcBorders>
              <w:top w:val="single" w:sz="4" w:space="0" w:color="auto"/>
              <w:left w:val="single" w:sz="4" w:space="0" w:color="auto"/>
              <w:bottom w:val="single" w:sz="4" w:space="0" w:color="auto"/>
              <w:right w:val="single" w:sz="4" w:space="0" w:color="auto"/>
            </w:tcBorders>
            <w:vAlign w:val="center"/>
            <w:hideMark/>
          </w:tcPr>
          <w:p w14:paraId="1FBAB5EE" w14:textId="77777777" w:rsidR="00231A9A" w:rsidRPr="00DB638E" w:rsidRDefault="00231A9A" w:rsidP="003C21BB">
            <w:pPr>
              <w:spacing w:after="0" w:line="240" w:lineRule="auto"/>
              <w:contextualSpacing/>
              <w:rPr>
                <w:rFonts w:ascii="Times New Roman" w:hAnsi="Times New Roman"/>
                <w:sz w:val="24"/>
                <w:szCs w:val="24"/>
                <w:lang w:val="en-GB"/>
              </w:rPr>
            </w:pPr>
            <w:bookmarkStart w:id="53" w:name="_Hlk140479722"/>
            <w:bookmarkStart w:id="54" w:name="_Hlk74925243"/>
            <w:r w:rsidRPr="00DB638E">
              <w:rPr>
                <w:rFonts w:ascii="Times New Roman" w:hAnsi="Times New Roman"/>
                <w:sz w:val="24"/>
                <w:szCs w:val="24"/>
              </w:rPr>
              <w:t>печеночная энцефалопатия</w:t>
            </w:r>
            <w:bookmarkEnd w:id="53"/>
            <w:r w:rsidRPr="00DB638E">
              <w:rPr>
                <w:rFonts w:ascii="Times New Roman" w:hAnsi="Times New Roman"/>
                <w:sz w:val="24"/>
                <w:szCs w:val="24"/>
                <w:vertAlign w:val="superscript"/>
                <w:lang w:val="en-GB"/>
              </w:rPr>
              <w:t>*</w:t>
            </w:r>
            <w:bookmarkEnd w:id="54"/>
          </w:p>
        </w:tc>
      </w:tr>
      <w:tr w:rsidR="00231A9A" w:rsidRPr="00DB638E" w14:paraId="04ED4638"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78701056"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Нечасто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E2FA581" w14:textId="77777777" w:rsidR="00231A9A" w:rsidRPr="00DB638E" w:rsidRDefault="00231A9A" w:rsidP="003C21BB">
            <w:pPr>
              <w:spacing w:after="0" w:line="240" w:lineRule="auto"/>
              <w:contextualSpacing/>
              <w:rPr>
                <w:rFonts w:ascii="Times New Roman" w:hAnsi="Times New Roman"/>
                <w:sz w:val="24"/>
                <w:szCs w:val="24"/>
                <w:lang w:val="en-GB"/>
              </w:rPr>
            </w:pPr>
            <w:bookmarkStart w:id="55" w:name="_Hlk74925714"/>
            <w:r w:rsidRPr="00DB638E">
              <w:rPr>
                <w:rFonts w:ascii="Times New Roman" w:hAnsi="Times New Roman"/>
                <w:sz w:val="24"/>
                <w:szCs w:val="24"/>
                <w:lang w:val="en-US"/>
              </w:rPr>
              <w:t>холестатический гепатит</w:t>
            </w:r>
            <w:bookmarkEnd w:id="55"/>
          </w:p>
        </w:tc>
      </w:tr>
      <w:tr w:rsidR="00231A9A" w:rsidRPr="00DB638E" w14:paraId="5919D0DF"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DAB8BAB" w14:textId="77777777" w:rsidR="00231A9A" w:rsidRPr="00DB638E" w:rsidRDefault="00231A9A" w:rsidP="003C21BB">
            <w:pPr>
              <w:spacing w:after="0" w:line="240" w:lineRule="auto"/>
              <w:contextualSpacing/>
              <w:rPr>
                <w:rFonts w:ascii="Times New Roman" w:hAnsi="Times New Roman"/>
                <w:b/>
                <w:bCs/>
                <w:sz w:val="24"/>
                <w:szCs w:val="24"/>
              </w:rPr>
            </w:pPr>
            <w:r w:rsidRPr="00DB638E">
              <w:rPr>
                <w:rFonts w:ascii="Times New Roman" w:hAnsi="Times New Roman"/>
                <w:b/>
                <w:bCs/>
                <w:sz w:val="24"/>
                <w:szCs w:val="24"/>
              </w:rPr>
              <w:t>Нарушения со стороны кожи и подкожных тканей</w:t>
            </w:r>
          </w:p>
        </w:tc>
      </w:tr>
      <w:tr w:rsidR="00231A9A" w:rsidRPr="00DB638E" w14:paraId="3475ABED"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4E6EEC3A"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Очень 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10695885" w14:textId="77777777" w:rsidR="00231A9A" w:rsidRPr="00DB638E" w:rsidRDefault="00231A9A" w:rsidP="003C21BB">
            <w:pPr>
              <w:spacing w:after="0" w:line="240" w:lineRule="auto"/>
              <w:contextualSpacing/>
              <w:rPr>
                <w:rFonts w:ascii="Times New Roman" w:hAnsi="Times New Roman"/>
                <w:sz w:val="24"/>
                <w:szCs w:val="24"/>
              </w:rPr>
            </w:pPr>
            <w:bookmarkStart w:id="56" w:name="_Hlk74925057"/>
            <w:r w:rsidRPr="00DB638E">
              <w:rPr>
                <w:rFonts w:ascii="Times New Roman" w:hAnsi="Times New Roman"/>
                <w:sz w:val="24"/>
                <w:szCs w:val="24"/>
              </w:rPr>
              <w:t>ладонно-подошвенный синдром</w:t>
            </w:r>
            <w:r w:rsidRPr="00DB638E">
              <w:rPr>
                <w:rFonts w:ascii="Times New Roman" w:hAnsi="Times New Roman"/>
                <w:sz w:val="24"/>
                <w:szCs w:val="24"/>
                <w:lang w:val="en-US"/>
              </w:rPr>
              <w:t> </w:t>
            </w:r>
            <w:r w:rsidRPr="00DB638E">
              <w:rPr>
                <w:rFonts w:ascii="Times New Roman" w:hAnsi="Times New Roman"/>
                <w:sz w:val="24"/>
                <w:szCs w:val="24"/>
              </w:rPr>
              <w:t>(ладонно-подошвенная эритродизестезия), сыпь</w:t>
            </w:r>
            <w:bookmarkEnd w:id="56"/>
          </w:p>
        </w:tc>
      </w:tr>
      <w:tr w:rsidR="00231A9A" w:rsidRPr="00DB638E" w14:paraId="2114A5A3"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21517320"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4CBA45CD" w14:textId="77777777" w:rsidR="00231A9A" w:rsidRPr="00DB638E" w:rsidRDefault="00231A9A" w:rsidP="003C21BB">
            <w:pPr>
              <w:spacing w:after="0" w:line="240" w:lineRule="auto"/>
              <w:contextualSpacing/>
              <w:rPr>
                <w:rFonts w:ascii="Times New Roman" w:hAnsi="Times New Roman"/>
                <w:sz w:val="24"/>
                <w:szCs w:val="24"/>
              </w:rPr>
            </w:pPr>
            <w:bookmarkStart w:id="57" w:name="_Hlk74925253"/>
            <w:bookmarkStart w:id="58" w:name="_Hlk140479731"/>
            <w:r w:rsidRPr="00DB638E">
              <w:rPr>
                <w:rFonts w:ascii="Times New Roman" w:hAnsi="Times New Roman"/>
                <w:sz w:val="24"/>
                <w:szCs w:val="24"/>
              </w:rPr>
              <w:t>зуд, алопеция, сухость кожи, акнеформный дерматит, изменение цвета волос, гиперкератоз</w:t>
            </w:r>
            <w:bookmarkEnd w:id="57"/>
            <w:r w:rsidR="00E331B0" w:rsidRPr="00DB638E">
              <w:rPr>
                <w:rFonts w:ascii="Times New Roman" w:hAnsi="Times New Roman"/>
                <w:sz w:val="24"/>
                <w:szCs w:val="24"/>
              </w:rPr>
              <w:t>, покраснение кожи</w:t>
            </w:r>
            <w:bookmarkEnd w:id="58"/>
          </w:p>
        </w:tc>
      </w:tr>
      <w:tr w:rsidR="00E331B0" w:rsidRPr="00DB638E" w14:paraId="5C58A272"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tcPr>
          <w:p w14:paraId="302321BA" w14:textId="77777777" w:rsidR="00E331B0" w:rsidRPr="00DB638E" w:rsidRDefault="00E331B0" w:rsidP="003C21BB">
            <w:pPr>
              <w:spacing w:after="0" w:line="240" w:lineRule="auto"/>
              <w:contextualSpacing/>
              <w:rPr>
                <w:rFonts w:ascii="Times New Roman" w:hAnsi="Times New Roman"/>
                <w:sz w:val="24"/>
                <w:szCs w:val="24"/>
              </w:rPr>
            </w:pPr>
            <w:r w:rsidRPr="00DB638E">
              <w:rPr>
                <w:rFonts w:ascii="Times New Roman" w:hAnsi="Times New Roman"/>
                <w:sz w:val="24"/>
                <w:szCs w:val="24"/>
              </w:rPr>
              <w:t>Неизвестно</w:t>
            </w:r>
          </w:p>
        </w:tc>
        <w:tc>
          <w:tcPr>
            <w:tcW w:w="4011" w:type="pct"/>
            <w:tcBorders>
              <w:top w:val="single" w:sz="4" w:space="0" w:color="auto"/>
              <w:left w:val="single" w:sz="4" w:space="0" w:color="auto"/>
              <w:bottom w:val="single" w:sz="4" w:space="0" w:color="auto"/>
              <w:right w:val="single" w:sz="4" w:space="0" w:color="auto"/>
            </w:tcBorders>
            <w:vAlign w:val="center"/>
          </w:tcPr>
          <w:p w14:paraId="4ED1A94C" w14:textId="77777777" w:rsidR="00E331B0" w:rsidRPr="00DB638E" w:rsidRDefault="00E331B0" w:rsidP="003C21BB">
            <w:pPr>
              <w:spacing w:after="0" w:line="240" w:lineRule="auto"/>
              <w:contextualSpacing/>
              <w:rPr>
                <w:rFonts w:ascii="Times New Roman" w:hAnsi="Times New Roman"/>
                <w:sz w:val="24"/>
                <w:szCs w:val="24"/>
              </w:rPr>
            </w:pPr>
            <w:r w:rsidRPr="00DB638E">
              <w:rPr>
                <w:rFonts w:ascii="Times New Roman" w:hAnsi="Times New Roman"/>
                <w:sz w:val="24"/>
                <w:szCs w:val="24"/>
              </w:rPr>
              <w:t>кожный васкулит</w:t>
            </w:r>
          </w:p>
        </w:tc>
      </w:tr>
      <w:tr w:rsidR="00231A9A" w:rsidRPr="00DB638E" w14:paraId="3A28002B"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F5CE773" w14:textId="77777777" w:rsidR="00231A9A" w:rsidRPr="00DB638E" w:rsidRDefault="00231A9A" w:rsidP="003C21BB">
            <w:pPr>
              <w:spacing w:after="0" w:line="240" w:lineRule="auto"/>
              <w:contextualSpacing/>
              <w:rPr>
                <w:rFonts w:ascii="Times New Roman" w:hAnsi="Times New Roman"/>
                <w:b/>
                <w:sz w:val="24"/>
                <w:szCs w:val="24"/>
              </w:rPr>
            </w:pPr>
            <w:r w:rsidRPr="00DB638E">
              <w:rPr>
                <w:rFonts w:ascii="Times New Roman" w:hAnsi="Times New Roman"/>
                <w:b/>
                <w:sz w:val="24"/>
                <w:szCs w:val="24"/>
              </w:rPr>
              <w:t>Нарушения со стороны скелетно-мышечной и соединительной ткани</w:t>
            </w:r>
          </w:p>
        </w:tc>
      </w:tr>
      <w:tr w:rsidR="00231A9A" w:rsidRPr="00DB638E" w14:paraId="0FE0CD79"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2B9B3FD9"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Очень 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DED3395" w14:textId="77777777" w:rsidR="00231A9A" w:rsidRPr="00DB638E" w:rsidRDefault="00231A9A" w:rsidP="003C21BB">
            <w:pPr>
              <w:spacing w:after="0" w:line="240" w:lineRule="auto"/>
              <w:contextualSpacing/>
              <w:rPr>
                <w:rFonts w:ascii="Times New Roman" w:hAnsi="Times New Roman"/>
                <w:sz w:val="24"/>
                <w:szCs w:val="24"/>
                <w:lang w:val="en-GB"/>
              </w:rPr>
            </w:pPr>
            <w:bookmarkStart w:id="59" w:name="_Hlk74925067"/>
            <w:r w:rsidRPr="00DB638E">
              <w:rPr>
                <w:rFonts w:ascii="Times New Roman" w:hAnsi="Times New Roman"/>
                <w:sz w:val="24"/>
                <w:szCs w:val="24"/>
              </w:rPr>
              <w:t>боль в конечностях</w:t>
            </w:r>
            <w:bookmarkEnd w:id="59"/>
          </w:p>
        </w:tc>
      </w:tr>
      <w:tr w:rsidR="00231A9A" w:rsidRPr="00DB638E" w14:paraId="0E61CA88"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3E3755A0"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6BDCBD94" w14:textId="77777777" w:rsidR="00231A9A" w:rsidRPr="00DB638E" w:rsidRDefault="00231A9A" w:rsidP="003C21BB">
            <w:pPr>
              <w:spacing w:after="0" w:line="240" w:lineRule="auto"/>
              <w:contextualSpacing/>
              <w:rPr>
                <w:rFonts w:ascii="Times New Roman" w:hAnsi="Times New Roman"/>
                <w:sz w:val="24"/>
                <w:szCs w:val="24"/>
              </w:rPr>
            </w:pPr>
            <w:bookmarkStart w:id="60" w:name="_Hlk74925378"/>
            <w:r w:rsidRPr="00DB638E">
              <w:rPr>
                <w:rFonts w:ascii="Times New Roman" w:hAnsi="Times New Roman"/>
                <w:sz w:val="24"/>
                <w:szCs w:val="24"/>
              </w:rPr>
              <w:t>мышечный спазм, боль в суставах</w:t>
            </w:r>
            <w:bookmarkEnd w:id="60"/>
          </w:p>
        </w:tc>
      </w:tr>
      <w:tr w:rsidR="00231A9A" w:rsidRPr="00DB638E" w14:paraId="273A96AD"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58A38F4F"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Нечасто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15BDA39E" w14:textId="77777777" w:rsidR="00231A9A" w:rsidRPr="00DB638E" w:rsidRDefault="00231A9A" w:rsidP="003C21BB">
            <w:pPr>
              <w:spacing w:after="0" w:line="240" w:lineRule="auto"/>
              <w:contextualSpacing/>
              <w:rPr>
                <w:rFonts w:ascii="Times New Roman" w:hAnsi="Times New Roman"/>
                <w:sz w:val="24"/>
                <w:szCs w:val="24"/>
                <w:lang w:val="en-GB"/>
              </w:rPr>
            </w:pPr>
            <w:bookmarkStart w:id="61" w:name="_Hlk74925725"/>
            <w:r w:rsidRPr="00DB638E">
              <w:rPr>
                <w:rFonts w:ascii="Times New Roman" w:hAnsi="Times New Roman"/>
                <w:sz w:val="24"/>
                <w:szCs w:val="24"/>
                <w:lang w:val="en-GB"/>
              </w:rPr>
              <w:t>остеонекроз челюсти</w:t>
            </w:r>
            <w:bookmarkEnd w:id="61"/>
          </w:p>
        </w:tc>
      </w:tr>
      <w:tr w:rsidR="00231A9A" w:rsidRPr="00DB638E" w14:paraId="30AF8D80"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DB3401F" w14:textId="77777777" w:rsidR="00231A9A" w:rsidRPr="00DB638E" w:rsidRDefault="00231A9A" w:rsidP="003C21BB">
            <w:pPr>
              <w:spacing w:after="0" w:line="240" w:lineRule="auto"/>
              <w:contextualSpacing/>
              <w:rPr>
                <w:rFonts w:ascii="Times New Roman" w:hAnsi="Times New Roman"/>
                <w:b/>
                <w:sz w:val="24"/>
                <w:szCs w:val="24"/>
              </w:rPr>
            </w:pPr>
            <w:r w:rsidRPr="00DB638E">
              <w:rPr>
                <w:rFonts w:ascii="Times New Roman" w:hAnsi="Times New Roman"/>
                <w:b/>
                <w:sz w:val="24"/>
                <w:szCs w:val="24"/>
              </w:rPr>
              <w:t>Нарушения со стороны почек и мочевыводящих путей</w:t>
            </w:r>
          </w:p>
        </w:tc>
      </w:tr>
      <w:tr w:rsidR="00231A9A" w:rsidRPr="00DB638E" w14:paraId="49FEE0E0"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59D42FBB"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3C37F6AB" w14:textId="77777777" w:rsidR="00231A9A" w:rsidRPr="00DB638E" w:rsidRDefault="00231A9A" w:rsidP="003C21BB">
            <w:pPr>
              <w:spacing w:after="0" w:line="240" w:lineRule="auto"/>
              <w:contextualSpacing/>
              <w:rPr>
                <w:rFonts w:ascii="Times New Roman" w:hAnsi="Times New Roman"/>
                <w:sz w:val="24"/>
                <w:szCs w:val="24"/>
              </w:rPr>
            </w:pPr>
            <w:bookmarkStart w:id="62" w:name="_Hlk74925388"/>
            <w:r w:rsidRPr="00DB638E">
              <w:rPr>
                <w:rFonts w:ascii="Times New Roman" w:hAnsi="Times New Roman"/>
                <w:sz w:val="24"/>
                <w:szCs w:val="24"/>
              </w:rPr>
              <w:t>протеинурия</w:t>
            </w:r>
            <w:bookmarkEnd w:id="62"/>
          </w:p>
        </w:tc>
      </w:tr>
      <w:tr w:rsidR="00231A9A" w:rsidRPr="00DB638E" w14:paraId="45A1F403"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205DAA6" w14:textId="77777777" w:rsidR="00231A9A" w:rsidRPr="00DB638E" w:rsidRDefault="00231A9A" w:rsidP="003C21BB">
            <w:pPr>
              <w:spacing w:after="0" w:line="240" w:lineRule="auto"/>
              <w:contextualSpacing/>
              <w:rPr>
                <w:rFonts w:ascii="Times New Roman" w:hAnsi="Times New Roman"/>
                <w:b/>
                <w:bCs/>
                <w:sz w:val="24"/>
                <w:szCs w:val="24"/>
              </w:rPr>
            </w:pPr>
            <w:r w:rsidRPr="00DB638E">
              <w:rPr>
                <w:rFonts w:ascii="Times New Roman" w:hAnsi="Times New Roman"/>
                <w:b/>
                <w:bCs/>
                <w:sz w:val="24"/>
                <w:szCs w:val="24"/>
              </w:rPr>
              <w:t>Общие расстройства и нарушения в месте введения</w:t>
            </w:r>
          </w:p>
        </w:tc>
      </w:tr>
      <w:tr w:rsidR="00231A9A" w:rsidRPr="00DB638E" w14:paraId="6B9FA5C3"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711AEB88"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Очень 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30CAB572" w14:textId="77777777" w:rsidR="00231A9A" w:rsidRPr="00DB638E" w:rsidRDefault="00231A9A" w:rsidP="003C21BB">
            <w:pPr>
              <w:spacing w:after="0" w:line="240" w:lineRule="auto"/>
              <w:contextualSpacing/>
              <w:rPr>
                <w:rFonts w:ascii="Times New Roman" w:hAnsi="Times New Roman"/>
                <w:sz w:val="24"/>
                <w:szCs w:val="24"/>
              </w:rPr>
            </w:pPr>
            <w:bookmarkStart w:id="63" w:name="_Hlk74925082"/>
            <w:r w:rsidRPr="00DB638E">
              <w:rPr>
                <w:rFonts w:ascii="Times New Roman" w:hAnsi="Times New Roman"/>
                <w:sz w:val="24"/>
                <w:szCs w:val="24"/>
              </w:rPr>
              <w:t>слабость, воспаление слизистой, астения, периферический отёк</w:t>
            </w:r>
            <w:bookmarkEnd w:id="63"/>
          </w:p>
        </w:tc>
      </w:tr>
      <w:tr w:rsidR="00231A9A" w:rsidRPr="00DB638E" w14:paraId="3253045E"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6A71164" w14:textId="77777777" w:rsidR="00231A9A" w:rsidRPr="00DB638E" w:rsidRDefault="00231A9A" w:rsidP="003C21BB">
            <w:pPr>
              <w:spacing w:after="0" w:line="240" w:lineRule="auto"/>
              <w:contextualSpacing/>
              <w:rPr>
                <w:rFonts w:ascii="Times New Roman" w:hAnsi="Times New Roman"/>
                <w:b/>
                <w:bCs/>
                <w:sz w:val="24"/>
                <w:szCs w:val="24"/>
                <w:lang w:val="en-GB"/>
              </w:rPr>
            </w:pPr>
            <w:r w:rsidRPr="00DB638E">
              <w:rPr>
                <w:rFonts w:ascii="Times New Roman" w:hAnsi="Times New Roman"/>
                <w:b/>
                <w:bCs/>
                <w:sz w:val="24"/>
                <w:szCs w:val="24"/>
                <w:lang w:val="en-GB"/>
              </w:rPr>
              <w:t>Лабораторные и инструментальные данные</w:t>
            </w:r>
          </w:p>
        </w:tc>
      </w:tr>
      <w:tr w:rsidR="00231A9A" w:rsidRPr="00DB638E" w14:paraId="017BE6B0"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35DB583A"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Очень 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3AD466E3" w14:textId="77777777" w:rsidR="00231A9A" w:rsidRPr="00DB638E" w:rsidRDefault="00231A9A" w:rsidP="003C21BB">
            <w:pPr>
              <w:spacing w:after="0" w:line="240" w:lineRule="auto"/>
              <w:contextualSpacing/>
              <w:rPr>
                <w:rFonts w:ascii="Times New Roman" w:hAnsi="Times New Roman"/>
                <w:sz w:val="24"/>
                <w:szCs w:val="24"/>
              </w:rPr>
            </w:pPr>
            <w:bookmarkStart w:id="64" w:name="_Hlk74925097"/>
            <w:r w:rsidRPr="00DB638E">
              <w:rPr>
                <w:rFonts w:ascii="Times New Roman" w:hAnsi="Times New Roman"/>
                <w:sz w:val="24"/>
                <w:szCs w:val="24"/>
              </w:rPr>
              <w:t>снижение массы тела, повышение активности АЛТ и АСТ в плазме крови</w:t>
            </w:r>
            <w:bookmarkEnd w:id="64"/>
          </w:p>
        </w:tc>
      </w:tr>
      <w:tr w:rsidR="00231A9A" w:rsidRPr="00DB638E" w14:paraId="43EDBFDB"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094DA7B6" w14:textId="77777777" w:rsidR="00231A9A" w:rsidRPr="00DB638E" w:rsidRDefault="00231A9A" w:rsidP="003C21BB">
            <w:pPr>
              <w:spacing w:after="0" w:line="240" w:lineRule="auto"/>
              <w:contextualSpacing/>
              <w:rPr>
                <w:rFonts w:ascii="Times New Roman" w:hAnsi="Times New Roman"/>
                <w:sz w:val="24"/>
                <w:szCs w:val="24"/>
                <w:lang w:val="en-GB"/>
              </w:rPr>
            </w:pPr>
            <w:r w:rsidRPr="00DB638E">
              <w:rPr>
                <w:rFonts w:ascii="Times New Roman" w:hAnsi="Times New Roman"/>
                <w:sz w:val="24"/>
                <w:szCs w:val="24"/>
              </w:rPr>
              <w:t>Часто</w:t>
            </w:r>
            <w:r w:rsidRPr="00DB638E">
              <w:rPr>
                <w:rFonts w:ascii="Times New Roman" w:hAnsi="Times New Roman"/>
                <w:sz w:val="24"/>
                <w:szCs w:val="24"/>
                <w:lang w:val="en-GB"/>
              </w:rPr>
              <w:t xml:space="preserve">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2324556B" w14:textId="617DD462" w:rsidR="00231A9A" w:rsidRPr="00DB638E" w:rsidRDefault="00231A9A" w:rsidP="003C21BB">
            <w:pPr>
              <w:spacing w:after="0" w:line="240" w:lineRule="auto"/>
              <w:contextualSpacing/>
              <w:rPr>
                <w:rFonts w:ascii="Times New Roman" w:hAnsi="Times New Roman"/>
                <w:sz w:val="24"/>
                <w:szCs w:val="24"/>
              </w:rPr>
            </w:pPr>
            <w:bookmarkStart w:id="65" w:name="_Hlk74925400"/>
            <w:r w:rsidRPr="00DB638E">
              <w:rPr>
                <w:rFonts w:ascii="Times New Roman" w:hAnsi="Times New Roman"/>
                <w:sz w:val="24"/>
                <w:szCs w:val="24"/>
              </w:rPr>
              <w:t>повышение активности щелочной фосфатазы в крови, повышение активности гамма-глутамилтрансферазы,</w:t>
            </w:r>
            <w:r w:rsidR="002333DA" w:rsidRPr="00DB638E">
              <w:rPr>
                <w:rFonts w:ascii="Times New Roman" w:hAnsi="Times New Roman"/>
                <w:sz w:val="24"/>
                <w:szCs w:val="24"/>
              </w:rPr>
              <w:t xml:space="preserve"> </w:t>
            </w:r>
            <w:r w:rsidRPr="00DB638E">
              <w:rPr>
                <w:rFonts w:ascii="Times New Roman" w:hAnsi="Times New Roman"/>
                <w:sz w:val="24"/>
                <w:szCs w:val="24"/>
              </w:rPr>
              <w:t>повышение концентрации креатинина в крови, повышение активности амилазы, повышение активности липазы, повышение концентрации холестерина в крови, повышение концентрации триглицеридов в крови</w:t>
            </w:r>
            <w:bookmarkEnd w:id="65"/>
          </w:p>
        </w:tc>
      </w:tr>
      <w:tr w:rsidR="00231A9A" w:rsidRPr="00DB638E" w14:paraId="1C12BFAA" w14:textId="77777777" w:rsidTr="003C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2E5FC75" w14:textId="77777777" w:rsidR="00231A9A" w:rsidRPr="00DB638E" w:rsidRDefault="00231A9A" w:rsidP="003C21BB">
            <w:pPr>
              <w:spacing w:after="0" w:line="240" w:lineRule="auto"/>
              <w:contextualSpacing/>
              <w:rPr>
                <w:rFonts w:ascii="Times New Roman" w:hAnsi="Times New Roman"/>
                <w:b/>
                <w:sz w:val="24"/>
                <w:szCs w:val="24"/>
              </w:rPr>
            </w:pPr>
            <w:r w:rsidRPr="00DB638E">
              <w:rPr>
                <w:rFonts w:ascii="Times New Roman" w:hAnsi="Times New Roman"/>
                <w:b/>
                <w:iCs/>
                <w:sz w:val="24"/>
                <w:szCs w:val="24"/>
              </w:rPr>
              <w:t>Травмы, отравления и осложнения процедур</w:t>
            </w:r>
          </w:p>
        </w:tc>
      </w:tr>
      <w:tr w:rsidR="00231A9A" w:rsidRPr="00DB638E" w14:paraId="389174FF" w14:textId="77777777" w:rsidTr="003C21BB">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164FA837" w14:textId="77777777" w:rsidR="00231A9A" w:rsidRPr="00DB638E" w:rsidRDefault="00231A9A" w:rsidP="003C21BB">
            <w:pPr>
              <w:spacing w:after="0" w:line="240" w:lineRule="auto"/>
              <w:contextualSpacing/>
              <w:rPr>
                <w:rFonts w:ascii="Times New Roman" w:hAnsi="Times New Roman"/>
                <w:sz w:val="24"/>
                <w:szCs w:val="24"/>
              </w:rPr>
            </w:pPr>
            <w:r w:rsidRPr="00DB638E">
              <w:rPr>
                <w:rFonts w:ascii="Times New Roman" w:hAnsi="Times New Roman"/>
                <w:sz w:val="24"/>
                <w:szCs w:val="24"/>
              </w:rPr>
              <w:t>Нечасто</w:t>
            </w:r>
          </w:p>
        </w:tc>
        <w:tc>
          <w:tcPr>
            <w:tcW w:w="4011" w:type="pct"/>
            <w:tcBorders>
              <w:top w:val="single" w:sz="4" w:space="0" w:color="auto"/>
              <w:left w:val="single" w:sz="4" w:space="0" w:color="auto"/>
              <w:bottom w:val="single" w:sz="4" w:space="0" w:color="auto"/>
              <w:right w:val="single" w:sz="4" w:space="0" w:color="auto"/>
            </w:tcBorders>
            <w:vAlign w:val="center"/>
            <w:hideMark/>
          </w:tcPr>
          <w:p w14:paraId="08F4F617" w14:textId="77777777" w:rsidR="00231A9A" w:rsidRPr="00DB638E" w:rsidRDefault="00231A9A" w:rsidP="003C21BB">
            <w:pPr>
              <w:spacing w:after="0" w:line="240" w:lineRule="auto"/>
              <w:contextualSpacing/>
              <w:rPr>
                <w:rFonts w:ascii="Times New Roman" w:hAnsi="Times New Roman"/>
                <w:sz w:val="24"/>
                <w:szCs w:val="24"/>
                <w:lang w:val="en-GB"/>
              </w:rPr>
            </w:pPr>
            <w:bookmarkStart w:id="66" w:name="_Hlk74925738"/>
            <w:bookmarkStart w:id="67" w:name="_Hlk140479840"/>
            <w:r w:rsidRPr="00DB638E">
              <w:rPr>
                <w:rFonts w:ascii="Times New Roman" w:hAnsi="Times New Roman"/>
                <w:sz w:val="24"/>
                <w:szCs w:val="24"/>
              </w:rPr>
              <w:t>осложнение заживления раны</w:t>
            </w:r>
            <w:bookmarkEnd w:id="66"/>
            <w:r w:rsidR="00E331B0" w:rsidRPr="00DB638E">
              <w:rPr>
                <w:rFonts w:ascii="Times New Roman" w:hAnsi="Times New Roman"/>
                <w:sz w:val="24"/>
                <w:szCs w:val="24"/>
                <w:vertAlign w:val="superscript"/>
              </w:rPr>
              <w:t>е</w:t>
            </w:r>
            <w:bookmarkEnd w:id="67"/>
          </w:p>
        </w:tc>
      </w:tr>
    </w:tbl>
    <w:bookmarkEnd w:id="29"/>
    <w:p w14:paraId="3F422DA8" w14:textId="77777777" w:rsidR="00231A9A" w:rsidRPr="00DB638E" w:rsidRDefault="00E331B0" w:rsidP="00E331B0">
      <w:pPr>
        <w:tabs>
          <w:tab w:val="left" w:pos="0"/>
        </w:tabs>
        <w:spacing w:after="0" w:line="240" w:lineRule="auto"/>
        <w:jc w:val="both"/>
        <w:rPr>
          <w:rFonts w:ascii="Times New Roman" w:eastAsia="Times New Roman" w:hAnsi="Times New Roman"/>
          <w:sz w:val="20"/>
          <w:szCs w:val="20"/>
          <w:lang w:eastAsia="ru-RU"/>
        </w:rPr>
      </w:pPr>
      <w:r w:rsidRPr="00DB638E">
        <w:rPr>
          <w:rFonts w:ascii="Times New Roman" w:eastAsia="Times New Roman" w:hAnsi="Times New Roman"/>
          <w:sz w:val="20"/>
          <w:szCs w:val="20"/>
          <w:lang w:eastAsia="ru-RU"/>
        </w:rPr>
        <w:t>*</w:t>
      </w:r>
      <w:r w:rsidR="00231A9A" w:rsidRPr="00DB638E">
        <w:rPr>
          <w:rFonts w:ascii="Times New Roman" w:eastAsia="Times New Roman" w:hAnsi="Times New Roman"/>
          <w:sz w:val="20"/>
          <w:szCs w:val="20"/>
          <w:lang w:eastAsia="ru-RU"/>
        </w:rPr>
        <w:t>См. Раздел 4.8 «Описание отдельных побочных реакций» для дальнейшей характеристики</w:t>
      </w:r>
      <w:r w:rsidRPr="00DB638E">
        <w:rPr>
          <w:rFonts w:ascii="Times New Roman" w:eastAsia="Times New Roman" w:hAnsi="Times New Roman"/>
          <w:sz w:val="20"/>
          <w:szCs w:val="20"/>
          <w:lang w:eastAsia="ru-RU"/>
        </w:rPr>
        <w:t>.</w:t>
      </w:r>
    </w:p>
    <w:p w14:paraId="68DE69C2" w14:textId="1827A414" w:rsidR="00E331B0" w:rsidRPr="00DB638E" w:rsidRDefault="00E331B0" w:rsidP="00E331B0">
      <w:pPr>
        <w:tabs>
          <w:tab w:val="left" w:pos="709"/>
        </w:tabs>
        <w:spacing w:after="0" w:line="240" w:lineRule="auto"/>
        <w:jc w:val="both"/>
        <w:rPr>
          <w:rFonts w:ascii="Times New Roman" w:hAnsi="Times New Roman"/>
          <w:sz w:val="20"/>
          <w:szCs w:val="20"/>
        </w:rPr>
      </w:pPr>
      <w:r w:rsidRPr="00DB638E">
        <w:rPr>
          <w:rFonts w:ascii="Times New Roman" w:hAnsi="Times New Roman"/>
          <w:sz w:val="20"/>
          <w:szCs w:val="20"/>
          <w:vertAlign w:val="superscript"/>
        </w:rPr>
        <w:t xml:space="preserve">а </w:t>
      </w:r>
      <w:r w:rsidR="00562AAB" w:rsidRPr="00DB638E">
        <w:rPr>
          <w:rFonts w:ascii="Times New Roman" w:hAnsi="Times New Roman"/>
          <w:sz w:val="20"/>
          <w:szCs w:val="20"/>
        </w:rPr>
        <w:t xml:space="preserve">Включая </w:t>
      </w:r>
      <w:r w:rsidRPr="00DB638E">
        <w:rPr>
          <w:rFonts w:ascii="Times New Roman" w:hAnsi="Times New Roman"/>
          <w:sz w:val="20"/>
          <w:szCs w:val="20"/>
        </w:rPr>
        <w:t>полиневропатию; периферическая невропатия в основном сенсорная</w:t>
      </w:r>
    </w:p>
    <w:p w14:paraId="378C2E9D" w14:textId="77777777" w:rsidR="00E331B0" w:rsidRPr="00DB638E" w:rsidRDefault="00E331B0" w:rsidP="00E331B0">
      <w:pPr>
        <w:tabs>
          <w:tab w:val="left" w:pos="709"/>
        </w:tabs>
        <w:spacing w:after="0" w:line="240" w:lineRule="auto"/>
        <w:jc w:val="both"/>
        <w:rPr>
          <w:rFonts w:ascii="Times New Roman" w:hAnsi="Times New Roman"/>
          <w:sz w:val="20"/>
          <w:szCs w:val="20"/>
        </w:rPr>
      </w:pPr>
      <w:r w:rsidRPr="00DB638E">
        <w:rPr>
          <w:rFonts w:ascii="Times New Roman" w:hAnsi="Times New Roman"/>
          <w:sz w:val="20"/>
          <w:szCs w:val="20"/>
          <w:vertAlign w:val="superscript"/>
        </w:rPr>
        <w:t xml:space="preserve">b </w:t>
      </w:r>
      <w:r w:rsidRPr="00DB638E">
        <w:rPr>
          <w:rFonts w:ascii="Times New Roman" w:hAnsi="Times New Roman"/>
          <w:sz w:val="20"/>
          <w:szCs w:val="20"/>
        </w:rPr>
        <w:t>Включая носовое кровотечение как наиболее часто сообщаемую побочную реакцию.</w:t>
      </w:r>
    </w:p>
    <w:p w14:paraId="17E50F89" w14:textId="77777777" w:rsidR="00E331B0" w:rsidRPr="00DB638E" w:rsidRDefault="00E331B0" w:rsidP="00E331B0">
      <w:pPr>
        <w:tabs>
          <w:tab w:val="left" w:pos="709"/>
        </w:tabs>
        <w:spacing w:after="0" w:line="240" w:lineRule="auto"/>
        <w:jc w:val="both"/>
        <w:rPr>
          <w:rFonts w:ascii="Times New Roman" w:hAnsi="Times New Roman"/>
          <w:sz w:val="20"/>
          <w:szCs w:val="20"/>
        </w:rPr>
      </w:pPr>
      <w:r w:rsidRPr="00DB638E">
        <w:rPr>
          <w:rFonts w:ascii="Times New Roman" w:hAnsi="Times New Roman"/>
          <w:sz w:val="20"/>
          <w:szCs w:val="20"/>
          <w:vertAlign w:val="superscript"/>
        </w:rPr>
        <w:t>c</w:t>
      </w:r>
      <w:r w:rsidRPr="00DB638E">
        <w:rPr>
          <w:rFonts w:ascii="Times New Roman" w:hAnsi="Times New Roman"/>
          <w:sz w:val="20"/>
          <w:szCs w:val="20"/>
        </w:rPr>
        <w:t xml:space="preserve"> Все венозные тромбозы, включая тромбоз глубоких вен</w:t>
      </w:r>
    </w:p>
    <w:p w14:paraId="4991ADB8" w14:textId="77777777" w:rsidR="00E331B0" w:rsidRPr="00DB638E" w:rsidRDefault="00E331B0" w:rsidP="00E331B0">
      <w:pPr>
        <w:tabs>
          <w:tab w:val="left" w:pos="709"/>
        </w:tabs>
        <w:spacing w:after="0" w:line="240" w:lineRule="auto"/>
        <w:jc w:val="both"/>
        <w:rPr>
          <w:rFonts w:ascii="Times New Roman" w:hAnsi="Times New Roman"/>
          <w:sz w:val="20"/>
          <w:szCs w:val="20"/>
        </w:rPr>
      </w:pPr>
      <w:r w:rsidRPr="00DB638E">
        <w:rPr>
          <w:rFonts w:ascii="Times New Roman" w:hAnsi="Times New Roman"/>
          <w:sz w:val="20"/>
          <w:szCs w:val="20"/>
          <w:vertAlign w:val="superscript"/>
        </w:rPr>
        <w:t xml:space="preserve">d </w:t>
      </w:r>
      <w:r w:rsidRPr="00DB638E">
        <w:rPr>
          <w:rFonts w:ascii="Times New Roman" w:hAnsi="Times New Roman"/>
          <w:sz w:val="20"/>
          <w:szCs w:val="20"/>
        </w:rPr>
        <w:t>На основании сообщений о нежелательных реакциях</w:t>
      </w:r>
    </w:p>
    <w:p w14:paraId="74C25976" w14:textId="77777777" w:rsidR="00231A9A" w:rsidRPr="00DB638E" w:rsidRDefault="00E331B0" w:rsidP="00E331B0">
      <w:pPr>
        <w:tabs>
          <w:tab w:val="left" w:pos="709"/>
        </w:tabs>
        <w:spacing w:after="0" w:line="240" w:lineRule="auto"/>
        <w:jc w:val="both"/>
        <w:rPr>
          <w:rFonts w:ascii="Times New Roman" w:hAnsi="Times New Roman"/>
          <w:sz w:val="20"/>
          <w:szCs w:val="20"/>
        </w:rPr>
      </w:pPr>
      <w:r w:rsidRPr="00DB638E">
        <w:rPr>
          <w:rFonts w:ascii="Times New Roman" w:hAnsi="Times New Roman"/>
          <w:sz w:val="20"/>
          <w:szCs w:val="20"/>
          <w:vertAlign w:val="superscript"/>
        </w:rPr>
        <w:t>е</w:t>
      </w:r>
      <w:r w:rsidRPr="00DB638E">
        <w:rPr>
          <w:rFonts w:ascii="Times New Roman" w:hAnsi="Times New Roman"/>
          <w:sz w:val="20"/>
          <w:szCs w:val="20"/>
        </w:rPr>
        <w:t xml:space="preserve"> Нарушение заживления, осложнения в месте разреза и расхождение швов раны</w:t>
      </w:r>
    </w:p>
    <w:p w14:paraId="5EEEFA1A" w14:textId="77777777" w:rsidR="00E331B0" w:rsidRPr="00DB638E" w:rsidRDefault="00E331B0" w:rsidP="00231A9A">
      <w:pPr>
        <w:spacing w:after="0" w:line="240" w:lineRule="auto"/>
        <w:jc w:val="both"/>
        <w:rPr>
          <w:rFonts w:ascii="Times New Roman" w:hAnsi="Times New Roman"/>
          <w:i/>
          <w:iCs/>
          <w:sz w:val="24"/>
          <w:szCs w:val="24"/>
        </w:rPr>
      </w:pPr>
      <w:bookmarkStart w:id="68" w:name="_Hlk74925748"/>
    </w:p>
    <w:bookmarkEnd w:id="68"/>
    <w:p w14:paraId="7C51B3EA" w14:textId="157B0072" w:rsidR="00562AAB" w:rsidRPr="00DB638E" w:rsidRDefault="00E331B0" w:rsidP="00231A9A">
      <w:pPr>
        <w:spacing w:after="0" w:line="240" w:lineRule="auto"/>
        <w:jc w:val="both"/>
        <w:rPr>
          <w:rFonts w:ascii="Times New Roman" w:hAnsi="Times New Roman"/>
          <w:i/>
          <w:iCs/>
          <w:sz w:val="24"/>
          <w:szCs w:val="24"/>
        </w:rPr>
      </w:pPr>
      <w:r w:rsidRPr="00DB638E">
        <w:rPr>
          <w:rFonts w:ascii="Times New Roman" w:hAnsi="Times New Roman"/>
          <w:i/>
          <w:iCs/>
          <w:sz w:val="24"/>
          <w:szCs w:val="24"/>
        </w:rPr>
        <w:t xml:space="preserve">Кабозантиниб в комбинации с ниволумабом при распространенном </w:t>
      </w:r>
      <w:r w:rsidR="00562AAB" w:rsidRPr="00DB638E">
        <w:rPr>
          <w:rFonts w:ascii="Times New Roman" w:hAnsi="Times New Roman"/>
          <w:i/>
          <w:iCs/>
          <w:sz w:val="24"/>
          <w:szCs w:val="24"/>
        </w:rPr>
        <w:t>почечно-клеточном раке</w:t>
      </w:r>
      <w:r w:rsidRPr="00DB638E">
        <w:rPr>
          <w:rFonts w:ascii="Times New Roman" w:hAnsi="Times New Roman"/>
          <w:i/>
          <w:iCs/>
          <w:sz w:val="24"/>
          <w:szCs w:val="24"/>
        </w:rPr>
        <w:t xml:space="preserve"> первой линии </w:t>
      </w:r>
    </w:p>
    <w:p w14:paraId="10FDA990" w14:textId="57809E9C" w:rsidR="00231A9A" w:rsidRPr="00DB638E" w:rsidRDefault="00231A9A" w:rsidP="00231A9A">
      <w:pPr>
        <w:spacing w:after="0" w:line="240" w:lineRule="auto"/>
        <w:jc w:val="both"/>
        <w:rPr>
          <w:rFonts w:ascii="Times New Roman" w:hAnsi="Times New Roman"/>
          <w:sz w:val="24"/>
          <w:szCs w:val="24"/>
          <w:u w:val="single"/>
        </w:rPr>
      </w:pPr>
      <w:r w:rsidRPr="00DB638E">
        <w:rPr>
          <w:rFonts w:ascii="Times New Roman" w:hAnsi="Times New Roman"/>
          <w:sz w:val="24"/>
          <w:szCs w:val="24"/>
          <w:u w:val="single"/>
        </w:rPr>
        <w:t>Резюме профиля безопасности</w:t>
      </w:r>
    </w:p>
    <w:p w14:paraId="6E5EC54A"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При применении кабозантиниба в комбинации с ниволумабом, перед началом лечения ознакомьтесь с Краткой характеристикой лекарственного препарата ниволумаба. Дополнительную информацию о профиле безопасности монотерапии ниволумабом можно найти в Краткой характеристикой лекарственного препарата ниволумаба. </w:t>
      </w:r>
    </w:p>
    <w:p w14:paraId="44C388C4"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В наборе данных по применению кабозантиниба 40 мг один раз в день в комбинации с ниволумабом 240 мг каждые 2 недели у пациентов с почечно-клеточным раком (n =320) </w:t>
      </w:r>
      <w:r w:rsidRPr="00DB638E">
        <w:rPr>
          <w:rFonts w:ascii="Times New Roman" w:hAnsi="Times New Roman"/>
          <w:sz w:val="24"/>
          <w:szCs w:val="24"/>
        </w:rPr>
        <w:lastRenderedPageBreak/>
        <w:t>с минимальным периодом наблюдения 16 месяцев наиболее частыми побочными реакциями (≥1% частоты возникновения) были диарея, пневмонит, легочная эмболия, пневмония, гипонатриемия, лихорадка, недостаточность коры надпочечников, рвота, дегидратация.</w:t>
      </w:r>
    </w:p>
    <w:p w14:paraId="1C629BCD"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Наиболее частыми побочными реакциями (≥25 %) были диарея, слабость, ладонно-подошвенный синдром (ладонно-подошвенная эритродизестезия), стоматит, скелетно-мышечная боль, повышение артериального давления, сыпь, гипотиреоз, снижение аппетита, тошнота, боль в животе. Большинство побочных реакций были от легкой до средней степени тяжести (степень 1 или 2).</w:t>
      </w:r>
    </w:p>
    <w:p w14:paraId="0DFFBDB9" w14:textId="77777777" w:rsidR="00231A9A" w:rsidRPr="00DB638E" w:rsidRDefault="00231A9A" w:rsidP="00231A9A">
      <w:pPr>
        <w:spacing w:after="0" w:line="240" w:lineRule="auto"/>
        <w:jc w:val="both"/>
        <w:rPr>
          <w:rFonts w:ascii="Times New Roman" w:hAnsi="Times New Roman"/>
          <w:sz w:val="24"/>
          <w:szCs w:val="24"/>
          <w:u w:val="single"/>
        </w:rPr>
      </w:pPr>
      <w:r w:rsidRPr="00DB638E">
        <w:rPr>
          <w:rFonts w:ascii="Times New Roman" w:hAnsi="Times New Roman"/>
          <w:sz w:val="24"/>
          <w:szCs w:val="24"/>
          <w:u w:val="single"/>
        </w:rPr>
        <w:t>Приведенный в таблице перечень нежелательных реакций</w:t>
      </w:r>
    </w:p>
    <w:p w14:paraId="271E292A"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Побочные реакции, выявленные в клинических исследованиях кабозантиниба в комбинации с ниволумабом, перечислены в Таблице 3 согласно Системно-органным классам медицинского словаря для нормативно-правовой деятельности (MedDRA) и категориями частоты проявления реакций.  </w:t>
      </w:r>
    </w:p>
    <w:p w14:paraId="4B1E0A9F"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Частота побочных реакций классифицирована следующим образом: очень часто (≥1/10); часто (от ≥1/100 до &lt;1/10); нечасто (от ≥1/1 000 до &lt;1/100), неизвестно (невозможно оценить на основании имеющихся данных). </w:t>
      </w:r>
    </w:p>
    <w:p w14:paraId="5A8A51D9"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каждой частотной группе побочные реакции представлены в порядке уменьшения тяжести.</w:t>
      </w:r>
    </w:p>
    <w:p w14:paraId="0772D4BE" w14:textId="77777777" w:rsidR="00E331B0" w:rsidRPr="00DB638E" w:rsidRDefault="00E331B0" w:rsidP="00231A9A">
      <w:pPr>
        <w:spacing w:after="0" w:line="240" w:lineRule="auto"/>
        <w:jc w:val="both"/>
        <w:rPr>
          <w:rFonts w:ascii="Times New Roman" w:hAnsi="Times New Roman"/>
          <w:sz w:val="24"/>
          <w:szCs w:val="24"/>
        </w:rPr>
      </w:pPr>
    </w:p>
    <w:p w14:paraId="5B582782"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sz w:val="24"/>
          <w:szCs w:val="24"/>
        </w:rPr>
        <w:t xml:space="preserve">Таблица 3: </w:t>
      </w:r>
      <w:bookmarkStart w:id="69" w:name="_Hlk140479895"/>
      <w:r w:rsidRPr="00DB638E">
        <w:rPr>
          <w:rFonts w:ascii="Times New Roman" w:hAnsi="Times New Roman"/>
          <w:b/>
          <w:bCs/>
          <w:sz w:val="24"/>
          <w:szCs w:val="24"/>
        </w:rPr>
        <w:t>Побочные реакции кабозантиниба в комбинации с ниволумабом</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7432"/>
      </w:tblGrid>
      <w:tr w:rsidR="00231A9A" w:rsidRPr="00DB638E" w14:paraId="285F7E7F"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FF07FB0" w14:textId="77777777" w:rsidR="00231A9A" w:rsidRPr="00DB638E" w:rsidRDefault="00231A9A" w:rsidP="00231A9A">
            <w:pPr>
              <w:spacing w:after="0" w:line="240" w:lineRule="auto"/>
              <w:jc w:val="both"/>
              <w:rPr>
                <w:rFonts w:ascii="Times New Roman" w:hAnsi="Times New Roman"/>
                <w:b/>
                <w:bCs/>
                <w:sz w:val="24"/>
                <w:szCs w:val="24"/>
                <w:lang w:val="en-GB"/>
              </w:rPr>
            </w:pPr>
            <w:bookmarkStart w:id="70" w:name="_Hlk75276740"/>
            <w:r w:rsidRPr="00DB638E">
              <w:rPr>
                <w:rFonts w:ascii="Times New Roman" w:hAnsi="Times New Roman"/>
                <w:b/>
                <w:bCs/>
                <w:sz w:val="24"/>
                <w:szCs w:val="24"/>
                <w:lang w:val="en-GB"/>
              </w:rPr>
              <w:t>Инфекционные и паразитарные заболевания</w:t>
            </w:r>
          </w:p>
        </w:tc>
      </w:tr>
      <w:tr w:rsidR="00231A9A" w:rsidRPr="00DB638E" w14:paraId="38AF7ECF"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hideMark/>
          </w:tcPr>
          <w:p w14:paraId="728495C4"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Очень часто</w:t>
            </w:r>
          </w:p>
        </w:tc>
        <w:tc>
          <w:tcPr>
            <w:tcW w:w="4101" w:type="pct"/>
            <w:tcBorders>
              <w:top w:val="single" w:sz="4" w:space="0" w:color="auto"/>
              <w:left w:val="single" w:sz="4" w:space="0" w:color="auto"/>
              <w:bottom w:val="single" w:sz="4" w:space="0" w:color="auto"/>
              <w:right w:val="single" w:sz="4" w:space="0" w:color="auto"/>
            </w:tcBorders>
            <w:hideMark/>
          </w:tcPr>
          <w:p w14:paraId="637272EB" w14:textId="77777777" w:rsidR="00231A9A" w:rsidRPr="00DB638E" w:rsidRDefault="00231A9A" w:rsidP="00231A9A">
            <w:pPr>
              <w:spacing w:after="0" w:line="240" w:lineRule="auto"/>
              <w:jc w:val="both"/>
              <w:rPr>
                <w:rFonts w:ascii="Times New Roman" w:hAnsi="Times New Roman"/>
                <w:sz w:val="24"/>
                <w:szCs w:val="24"/>
              </w:rPr>
            </w:pPr>
            <w:bookmarkStart w:id="71" w:name="_Hlk74922590"/>
            <w:r w:rsidRPr="00DB638E">
              <w:rPr>
                <w:rFonts w:ascii="Times New Roman" w:hAnsi="Times New Roman"/>
                <w:sz w:val="24"/>
                <w:szCs w:val="24"/>
              </w:rPr>
              <w:t>инфекция верхних дыхательных путей</w:t>
            </w:r>
            <w:bookmarkEnd w:id="71"/>
          </w:p>
        </w:tc>
      </w:tr>
      <w:tr w:rsidR="00231A9A" w:rsidRPr="00DB638E" w14:paraId="3DADDD63"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hideMark/>
          </w:tcPr>
          <w:p w14:paraId="3FA09215"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hideMark/>
          </w:tcPr>
          <w:p w14:paraId="0E110307" w14:textId="77777777" w:rsidR="00231A9A" w:rsidRPr="00DB638E" w:rsidRDefault="00231A9A" w:rsidP="00231A9A">
            <w:pPr>
              <w:spacing w:after="0" w:line="240" w:lineRule="auto"/>
              <w:jc w:val="both"/>
              <w:rPr>
                <w:rFonts w:ascii="Times New Roman" w:hAnsi="Times New Roman"/>
                <w:sz w:val="24"/>
                <w:szCs w:val="24"/>
                <w:lang w:val="en-GB"/>
              </w:rPr>
            </w:pPr>
            <w:bookmarkStart w:id="72" w:name="_Hlk74922756"/>
            <w:r w:rsidRPr="00DB638E">
              <w:rPr>
                <w:rFonts w:ascii="Times New Roman" w:hAnsi="Times New Roman"/>
                <w:sz w:val="24"/>
                <w:szCs w:val="24"/>
              </w:rPr>
              <w:t>пневмония</w:t>
            </w:r>
            <w:bookmarkEnd w:id="72"/>
          </w:p>
        </w:tc>
      </w:tr>
      <w:tr w:rsidR="00231A9A" w:rsidRPr="00DB638E" w14:paraId="3E2D3982" w14:textId="77777777" w:rsidTr="003C21BB">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213017F"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sz w:val="24"/>
                <w:szCs w:val="24"/>
              </w:rPr>
              <w:t>Нарушения со стороны крови и лимфатической системы</w:t>
            </w:r>
          </w:p>
        </w:tc>
      </w:tr>
      <w:tr w:rsidR="00231A9A" w:rsidRPr="00DB638E" w14:paraId="158DE7AF"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6803F7EE"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7B4B5F24" w14:textId="77777777" w:rsidR="00231A9A" w:rsidRPr="00DB638E" w:rsidRDefault="00231A9A" w:rsidP="00231A9A">
            <w:pPr>
              <w:spacing w:after="0" w:line="240" w:lineRule="auto"/>
              <w:jc w:val="both"/>
              <w:rPr>
                <w:rFonts w:ascii="Times New Roman" w:hAnsi="Times New Roman"/>
                <w:sz w:val="24"/>
                <w:szCs w:val="24"/>
                <w:lang w:val="en-GB"/>
              </w:rPr>
            </w:pPr>
            <w:bookmarkStart w:id="73" w:name="_Hlk74922764"/>
            <w:r w:rsidRPr="00DB638E">
              <w:rPr>
                <w:rFonts w:ascii="Times New Roman" w:hAnsi="Times New Roman"/>
                <w:sz w:val="24"/>
                <w:szCs w:val="24"/>
                <w:lang w:val="en-GB"/>
              </w:rPr>
              <w:t>эозинофилия</w:t>
            </w:r>
            <w:bookmarkEnd w:id="73"/>
          </w:p>
        </w:tc>
      </w:tr>
      <w:tr w:rsidR="00231A9A" w:rsidRPr="00DB638E" w14:paraId="4A44A626" w14:textId="77777777" w:rsidTr="003C21BB">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FFDE4EF"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sz w:val="24"/>
                <w:szCs w:val="24"/>
              </w:rPr>
              <w:t>Нарушения со стороны иммунной системы</w:t>
            </w:r>
          </w:p>
        </w:tc>
      </w:tr>
      <w:tr w:rsidR="00231A9A" w:rsidRPr="00DB638E" w14:paraId="513C738F"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6A6ED6D"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0CEF3E7A" w14:textId="77777777" w:rsidR="00231A9A" w:rsidRPr="00DB638E" w:rsidRDefault="00231A9A" w:rsidP="00231A9A">
            <w:pPr>
              <w:spacing w:after="0" w:line="240" w:lineRule="auto"/>
              <w:jc w:val="both"/>
              <w:rPr>
                <w:rFonts w:ascii="Times New Roman" w:hAnsi="Times New Roman"/>
                <w:sz w:val="24"/>
                <w:szCs w:val="24"/>
                <w:lang w:val="en-GB"/>
              </w:rPr>
            </w:pPr>
            <w:bookmarkStart w:id="74" w:name="_Hlk74922777"/>
            <w:r w:rsidRPr="00DB638E">
              <w:rPr>
                <w:rFonts w:ascii="Times New Roman" w:hAnsi="Times New Roman"/>
                <w:sz w:val="24"/>
                <w:szCs w:val="24"/>
              </w:rPr>
              <w:t>гиперчувствительность</w:t>
            </w:r>
            <w:r w:rsidRPr="00DB638E">
              <w:rPr>
                <w:rFonts w:ascii="Times New Roman" w:hAnsi="Times New Roman"/>
                <w:sz w:val="24"/>
                <w:szCs w:val="24"/>
                <w:vertAlign w:val="superscript"/>
                <w:lang w:val="en-GB"/>
              </w:rPr>
              <w:t xml:space="preserve"> </w:t>
            </w:r>
            <w:r w:rsidRPr="00DB638E">
              <w:rPr>
                <w:rFonts w:ascii="Times New Roman" w:hAnsi="Times New Roman"/>
                <w:sz w:val="24"/>
                <w:szCs w:val="24"/>
                <w:lang w:val="en-GB"/>
              </w:rPr>
              <w:t>(</w:t>
            </w:r>
            <w:r w:rsidRPr="00DB638E">
              <w:rPr>
                <w:rFonts w:ascii="Times New Roman" w:hAnsi="Times New Roman"/>
                <w:sz w:val="24"/>
                <w:szCs w:val="24"/>
              </w:rPr>
              <w:t>включая</w:t>
            </w:r>
            <w:r w:rsidRPr="00DB638E">
              <w:rPr>
                <w:rFonts w:ascii="Times New Roman" w:hAnsi="Times New Roman"/>
                <w:sz w:val="24"/>
                <w:szCs w:val="24"/>
                <w:lang w:val="en-GB"/>
              </w:rPr>
              <w:t xml:space="preserve"> </w:t>
            </w:r>
            <w:r w:rsidRPr="00DB638E">
              <w:rPr>
                <w:rFonts w:ascii="Times New Roman" w:hAnsi="Times New Roman"/>
                <w:sz w:val="24"/>
                <w:szCs w:val="24"/>
              </w:rPr>
              <w:t>анафилактическую реакцию</w:t>
            </w:r>
            <w:r w:rsidRPr="00DB638E">
              <w:rPr>
                <w:rFonts w:ascii="Times New Roman" w:hAnsi="Times New Roman"/>
                <w:sz w:val="24"/>
                <w:szCs w:val="24"/>
                <w:lang w:val="en-GB"/>
              </w:rPr>
              <w:t>)</w:t>
            </w:r>
            <w:bookmarkEnd w:id="74"/>
          </w:p>
        </w:tc>
      </w:tr>
      <w:tr w:rsidR="00231A9A" w:rsidRPr="00DB638E" w14:paraId="4A439E0F"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172A195B"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Нечасто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451B7AD2" w14:textId="77777777" w:rsidR="00231A9A" w:rsidRPr="00DB638E" w:rsidRDefault="00231A9A" w:rsidP="00231A9A">
            <w:pPr>
              <w:spacing w:after="0" w:line="240" w:lineRule="auto"/>
              <w:jc w:val="both"/>
              <w:rPr>
                <w:rFonts w:ascii="Times New Roman" w:hAnsi="Times New Roman"/>
                <w:sz w:val="24"/>
                <w:szCs w:val="24"/>
              </w:rPr>
            </w:pPr>
            <w:bookmarkStart w:id="75" w:name="_Hlk74922993"/>
            <w:r w:rsidRPr="00DB638E">
              <w:rPr>
                <w:rFonts w:ascii="Times New Roman" w:hAnsi="Times New Roman"/>
                <w:sz w:val="24"/>
                <w:szCs w:val="24"/>
              </w:rPr>
              <w:t>реакция гиперчувствительности, связанная с инфузией</w:t>
            </w:r>
            <w:bookmarkEnd w:id="75"/>
          </w:p>
        </w:tc>
      </w:tr>
      <w:tr w:rsidR="00231A9A" w:rsidRPr="00DB638E" w14:paraId="4A7446A4" w14:textId="77777777" w:rsidTr="003C21BB">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F138223"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iCs/>
                <w:sz w:val="24"/>
                <w:szCs w:val="24"/>
              </w:rPr>
              <w:t>Нарушения со стороны эндокринной системы</w:t>
            </w:r>
          </w:p>
        </w:tc>
      </w:tr>
      <w:tr w:rsidR="00231A9A" w:rsidRPr="00DB638E" w14:paraId="5195F822"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69C6D7D2"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Очень 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0C526FC1" w14:textId="77777777" w:rsidR="00231A9A" w:rsidRPr="00DB638E" w:rsidRDefault="00231A9A" w:rsidP="00231A9A">
            <w:pPr>
              <w:spacing w:after="0" w:line="240" w:lineRule="auto"/>
              <w:jc w:val="both"/>
              <w:rPr>
                <w:rFonts w:ascii="Times New Roman" w:hAnsi="Times New Roman"/>
                <w:sz w:val="24"/>
                <w:szCs w:val="24"/>
                <w:vertAlign w:val="superscript"/>
              </w:rPr>
            </w:pPr>
            <w:bookmarkStart w:id="76" w:name="_Hlk74922606"/>
            <w:r w:rsidRPr="00DB638E">
              <w:rPr>
                <w:rFonts w:ascii="Times New Roman" w:hAnsi="Times New Roman"/>
                <w:sz w:val="24"/>
                <w:szCs w:val="24"/>
              </w:rPr>
              <w:t>г</w:t>
            </w:r>
            <w:r w:rsidRPr="00DB638E">
              <w:rPr>
                <w:rFonts w:ascii="Times New Roman" w:hAnsi="Times New Roman"/>
                <w:sz w:val="24"/>
                <w:szCs w:val="24"/>
                <w:lang w:val="en-GB"/>
              </w:rPr>
              <w:t>ипотиреоз</w:t>
            </w:r>
            <w:r w:rsidRPr="00DB638E">
              <w:rPr>
                <w:rFonts w:ascii="Times New Roman" w:hAnsi="Times New Roman"/>
                <w:sz w:val="24"/>
                <w:szCs w:val="24"/>
              </w:rPr>
              <w:t xml:space="preserve">, </w:t>
            </w:r>
            <w:r w:rsidRPr="00DB638E">
              <w:rPr>
                <w:rFonts w:ascii="Times New Roman" w:hAnsi="Times New Roman"/>
                <w:sz w:val="24"/>
                <w:szCs w:val="24"/>
                <w:lang w:val="en-GB"/>
              </w:rPr>
              <w:t>гип</w:t>
            </w:r>
            <w:r w:rsidRPr="00DB638E">
              <w:rPr>
                <w:rFonts w:ascii="Times New Roman" w:hAnsi="Times New Roman"/>
                <w:sz w:val="24"/>
                <w:szCs w:val="24"/>
              </w:rPr>
              <w:t>ер</w:t>
            </w:r>
            <w:r w:rsidRPr="00DB638E">
              <w:rPr>
                <w:rFonts w:ascii="Times New Roman" w:hAnsi="Times New Roman"/>
                <w:sz w:val="24"/>
                <w:szCs w:val="24"/>
                <w:lang w:val="en-GB"/>
              </w:rPr>
              <w:t>тиреоз</w:t>
            </w:r>
            <w:bookmarkEnd w:id="76"/>
          </w:p>
        </w:tc>
      </w:tr>
      <w:tr w:rsidR="00231A9A" w:rsidRPr="00DB638E" w14:paraId="0E251F8F"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015D12F6" w14:textId="77777777" w:rsidR="00231A9A" w:rsidRPr="00DB638E" w:rsidRDefault="00231A9A" w:rsidP="00231A9A">
            <w:pPr>
              <w:spacing w:after="0" w:line="240" w:lineRule="auto"/>
              <w:jc w:val="both"/>
              <w:rPr>
                <w:rFonts w:ascii="Times New Roman" w:hAnsi="Times New Roman"/>
                <w:sz w:val="24"/>
                <w:szCs w:val="24"/>
              </w:rPr>
            </w:pPr>
            <w:bookmarkStart w:id="77" w:name="_Hlk140480095"/>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AAD1C57" w14:textId="77777777" w:rsidR="00231A9A" w:rsidRPr="00DB638E" w:rsidRDefault="00231A9A" w:rsidP="00231A9A">
            <w:pPr>
              <w:spacing w:after="0" w:line="240" w:lineRule="auto"/>
              <w:jc w:val="both"/>
              <w:rPr>
                <w:rFonts w:ascii="Times New Roman" w:hAnsi="Times New Roman"/>
                <w:sz w:val="24"/>
                <w:szCs w:val="24"/>
                <w:vertAlign w:val="subscript"/>
                <w:lang w:val="en-GB"/>
              </w:rPr>
            </w:pPr>
            <w:bookmarkStart w:id="78" w:name="_Hlk74922788"/>
            <w:r w:rsidRPr="00DB638E">
              <w:rPr>
                <w:rFonts w:ascii="Times New Roman" w:hAnsi="Times New Roman"/>
                <w:sz w:val="24"/>
                <w:szCs w:val="24"/>
                <w:lang w:val="en-GB"/>
              </w:rPr>
              <w:t>недостаточность коры надпочечников</w:t>
            </w:r>
            <w:bookmarkEnd w:id="78"/>
          </w:p>
        </w:tc>
      </w:tr>
      <w:bookmarkEnd w:id="77"/>
      <w:tr w:rsidR="00231A9A" w:rsidRPr="00DB638E" w14:paraId="511A3DB1"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13869BF"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Нечасто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2C3D9217" w14:textId="77777777" w:rsidR="00231A9A" w:rsidRPr="00DB638E" w:rsidRDefault="00231A9A" w:rsidP="00231A9A">
            <w:pPr>
              <w:spacing w:after="0" w:line="240" w:lineRule="auto"/>
              <w:jc w:val="both"/>
              <w:rPr>
                <w:rFonts w:ascii="Times New Roman" w:hAnsi="Times New Roman"/>
                <w:sz w:val="24"/>
                <w:szCs w:val="24"/>
                <w:lang w:val="en-GB"/>
              </w:rPr>
            </w:pPr>
            <w:bookmarkStart w:id="79" w:name="_Hlk74923005"/>
            <w:r w:rsidRPr="00DB638E">
              <w:rPr>
                <w:rFonts w:ascii="Times New Roman" w:hAnsi="Times New Roman"/>
                <w:sz w:val="24"/>
                <w:szCs w:val="24"/>
                <w:lang w:val="en-GB"/>
              </w:rPr>
              <w:t>гипофизит, тиреоидит</w:t>
            </w:r>
            <w:bookmarkEnd w:id="79"/>
          </w:p>
        </w:tc>
      </w:tr>
      <w:tr w:rsidR="00231A9A" w:rsidRPr="00DB638E" w14:paraId="6281E1E2"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6BD981F"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iCs/>
                <w:sz w:val="24"/>
                <w:szCs w:val="24"/>
              </w:rPr>
              <w:t>Нарушения со стороны обмена веществ и питания</w:t>
            </w:r>
          </w:p>
        </w:tc>
      </w:tr>
      <w:tr w:rsidR="00231A9A" w:rsidRPr="00DB638E" w14:paraId="73F3D6AB"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2BC3886C"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Очень 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0755719A" w14:textId="77777777" w:rsidR="00231A9A" w:rsidRPr="00DB638E" w:rsidRDefault="00231A9A" w:rsidP="00231A9A">
            <w:pPr>
              <w:spacing w:after="0" w:line="240" w:lineRule="auto"/>
              <w:jc w:val="both"/>
              <w:rPr>
                <w:rFonts w:ascii="Times New Roman" w:hAnsi="Times New Roman"/>
                <w:sz w:val="24"/>
                <w:szCs w:val="24"/>
                <w:lang w:val="en-GB"/>
              </w:rPr>
            </w:pPr>
            <w:bookmarkStart w:id="80" w:name="_Hlk74922618"/>
            <w:r w:rsidRPr="00DB638E">
              <w:rPr>
                <w:rFonts w:ascii="Times New Roman" w:hAnsi="Times New Roman"/>
                <w:sz w:val="24"/>
                <w:szCs w:val="24"/>
              </w:rPr>
              <w:t>снижение аппетита</w:t>
            </w:r>
            <w:bookmarkEnd w:id="80"/>
          </w:p>
        </w:tc>
      </w:tr>
      <w:tr w:rsidR="00231A9A" w:rsidRPr="00DB638E" w14:paraId="1FDA27DF"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6C7F4106"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8EE7A63" w14:textId="77777777" w:rsidR="00231A9A" w:rsidRPr="00DB638E" w:rsidRDefault="00231A9A" w:rsidP="00231A9A">
            <w:pPr>
              <w:spacing w:after="0" w:line="240" w:lineRule="auto"/>
              <w:jc w:val="both"/>
              <w:rPr>
                <w:rFonts w:ascii="Times New Roman" w:hAnsi="Times New Roman"/>
                <w:sz w:val="24"/>
                <w:szCs w:val="24"/>
                <w:lang w:val="en-GB"/>
              </w:rPr>
            </w:pPr>
            <w:bookmarkStart w:id="81" w:name="_Hlk74922798"/>
            <w:r w:rsidRPr="00DB638E">
              <w:rPr>
                <w:rFonts w:ascii="Times New Roman" w:hAnsi="Times New Roman"/>
                <w:sz w:val="24"/>
                <w:szCs w:val="24"/>
              </w:rPr>
              <w:t>дегидратация</w:t>
            </w:r>
            <w:bookmarkEnd w:id="81"/>
          </w:p>
        </w:tc>
      </w:tr>
      <w:tr w:rsidR="00231A9A" w:rsidRPr="00DB638E" w14:paraId="7DC12E12"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F384BD0"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iCs/>
                <w:sz w:val="24"/>
                <w:szCs w:val="24"/>
              </w:rPr>
              <w:t>Нарушения со стороны нервной системы</w:t>
            </w:r>
          </w:p>
        </w:tc>
      </w:tr>
      <w:tr w:rsidR="00231A9A" w:rsidRPr="00DB638E" w14:paraId="2673AD44"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77115BA0" w14:textId="77777777" w:rsidR="00231A9A" w:rsidRPr="00DB638E" w:rsidRDefault="00231A9A" w:rsidP="00231A9A">
            <w:pPr>
              <w:spacing w:after="0" w:line="240" w:lineRule="auto"/>
              <w:jc w:val="both"/>
              <w:rPr>
                <w:rFonts w:ascii="Times New Roman" w:hAnsi="Times New Roman"/>
                <w:sz w:val="24"/>
                <w:szCs w:val="24"/>
              </w:rPr>
            </w:pPr>
            <w:bookmarkStart w:id="82" w:name="_Hlk140479935"/>
            <w:r w:rsidRPr="00DB638E">
              <w:rPr>
                <w:rFonts w:ascii="Times New Roman" w:hAnsi="Times New Roman"/>
                <w:sz w:val="24"/>
                <w:szCs w:val="24"/>
              </w:rPr>
              <w:t>Очень 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FF50953" w14:textId="77777777" w:rsidR="00231A9A" w:rsidRPr="00DB638E" w:rsidRDefault="00231A9A" w:rsidP="00231A9A">
            <w:pPr>
              <w:spacing w:after="0" w:line="240" w:lineRule="auto"/>
              <w:jc w:val="both"/>
              <w:rPr>
                <w:rFonts w:ascii="Times New Roman" w:hAnsi="Times New Roman"/>
                <w:sz w:val="24"/>
                <w:szCs w:val="24"/>
                <w:lang w:val="en-GB"/>
              </w:rPr>
            </w:pPr>
            <w:bookmarkStart w:id="83" w:name="_Hlk74922627"/>
            <w:r w:rsidRPr="00DB638E">
              <w:rPr>
                <w:rFonts w:ascii="Times New Roman" w:hAnsi="Times New Roman"/>
                <w:sz w:val="24"/>
                <w:szCs w:val="24"/>
              </w:rPr>
              <w:t>дисгевзия, головокружение, головная боль</w:t>
            </w:r>
            <w:bookmarkEnd w:id="83"/>
          </w:p>
        </w:tc>
      </w:tr>
      <w:bookmarkEnd w:id="82"/>
      <w:tr w:rsidR="00231A9A" w:rsidRPr="00DB638E" w14:paraId="4434725F"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3ECAC3C6"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03C55402" w14:textId="77777777" w:rsidR="00231A9A" w:rsidRPr="00DB638E" w:rsidRDefault="00231A9A" w:rsidP="00231A9A">
            <w:pPr>
              <w:spacing w:after="0" w:line="240" w:lineRule="auto"/>
              <w:jc w:val="both"/>
              <w:rPr>
                <w:rFonts w:ascii="Times New Roman" w:hAnsi="Times New Roman"/>
                <w:sz w:val="24"/>
                <w:szCs w:val="24"/>
              </w:rPr>
            </w:pPr>
            <w:bookmarkStart w:id="84" w:name="_Hlk74922810"/>
            <w:r w:rsidRPr="00DB638E">
              <w:rPr>
                <w:rFonts w:ascii="Times New Roman" w:hAnsi="Times New Roman"/>
                <w:sz w:val="24"/>
                <w:szCs w:val="24"/>
              </w:rPr>
              <w:t>периферическая нейропатия</w:t>
            </w:r>
            <w:bookmarkEnd w:id="84"/>
          </w:p>
        </w:tc>
      </w:tr>
      <w:tr w:rsidR="00231A9A" w:rsidRPr="00DB638E" w14:paraId="0865E05C"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2B146F58"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Нечасто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4A004BB9" w14:textId="77777777" w:rsidR="00231A9A" w:rsidRPr="00DB638E" w:rsidRDefault="00231A9A" w:rsidP="00231A9A">
            <w:pPr>
              <w:spacing w:after="0" w:line="240" w:lineRule="auto"/>
              <w:jc w:val="both"/>
              <w:rPr>
                <w:rFonts w:ascii="Times New Roman" w:hAnsi="Times New Roman"/>
                <w:sz w:val="24"/>
                <w:szCs w:val="24"/>
                <w:lang w:val="fr-FR"/>
              </w:rPr>
            </w:pPr>
            <w:bookmarkStart w:id="85" w:name="_Hlk74923018"/>
            <w:r w:rsidRPr="00DB638E">
              <w:rPr>
                <w:rFonts w:ascii="Times New Roman" w:hAnsi="Times New Roman"/>
                <w:sz w:val="24"/>
                <w:szCs w:val="24"/>
                <w:lang w:val="fr-FR"/>
              </w:rPr>
              <w:t>аутоиммунный энцефалит, синдром Гийена - Барре, миастенический синдром</w:t>
            </w:r>
            <w:bookmarkEnd w:id="85"/>
          </w:p>
        </w:tc>
      </w:tr>
      <w:tr w:rsidR="00231A9A" w:rsidRPr="00DB638E" w14:paraId="53565569" w14:textId="77777777" w:rsidTr="003C21BB">
        <w:trPr>
          <w:cantSplit/>
          <w:trHeight w:val="269"/>
        </w:trPr>
        <w:tc>
          <w:tcPr>
            <w:tcW w:w="5000" w:type="pct"/>
            <w:gridSpan w:val="2"/>
            <w:tcBorders>
              <w:top w:val="single" w:sz="4" w:space="0" w:color="auto"/>
              <w:left w:val="single" w:sz="4" w:space="0" w:color="auto"/>
              <w:bottom w:val="single" w:sz="4" w:space="0" w:color="auto"/>
              <w:right w:val="single" w:sz="4" w:space="0" w:color="auto"/>
            </w:tcBorders>
            <w:hideMark/>
          </w:tcPr>
          <w:p w14:paraId="475CEF54"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iCs/>
                <w:sz w:val="24"/>
                <w:szCs w:val="24"/>
              </w:rPr>
              <w:t>Нарушения со стороны органа слуха и равновесия</w:t>
            </w:r>
          </w:p>
        </w:tc>
      </w:tr>
      <w:tr w:rsidR="00231A9A" w:rsidRPr="00DB638E" w14:paraId="3E54253F"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hideMark/>
          </w:tcPr>
          <w:p w14:paraId="32178C90"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hideMark/>
          </w:tcPr>
          <w:p w14:paraId="4C784DF9" w14:textId="77777777" w:rsidR="00231A9A" w:rsidRPr="00DB638E" w:rsidRDefault="00231A9A" w:rsidP="00231A9A">
            <w:pPr>
              <w:spacing w:after="0" w:line="240" w:lineRule="auto"/>
              <w:jc w:val="both"/>
              <w:rPr>
                <w:rFonts w:ascii="Times New Roman" w:hAnsi="Times New Roman"/>
                <w:sz w:val="24"/>
                <w:szCs w:val="24"/>
              </w:rPr>
            </w:pPr>
            <w:bookmarkStart w:id="86" w:name="_Hlk74922820"/>
            <w:r w:rsidRPr="00DB638E">
              <w:rPr>
                <w:rFonts w:ascii="Times New Roman" w:hAnsi="Times New Roman"/>
                <w:sz w:val="24"/>
                <w:szCs w:val="24"/>
              </w:rPr>
              <w:t>шум в ушах</w:t>
            </w:r>
            <w:bookmarkEnd w:id="86"/>
          </w:p>
        </w:tc>
      </w:tr>
      <w:tr w:rsidR="00231A9A" w:rsidRPr="00DB638E" w14:paraId="68CE20B3"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D25A8EB"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iCs/>
                <w:sz w:val="24"/>
                <w:szCs w:val="24"/>
              </w:rPr>
              <w:t>Нарушения со стороны органа зрения</w:t>
            </w:r>
          </w:p>
        </w:tc>
      </w:tr>
      <w:tr w:rsidR="00231A9A" w:rsidRPr="00DB638E" w14:paraId="7F373DEE"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6C9715B"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hideMark/>
          </w:tcPr>
          <w:p w14:paraId="390E9357" w14:textId="77777777" w:rsidR="00231A9A" w:rsidRPr="00DB638E" w:rsidRDefault="00231A9A" w:rsidP="00231A9A">
            <w:pPr>
              <w:spacing w:after="0" w:line="240" w:lineRule="auto"/>
              <w:jc w:val="both"/>
              <w:rPr>
                <w:rFonts w:ascii="Times New Roman" w:hAnsi="Times New Roman"/>
                <w:sz w:val="24"/>
                <w:szCs w:val="24"/>
                <w:lang w:val="en-GB"/>
              </w:rPr>
            </w:pPr>
            <w:bookmarkStart w:id="87" w:name="_Hlk74922830"/>
            <w:r w:rsidRPr="00DB638E">
              <w:rPr>
                <w:rFonts w:ascii="Times New Roman" w:hAnsi="Times New Roman"/>
                <w:sz w:val="24"/>
                <w:szCs w:val="24"/>
              </w:rPr>
              <w:t xml:space="preserve">сухость глаза, </w:t>
            </w:r>
            <w:r w:rsidRPr="00DB638E">
              <w:rPr>
                <w:rFonts w:ascii="Times New Roman" w:hAnsi="Times New Roman"/>
                <w:sz w:val="24"/>
                <w:szCs w:val="24"/>
                <w:lang w:val="en-GB"/>
              </w:rPr>
              <w:t>нечёткость зрения</w:t>
            </w:r>
            <w:bookmarkEnd w:id="87"/>
          </w:p>
        </w:tc>
      </w:tr>
      <w:tr w:rsidR="00231A9A" w:rsidRPr="00DB638E" w14:paraId="119B4DD7"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054FBEB0"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Нечасто</w:t>
            </w:r>
          </w:p>
        </w:tc>
        <w:tc>
          <w:tcPr>
            <w:tcW w:w="4101" w:type="pct"/>
            <w:tcBorders>
              <w:top w:val="single" w:sz="4" w:space="0" w:color="auto"/>
              <w:left w:val="single" w:sz="4" w:space="0" w:color="auto"/>
              <w:bottom w:val="single" w:sz="4" w:space="0" w:color="auto"/>
              <w:right w:val="single" w:sz="4" w:space="0" w:color="auto"/>
            </w:tcBorders>
            <w:hideMark/>
          </w:tcPr>
          <w:p w14:paraId="5F5316B7" w14:textId="77777777" w:rsidR="00231A9A" w:rsidRPr="00DB638E" w:rsidRDefault="00231A9A" w:rsidP="00231A9A">
            <w:pPr>
              <w:spacing w:after="0" w:line="240" w:lineRule="auto"/>
              <w:jc w:val="both"/>
              <w:rPr>
                <w:rFonts w:ascii="Times New Roman" w:hAnsi="Times New Roman"/>
                <w:sz w:val="24"/>
                <w:szCs w:val="24"/>
                <w:lang w:val="en-GB"/>
              </w:rPr>
            </w:pPr>
            <w:bookmarkStart w:id="88" w:name="_Hlk74923034"/>
            <w:r w:rsidRPr="00DB638E">
              <w:rPr>
                <w:rFonts w:ascii="Times New Roman" w:hAnsi="Times New Roman"/>
                <w:sz w:val="24"/>
                <w:szCs w:val="24"/>
              </w:rPr>
              <w:t>увеит</w:t>
            </w:r>
            <w:r w:rsidRPr="00DB638E">
              <w:rPr>
                <w:rFonts w:ascii="Times New Roman" w:hAnsi="Times New Roman"/>
                <w:sz w:val="24"/>
                <w:szCs w:val="24"/>
                <w:lang w:val="en-GB"/>
              </w:rPr>
              <w:t xml:space="preserve"> </w:t>
            </w:r>
            <w:bookmarkEnd w:id="88"/>
          </w:p>
        </w:tc>
      </w:tr>
      <w:tr w:rsidR="00231A9A" w:rsidRPr="00DB638E" w14:paraId="124A4360"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E05DF0A" w14:textId="77777777" w:rsidR="00231A9A" w:rsidRPr="00DB638E" w:rsidRDefault="00231A9A" w:rsidP="00231A9A">
            <w:pPr>
              <w:spacing w:after="0" w:line="240" w:lineRule="auto"/>
              <w:jc w:val="both"/>
              <w:rPr>
                <w:rFonts w:ascii="Times New Roman" w:hAnsi="Times New Roman"/>
                <w:b/>
                <w:bCs/>
                <w:sz w:val="24"/>
                <w:szCs w:val="24"/>
                <w:lang w:val="en-GB"/>
              </w:rPr>
            </w:pPr>
            <w:r w:rsidRPr="00DB638E">
              <w:rPr>
                <w:rFonts w:ascii="Times New Roman" w:hAnsi="Times New Roman"/>
                <w:b/>
                <w:bCs/>
                <w:iCs/>
                <w:sz w:val="24"/>
                <w:szCs w:val="24"/>
              </w:rPr>
              <w:t>Нарушения со стороны сердца</w:t>
            </w:r>
          </w:p>
        </w:tc>
      </w:tr>
      <w:tr w:rsidR="00231A9A" w:rsidRPr="00DB638E" w14:paraId="5CBD9E09"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6076AF4"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259EEB82" w14:textId="77777777" w:rsidR="00231A9A" w:rsidRPr="00DB638E" w:rsidRDefault="00231A9A" w:rsidP="00231A9A">
            <w:pPr>
              <w:spacing w:after="0" w:line="240" w:lineRule="auto"/>
              <w:jc w:val="both"/>
              <w:rPr>
                <w:rFonts w:ascii="Times New Roman" w:hAnsi="Times New Roman"/>
                <w:sz w:val="24"/>
                <w:szCs w:val="24"/>
                <w:vertAlign w:val="superscript"/>
              </w:rPr>
            </w:pPr>
            <w:bookmarkStart w:id="89" w:name="_Hlk74922840"/>
            <w:r w:rsidRPr="00DB638E">
              <w:rPr>
                <w:rFonts w:ascii="Times New Roman" w:hAnsi="Times New Roman"/>
                <w:sz w:val="24"/>
                <w:szCs w:val="24"/>
                <w:lang w:val="en-GB"/>
              </w:rPr>
              <w:t xml:space="preserve">мерцательная аритмия, </w:t>
            </w:r>
            <w:r w:rsidRPr="00DB638E">
              <w:rPr>
                <w:rFonts w:ascii="Times New Roman" w:hAnsi="Times New Roman"/>
                <w:sz w:val="24"/>
                <w:szCs w:val="24"/>
              </w:rPr>
              <w:t>тахикардия</w:t>
            </w:r>
            <w:bookmarkEnd w:id="89"/>
          </w:p>
        </w:tc>
      </w:tr>
      <w:tr w:rsidR="00231A9A" w:rsidRPr="00DB638E" w14:paraId="46EDEC65"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7164A7DE"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Нечасто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3D88DF5E" w14:textId="77777777" w:rsidR="00231A9A" w:rsidRPr="00DB638E" w:rsidRDefault="00231A9A" w:rsidP="00231A9A">
            <w:pPr>
              <w:spacing w:after="0" w:line="240" w:lineRule="auto"/>
              <w:jc w:val="both"/>
              <w:rPr>
                <w:rFonts w:ascii="Times New Roman" w:hAnsi="Times New Roman"/>
                <w:sz w:val="24"/>
                <w:szCs w:val="24"/>
                <w:lang w:val="en-GB"/>
              </w:rPr>
            </w:pPr>
            <w:bookmarkStart w:id="90" w:name="_Hlk74923046"/>
            <w:r w:rsidRPr="00DB638E">
              <w:rPr>
                <w:rFonts w:ascii="Times New Roman" w:hAnsi="Times New Roman"/>
                <w:sz w:val="24"/>
                <w:szCs w:val="24"/>
              </w:rPr>
              <w:t>миокардит</w:t>
            </w:r>
            <w:bookmarkEnd w:id="90"/>
          </w:p>
        </w:tc>
      </w:tr>
      <w:tr w:rsidR="00231A9A" w:rsidRPr="00DB638E" w14:paraId="069BB825"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092B0F7" w14:textId="77777777" w:rsidR="00231A9A" w:rsidRPr="00DB638E" w:rsidRDefault="00231A9A" w:rsidP="00231A9A">
            <w:pPr>
              <w:spacing w:after="0" w:line="240" w:lineRule="auto"/>
              <w:jc w:val="both"/>
              <w:rPr>
                <w:rFonts w:ascii="Times New Roman" w:hAnsi="Times New Roman"/>
                <w:b/>
                <w:bCs/>
                <w:sz w:val="24"/>
                <w:szCs w:val="24"/>
                <w:lang w:val="en-GB"/>
              </w:rPr>
            </w:pPr>
            <w:r w:rsidRPr="00DB638E">
              <w:rPr>
                <w:rFonts w:ascii="Times New Roman" w:hAnsi="Times New Roman"/>
                <w:b/>
                <w:bCs/>
                <w:iCs/>
                <w:sz w:val="24"/>
                <w:szCs w:val="24"/>
                <w:lang w:val="en-GB"/>
              </w:rPr>
              <w:t>Нарушения со стороны сосудов</w:t>
            </w:r>
          </w:p>
        </w:tc>
      </w:tr>
      <w:tr w:rsidR="00231A9A" w:rsidRPr="00DB638E" w14:paraId="47E6B576"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hideMark/>
          </w:tcPr>
          <w:p w14:paraId="1EF410B3"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Очень часто</w:t>
            </w:r>
          </w:p>
        </w:tc>
        <w:tc>
          <w:tcPr>
            <w:tcW w:w="4101" w:type="pct"/>
            <w:tcBorders>
              <w:top w:val="single" w:sz="4" w:space="0" w:color="auto"/>
              <w:left w:val="single" w:sz="4" w:space="0" w:color="auto"/>
              <w:bottom w:val="single" w:sz="4" w:space="0" w:color="auto"/>
              <w:right w:val="single" w:sz="4" w:space="0" w:color="auto"/>
            </w:tcBorders>
            <w:hideMark/>
          </w:tcPr>
          <w:p w14:paraId="143171C8" w14:textId="77777777" w:rsidR="00231A9A" w:rsidRPr="00DB638E" w:rsidRDefault="00231A9A" w:rsidP="00231A9A">
            <w:pPr>
              <w:spacing w:after="0" w:line="240" w:lineRule="auto"/>
              <w:jc w:val="both"/>
              <w:rPr>
                <w:rFonts w:ascii="Times New Roman" w:hAnsi="Times New Roman"/>
                <w:sz w:val="24"/>
                <w:szCs w:val="24"/>
                <w:lang w:val="en-GB"/>
              </w:rPr>
            </w:pPr>
            <w:bookmarkStart w:id="91" w:name="_Hlk74922641"/>
            <w:r w:rsidRPr="00DB638E">
              <w:rPr>
                <w:rFonts w:ascii="Times New Roman" w:hAnsi="Times New Roman"/>
                <w:sz w:val="24"/>
                <w:szCs w:val="24"/>
              </w:rPr>
              <w:t>повышение артериального давления</w:t>
            </w:r>
            <w:bookmarkEnd w:id="91"/>
          </w:p>
        </w:tc>
      </w:tr>
      <w:tr w:rsidR="00231A9A" w:rsidRPr="00DB638E" w14:paraId="0BBC0F55"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78CC455B" w14:textId="77777777" w:rsidR="00231A9A" w:rsidRPr="00DB638E" w:rsidRDefault="00231A9A" w:rsidP="00231A9A">
            <w:pPr>
              <w:spacing w:after="0" w:line="240" w:lineRule="auto"/>
              <w:jc w:val="both"/>
              <w:rPr>
                <w:rFonts w:ascii="Times New Roman" w:hAnsi="Times New Roman"/>
                <w:sz w:val="24"/>
                <w:szCs w:val="24"/>
                <w:lang w:val="en-GB"/>
              </w:rPr>
            </w:pPr>
            <w:r w:rsidRPr="00DB638E">
              <w:rPr>
                <w:rFonts w:ascii="Times New Roman" w:hAnsi="Times New Roman"/>
                <w:sz w:val="24"/>
                <w:szCs w:val="24"/>
              </w:rPr>
              <w:lastRenderedPageBreak/>
              <w:t>Часто</w:t>
            </w:r>
            <w:r w:rsidRPr="00DB638E">
              <w:rPr>
                <w:rFonts w:ascii="Times New Roman" w:hAnsi="Times New Roman"/>
                <w:sz w:val="24"/>
                <w:szCs w:val="24"/>
                <w:lang w:val="en-GB"/>
              </w:rPr>
              <w:t xml:space="preserve">  </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4F8DBDED" w14:textId="77777777" w:rsidR="00231A9A" w:rsidRPr="00DB638E" w:rsidRDefault="00231A9A" w:rsidP="00231A9A">
            <w:pPr>
              <w:spacing w:after="0" w:line="240" w:lineRule="auto"/>
              <w:jc w:val="both"/>
              <w:rPr>
                <w:rFonts w:ascii="Times New Roman" w:hAnsi="Times New Roman"/>
                <w:sz w:val="24"/>
                <w:szCs w:val="24"/>
                <w:lang w:val="en-GB"/>
              </w:rPr>
            </w:pPr>
            <w:bookmarkStart w:id="92" w:name="_Hlk74922851"/>
            <w:r w:rsidRPr="00DB638E">
              <w:rPr>
                <w:rFonts w:ascii="Times New Roman" w:hAnsi="Times New Roman"/>
                <w:sz w:val="24"/>
                <w:szCs w:val="24"/>
              </w:rPr>
              <w:t>тромбоз</w:t>
            </w:r>
            <w:r w:rsidRPr="00DB638E">
              <w:rPr>
                <w:rFonts w:ascii="Times New Roman" w:hAnsi="Times New Roman"/>
                <w:sz w:val="24"/>
                <w:szCs w:val="24"/>
                <w:vertAlign w:val="superscript"/>
                <w:lang w:val="en-US"/>
              </w:rPr>
              <w:t>a</w:t>
            </w:r>
            <w:r w:rsidRPr="00DB638E">
              <w:rPr>
                <w:rFonts w:ascii="Times New Roman" w:hAnsi="Times New Roman"/>
                <w:sz w:val="24"/>
                <w:szCs w:val="24"/>
                <w:lang w:val="en-GB"/>
              </w:rPr>
              <w:t xml:space="preserve"> </w:t>
            </w:r>
            <w:bookmarkEnd w:id="92"/>
          </w:p>
        </w:tc>
      </w:tr>
      <w:tr w:rsidR="00D40659" w:rsidRPr="00DB638E" w14:paraId="02A126DD"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39B2EFF3" w14:textId="66564604" w:rsidR="00D40659" w:rsidRPr="00DB638E" w:rsidRDefault="00D40659" w:rsidP="00231A9A">
            <w:pPr>
              <w:spacing w:after="0" w:line="240" w:lineRule="auto"/>
              <w:jc w:val="both"/>
              <w:rPr>
                <w:rFonts w:ascii="Times New Roman" w:hAnsi="Times New Roman"/>
                <w:sz w:val="24"/>
                <w:szCs w:val="24"/>
              </w:rPr>
            </w:pPr>
            <w:r w:rsidRPr="00DB638E">
              <w:rPr>
                <w:rFonts w:ascii="Times New Roman" w:hAnsi="Times New Roman"/>
                <w:sz w:val="24"/>
                <w:szCs w:val="24"/>
              </w:rPr>
              <w:t>Редко</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20AC074F" w14:textId="378BA6CD" w:rsidR="00D40659" w:rsidRPr="00DB638E" w:rsidRDefault="00D40659" w:rsidP="00231A9A">
            <w:pPr>
              <w:spacing w:after="0" w:line="240" w:lineRule="auto"/>
              <w:jc w:val="both"/>
              <w:rPr>
                <w:rFonts w:ascii="Times New Roman" w:hAnsi="Times New Roman"/>
                <w:sz w:val="24"/>
                <w:szCs w:val="24"/>
              </w:rPr>
            </w:pPr>
            <w:r w:rsidRPr="00DB638E">
              <w:rPr>
                <w:rFonts w:ascii="Times New Roman" w:hAnsi="Times New Roman"/>
                <w:sz w:val="24"/>
                <w:szCs w:val="24"/>
              </w:rPr>
              <w:t>артериальная эмболия</w:t>
            </w:r>
          </w:p>
        </w:tc>
      </w:tr>
      <w:tr w:rsidR="00231A9A" w:rsidRPr="00DB638E" w14:paraId="79738310"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8A4E860"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iCs/>
                <w:sz w:val="24"/>
                <w:szCs w:val="24"/>
              </w:rPr>
              <w:t>Нарушения со стороны дыхательной системы, органов грудной клетки и средостения</w:t>
            </w:r>
          </w:p>
        </w:tc>
      </w:tr>
      <w:tr w:rsidR="00231A9A" w:rsidRPr="00DB638E" w14:paraId="2363E6B7"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5F77F4FF"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Очень 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17FEC1F7" w14:textId="77777777" w:rsidR="00231A9A" w:rsidRPr="00DB638E" w:rsidRDefault="00231A9A" w:rsidP="00231A9A">
            <w:pPr>
              <w:spacing w:after="0" w:line="240" w:lineRule="auto"/>
              <w:jc w:val="both"/>
              <w:rPr>
                <w:rFonts w:ascii="Times New Roman" w:hAnsi="Times New Roman"/>
                <w:sz w:val="24"/>
                <w:szCs w:val="24"/>
              </w:rPr>
            </w:pPr>
            <w:bookmarkStart w:id="93" w:name="_Hlk74922650"/>
            <w:r w:rsidRPr="00DB638E">
              <w:rPr>
                <w:rFonts w:ascii="Times New Roman" w:hAnsi="Times New Roman"/>
                <w:sz w:val="24"/>
                <w:szCs w:val="24"/>
              </w:rPr>
              <w:t>дисфония, диспноэ, кашель</w:t>
            </w:r>
            <w:bookmarkEnd w:id="93"/>
          </w:p>
        </w:tc>
      </w:tr>
      <w:tr w:rsidR="00231A9A" w:rsidRPr="00DB638E" w14:paraId="173A2AB9"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A96C6FB"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155C767C" w14:textId="77777777" w:rsidR="00231A9A" w:rsidRPr="00DB638E" w:rsidRDefault="00231A9A" w:rsidP="00231A9A">
            <w:pPr>
              <w:spacing w:after="0" w:line="240" w:lineRule="auto"/>
              <w:jc w:val="both"/>
              <w:rPr>
                <w:rFonts w:ascii="Times New Roman" w:hAnsi="Times New Roman"/>
                <w:sz w:val="24"/>
                <w:szCs w:val="24"/>
              </w:rPr>
            </w:pPr>
            <w:bookmarkStart w:id="94" w:name="_Hlk74922861"/>
            <w:r w:rsidRPr="00DB638E">
              <w:rPr>
                <w:rFonts w:ascii="Times New Roman" w:hAnsi="Times New Roman"/>
                <w:sz w:val="24"/>
                <w:szCs w:val="24"/>
              </w:rPr>
              <w:t>пневмонит, легочная эмболия, кровотечение из носа, плевральный выпот</w:t>
            </w:r>
            <w:bookmarkEnd w:id="94"/>
          </w:p>
        </w:tc>
      </w:tr>
      <w:tr w:rsidR="00501CC4" w:rsidRPr="00DB638E" w14:paraId="798C3792"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2D85AD1C" w14:textId="77777777" w:rsidR="00501CC4" w:rsidRPr="00DB638E" w:rsidRDefault="00501CC4" w:rsidP="00231A9A">
            <w:pPr>
              <w:spacing w:after="0" w:line="240" w:lineRule="auto"/>
              <w:jc w:val="both"/>
              <w:rPr>
                <w:rFonts w:ascii="Times New Roman" w:hAnsi="Times New Roman"/>
                <w:sz w:val="24"/>
                <w:szCs w:val="24"/>
              </w:rPr>
            </w:pPr>
            <w:r w:rsidRPr="00DB638E">
              <w:rPr>
                <w:rFonts w:ascii="Times New Roman" w:hAnsi="Times New Roman"/>
                <w:sz w:val="24"/>
                <w:szCs w:val="24"/>
              </w:rPr>
              <w:t>Нечасто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7C4EE3F5" w14:textId="77777777" w:rsidR="00501CC4" w:rsidRPr="00DB638E" w:rsidRDefault="00501CC4" w:rsidP="00231A9A">
            <w:pPr>
              <w:spacing w:after="0" w:line="240" w:lineRule="auto"/>
              <w:jc w:val="both"/>
              <w:rPr>
                <w:rFonts w:ascii="Times New Roman" w:hAnsi="Times New Roman"/>
                <w:sz w:val="24"/>
                <w:szCs w:val="24"/>
              </w:rPr>
            </w:pPr>
            <w:bookmarkStart w:id="95" w:name="_Hlk140480294"/>
            <w:r w:rsidRPr="00DB638E">
              <w:rPr>
                <w:rFonts w:ascii="Times New Roman" w:hAnsi="Times New Roman"/>
                <w:sz w:val="24"/>
                <w:szCs w:val="24"/>
              </w:rPr>
              <w:t>пневмоторакс</w:t>
            </w:r>
            <w:bookmarkEnd w:id="95"/>
          </w:p>
        </w:tc>
      </w:tr>
      <w:tr w:rsidR="00231A9A" w:rsidRPr="00DB638E" w14:paraId="1DEEA9E6"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33CC8C3"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iCs/>
                <w:sz w:val="24"/>
                <w:szCs w:val="24"/>
              </w:rPr>
              <w:t>Нарушения со стороны желудочно-кишечного тракта</w:t>
            </w:r>
          </w:p>
        </w:tc>
      </w:tr>
      <w:tr w:rsidR="00231A9A" w:rsidRPr="00DB638E" w14:paraId="1052A395"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67F893DA" w14:textId="77777777" w:rsidR="00231A9A" w:rsidRPr="00DB638E" w:rsidRDefault="00231A9A" w:rsidP="00231A9A">
            <w:pPr>
              <w:spacing w:after="0" w:line="240" w:lineRule="auto"/>
              <w:jc w:val="both"/>
              <w:rPr>
                <w:rFonts w:ascii="Times New Roman" w:hAnsi="Times New Roman"/>
                <w:sz w:val="24"/>
                <w:szCs w:val="24"/>
              </w:rPr>
            </w:pPr>
            <w:bookmarkStart w:id="96" w:name="_Hlk140479962"/>
            <w:r w:rsidRPr="00DB638E">
              <w:rPr>
                <w:rFonts w:ascii="Times New Roman" w:hAnsi="Times New Roman"/>
                <w:sz w:val="24"/>
                <w:szCs w:val="24"/>
              </w:rPr>
              <w:t>Очень 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464CEDFB" w14:textId="77777777" w:rsidR="00231A9A" w:rsidRPr="00DB638E" w:rsidRDefault="00231A9A" w:rsidP="00231A9A">
            <w:pPr>
              <w:spacing w:after="0" w:line="240" w:lineRule="auto"/>
              <w:jc w:val="both"/>
              <w:rPr>
                <w:rFonts w:ascii="Times New Roman" w:hAnsi="Times New Roman"/>
                <w:sz w:val="24"/>
                <w:szCs w:val="24"/>
              </w:rPr>
            </w:pPr>
            <w:bookmarkStart w:id="97" w:name="_Hlk74922659"/>
            <w:r w:rsidRPr="00DB638E">
              <w:rPr>
                <w:rFonts w:ascii="Times New Roman" w:hAnsi="Times New Roman"/>
                <w:sz w:val="24"/>
                <w:szCs w:val="24"/>
              </w:rPr>
              <w:t>диарея, рвота, тошнота, запор, стоматит, боль в животе, диспепсия</w:t>
            </w:r>
            <w:bookmarkEnd w:id="97"/>
          </w:p>
        </w:tc>
      </w:tr>
      <w:bookmarkEnd w:id="96"/>
      <w:tr w:rsidR="00231A9A" w:rsidRPr="00DB638E" w14:paraId="020E80A5"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D5A4619"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1B40050D" w14:textId="77777777" w:rsidR="00231A9A" w:rsidRPr="00DB638E" w:rsidRDefault="00231A9A" w:rsidP="00231A9A">
            <w:pPr>
              <w:spacing w:after="0" w:line="240" w:lineRule="auto"/>
              <w:jc w:val="both"/>
              <w:rPr>
                <w:rFonts w:ascii="Times New Roman" w:hAnsi="Times New Roman"/>
                <w:sz w:val="24"/>
                <w:szCs w:val="24"/>
              </w:rPr>
            </w:pPr>
            <w:bookmarkStart w:id="98" w:name="_Hlk74922886"/>
            <w:r w:rsidRPr="00DB638E">
              <w:rPr>
                <w:rFonts w:ascii="Times New Roman" w:hAnsi="Times New Roman"/>
                <w:sz w:val="24"/>
                <w:szCs w:val="24"/>
              </w:rPr>
              <w:t xml:space="preserve">колит, гастрит, боль в ротовой полости, сухость во рту, геморрой </w:t>
            </w:r>
            <w:bookmarkEnd w:id="98"/>
          </w:p>
        </w:tc>
      </w:tr>
      <w:tr w:rsidR="00231A9A" w:rsidRPr="00DB638E" w14:paraId="702DF824"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0169E0E9"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Нечасто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55E5E924" w14:textId="77777777" w:rsidR="00231A9A" w:rsidRPr="00DB638E" w:rsidRDefault="00231A9A" w:rsidP="00231A9A">
            <w:pPr>
              <w:spacing w:after="0" w:line="240" w:lineRule="auto"/>
              <w:jc w:val="both"/>
              <w:rPr>
                <w:rFonts w:ascii="Times New Roman" w:hAnsi="Times New Roman"/>
                <w:sz w:val="24"/>
                <w:szCs w:val="24"/>
              </w:rPr>
            </w:pPr>
            <w:bookmarkStart w:id="99" w:name="_Hlk74923074"/>
            <w:r w:rsidRPr="00DB638E">
              <w:rPr>
                <w:rFonts w:ascii="Times New Roman" w:hAnsi="Times New Roman"/>
                <w:sz w:val="24"/>
                <w:szCs w:val="24"/>
              </w:rPr>
              <w:t>панкреатит, перфорация тонкого кишечника</w:t>
            </w:r>
            <w:r w:rsidRPr="00DB638E">
              <w:rPr>
                <w:rFonts w:ascii="Times New Roman" w:hAnsi="Times New Roman"/>
                <w:sz w:val="24"/>
                <w:szCs w:val="24"/>
                <w:vertAlign w:val="superscript"/>
                <w:lang w:val="en-US"/>
              </w:rPr>
              <w:t>b</w:t>
            </w:r>
            <w:r w:rsidRPr="00DB638E">
              <w:rPr>
                <w:rFonts w:ascii="Times New Roman" w:hAnsi="Times New Roman"/>
                <w:sz w:val="24"/>
                <w:szCs w:val="24"/>
              </w:rPr>
              <w:t xml:space="preserve">, глоссодиния </w:t>
            </w:r>
            <w:bookmarkEnd w:id="99"/>
          </w:p>
        </w:tc>
      </w:tr>
      <w:tr w:rsidR="00231A9A" w:rsidRPr="00DB638E" w14:paraId="341CF122"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E9563A8" w14:textId="77777777" w:rsidR="00231A9A" w:rsidRPr="00DB638E" w:rsidRDefault="00231A9A" w:rsidP="00231A9A">
            <w:pPr>
              <w:spacing w:after="0" w:line="240" w:lineRule="auto"/>
              <w:jc w:val="both"/>
              <w:rPr>
                <w:rFonts w:ascii="Times New Roman" w:hAnsi="Times New Roman"/>
                <w:b/>
                <w:bCs/>
                <w:iCs/>
                <w:sz w:val="24"/>
                <w:szCs w:val="24"/>
              </w:rPr>
            </w:pPr>
            <w:r w:rsidRPr="00DB638E">
              <w:rPr>
                <w:rFonts w:ascii="Times New Roman" w:hAnsi="Times New Roman"/>
                <w:b/>
                <w:bCs/>
                <w:iCs/>
                <w:sz w:val="24"/>
                <w:szCs w:val="24"/>
              </w:rPr>
              <w:t>Нарушения со стороны печени и желчевыводящих путей</w:t>
            </w:r>
          </w:p>
        </w:tc>
      </w:tr>
      <w:tr w:rsidR="00231A9A" w:rsidRPr="00DB638E" w14:paraId="0334267D" w14:textId="77777777" w:rsidTr="003C21BB">
        <w:trPr>
          <w:cantSplit/>
          <w:trHeight w:val="283"/>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555B7BAB"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31A4328D" w14:textId="77777777" w:rsidR="00231A9A" w:rsidRPr="00DB638E" w:rsidRDefault="00231A9A" w:rsidP="00231A9A">
            <w:pPr>
              <w:spacing w:after="0" w:line="240" w:lineRule="auto"/>
              <w:jc w:val="both"/>
              <w:rPr>
                <w:rFonts w:ascii="Times New Roman" w:hAnsi="Times New Roman"/>
                <w:bCs/>
                <w:iCs/>
                <w:sz w:val="24"/>
                <w:szCs w:val="24"/>
                <w:lang w:val="en-GB"/>
              </w:rPr>
            </w:pPr>
            <w:bookmarkStart w:id="100" w:name="_Hlk74922901"/>
            <w:r w:rsidRPr="00DB638E">
              <w:rPr>
                <w:rFonts w:ascii="Times New Roman" w:hAnsi="Times New Roman"/>
                <w:bCs/>
                <w:iCs/>
                <w:sz w:val="24"/>
                <w:szCs w:val="24"/>
              </w:rPr>
              <w:t>гепатит</w:t>
            </w:r>
            <w:bookmarkEnd w:id="100"/>
          </w:p>
        </w:tc>
      </w:tr>
      <w:tr w:rsidR="00D40659" w:rsidRPr="00DB638E" w14:paraId="453A6E85" w14:textId="77777777" w:rsidTr="003C21BB">
        <w:trPr>
          <w:cantSplit/>
          <w:trHeight w:val="283"/>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7A18D0B4" w14:textId="62F2D369" w:rsidR="00D40659" w:rsidRPr="00DB638E" w:rsidRDefault="00D40659" w:rsidP="00231A9A">
            <w:pPr>
              <w:spacing w:after="0" w:line="240" w:lineRule="auto"/>
              <w:jc w:val="both"/>
              <w:rPr>
                <w:rFonts w:ascii="Times New Roman" w:hAnsi="Times New Roman"/>
                <w:sz w:val="24"/>
                <w:szCs w:val="24"/>
              </w:rPr>
            </w:pPr>
            <w:r w:rsidRPr="00DB638E">
              <w:rPr>
                <w:rFonts w:ascii="Times New Roman" w:hAnsi="Times New Roman"/>
                <w:sz w:val="24"/>
                <w:szCs w:val="24"/>
              </w:rPr>
              <w:t>Неизвестно</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250B8001" w14:textId="3493D66B" w:rsidR="00D40659" w:rsidRPr="00DB638E" w:rsidRDefault="00D40659" w:rsidP="00231A9A">
            <w:pPr>
              <w:spacing w:after="0" w:line="240" w:lineRule="auto"/>
              <w:jc w:val="both"/>
              <w:rPr>
                <w:rFonts w:ascii="Times New Roman" w:hAnsi="Times New Roman"/>
                <w:bCs/>
                <w:iCs/>
                <w:sz w:val="24"/>
                <w:szCs w:val="24"/>
              </w:rPr>
            </w:pPr>
            <w:r w:rsidRPr="00DB638E">
              <w:rPr>
                <w:rFonts w:ascii="Times New Roman" w:hAnsi="Times New Roman"/>
                <w:bCs/>
                <w:iCs/>
                <w:sz w:val="24"/>
                <w:szCs w:val="24"/>
              </w:rPr>
              <w:t>разрежение желчных протоков</w:t>
            </w:r>
            <w:r w:rsidRPr="00DB638E">
              <w:rPr>
                <w:rFonts w:ascii="Times New Roman" w:hAnsi="Times New Roman"/>
                <w:bCs/>
                <w:iCs/>
                <w:sz w:val="24"/>
                <w:szCs w:val="24"/>
                <w:vertAlign w:val="superscript"/>
              </w:rPr>
              <w:t>c</w:t>
            </w:r>
          </w:p>
        </w:tc>
      </w:tr>
      <w:tr w:rsidR="00231A9A" w:rsidRPr="00DB638E" w14:paraId="7F4C525C"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2B54608"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iCs/>
                <w:sz w:val="24"/>
                <w:szCs w:val="24"/>
              </w:rPr>
              <w:t>Нарушения со стороны кожи и подкожных тканей</w:t>
            </w:r>
          </w:p>
        </w:tc>
      </w:tr>
      <w:tr w:rsidR="00231A9A" w:rsidRPr="00DB638E" w14:paraId="77E2C79E"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2E007FC4" w14:textId="77777777" w:rsidR="00231A9A" w:rsidRPr="00DB638E" w:rsidRDefault="00231A9A" w:rsidP="00231A9A">
            <w:pPr>
              <w:spacing w:after="0" w:line="240" w:lineRule="auto"/>
              <w:jc w:val="both"/>
              <w:rPr>
                <w:rFonts w:ascii="Times New Roman" w:hAnsi="Times New Roman"/>
                <w:sz w:val="24"/>
                <w:szCs w:val="24"/>
                <w:lang w:val="en-GB"/>
              </w:rPr>
            </w:pPr>
            <w:r w:rsidRPr="00DB638E">
              <w:rPr>
                <w:rFonts w:ascii="Times New Roman" w:hAnsi="Times New Roman"/>
                <w:sz w:val="24"/>
                <w:szCs w:val="24"/>
              </w:rPr>
              <w:t>Очень 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4324736" w14:textId="15EAAB2B" w:rsidR="00231A9A" w:rsidRPr="00DB638E" w:rsidRDefault="00231A9A" w:rsidP="00231A9A">
            <w:pPr>
              <w:spacing w:after="0" w:line="240" w:lineRule="auto"/>
              <w:rPr>
                <w:rFonts w:ascii="Times New Roman" w:hAnsi="Times New Roman"/>
                <w:sz w:val="24"/>
                <w:szCs w:val="24"/>
              </w:rPr>
            </w:pPr>
            <w:bookmarkStart w:id="101" w:name="_Hlk74922673"/>
            <w:r w:rsidRPr="00DB638E">
              <w:rPr>
                <w:rFonts w:ascii="Times New Roman" w:hAnsi="Times New Roman"/>
                <w:sz w:val="24"/>
                <w:szCs w:val="24"/>
              </w:rPr>
              <w:t>ладонно-подошвенный синдром (ладонно-подошвенная эритродизестезия), сыпь</w:t>
            </w:r>
            <w:r w:rsidR="00C31F6F" w:rsidRPr="00DB638E">
              <w:rPr>
                <w:rFonts w:ascii="Times New Roman" w:hAnsi="Times New Roman"/>
                <w:sz w:val="24"/>
                <w:szCs w:val="24"/>
                <w:vertAlign w:val="superscript"/>
                <w:lang w:val="en-US"/>
              </w:rPr>
              <w:t>d</w:t>
            </w:r>
            <w:r w:rsidRPr="00DB638E">
              <w:rPr>
                <w:rFonts w:ascii="Times New Roman" w:hAnsi="Times New Roman"/>
                <w:sz w:val="24"/>
                <w:szCs w:val="24"/>
              </w:rPr>
              <w:t>, зуд</w:t>
            </w:r>
            <w:bookmarkEnd w:id="101"/>
          </w:p>
        </w:tc>
      </w:tr>
      <w:tr w:rsidR="00231A9A" w:rsidRPr="00DB638E" w14:paraId="0CB2DFF9"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5210F2E8" w14:textId="77777777" w:rsidR="00231A9A" w:rsidRPr="00DB638E" w:rsidRDefault="00231A9A" w:rsidP="00231A9A">
            <w:pPr>
              <w:spacing w:after="0" w:line="240" w:lineRule="auto"/>
              <w:jc w:val="both"/>
              <w:rPr>
                <w:rFonts w:ascii="Times New Roman" w:hAnsi="Times New Roman"/>
                <w:sz w:val="24"/>
                <w:szCs w:val="24"/>
                <w:lang w:val="en-GB"/>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F438785" w14:textId="77777777" w:rsidR="00231A9A" w:rsidRPr="00DB638E" w:rsidRDefault="00231A9A" w:rsidP="00231A9A">
            <w:pPr>
              <w:spacing w:after="0" w:line="240" w:lineRule="auto"/>
              <w:jc w:val="both"/>
              <w:rPr>
                <w:rFonts w:ascii="Times New Roman" w:hAnsi="Times New Roman"/>
                <w:sz w:val="24"/>
                <w:szCs w:val="24"/>
              </w:rPr>
            </w:pPr>
            <w:bookmarkStart w:id="102" w:name="_Hlk74922913"/>
            <w:r w:rsidRPr="00DB638E">
              <w:rPr>
                <w:rFonts w:ascii="Times New Roman" w:hAnsi="Times New Roman"/>
                <w:sz w:val="24"/>
                <w:szCs w:val="24"/>
              </w:rPr>
              <w:t>алопеция, сухость кожи, эритема, изменение цвета волос</w:t>
            </w:r>
            <w:bookmarkEnd w:id="102"/>
          </w:p>
        </w:tc>
      </w:tr>
      <w:tr w:rsidR="00231A9A" w:rsidRPr="00DB638E" w14:paraId="452101D6"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547013D" w14:textId="77777777" w:rsidR="00231A9A" w:rsidRPr="00DB638E" w:rsidRDefault="00231A9A" w:rsidP="00231A9A">
            <w:pPr>
              <w:spacing w:after="0" w:line="240" w:lineRule="auto"/>
              <w:jc w:val="both"/>
              <w:rPr>
                <w:rFonts w:ascii="Times New Roman" w:hAnsi="Times New Roman"/>
                <w:sz w:val="24"/>
                <w:szCs w:val="24"/>
                <w:lang w:val="en-GB"/>
              </w:rPr>
            </w:pPr>
            <w:r w:rsidRPr="00DB638E">
              <w:rPr>
                <w:rFonts w:ascii="Times New Roman" w:hAnsi="Times New Roman"/>
                <w:sz w:val="24"/>
                <w:szCs w:val="24"/>
              </w:rPr>
              <w:t>Нечасто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50075A53" w14:textId="77777777" w:rsidR="00231A9A" w:rsidRPr="00DB638E" w:rsidRDefault="00231A9A" w:rsidP="00231A9A">
            <w:pPr>
              <w:spacing w:after="0" w:line="240" w:lineRule="auto"/>
              <w:jc w:val="both"/>
              <w:rPr>
                <w:rFonts w:ascii="Times New Roman" w:hAnsi="Times New Roman"/>
                <w:sz w:val="24"/>
                <w:szCs w:val="24"/>
              </w:rPr>
            </w:pPr>
            <w:bookmarkStart w:id="103" w:name="_Hlk74923093"/>
            <w:r w:rsidRPr="00DB638E">
              <w:rPr>
                <w:rFonts w:ascii="Times New Roman" w:hAnsi="Times New Roman"/>
                <w:sz w:val="24"/>
                <w:szCs w:val="24"/>
              </w:rPr>
              <w:t>псориаз</w:t>
            </w:r>
            <w:r w:rsidRPr="00DB638E">
              <w:rPr>
                <w:rFonts w:ascii="Times New Roman" w:hAnsi="Times New Roman"/>
                <w:sz w:val="24"/>
                <w:szCs w:val="24"/>
                <w:lang w:val="en-GB"/>
              </w:rPr>
              <w:t xml:space="preserve">, </w:t>
            </w:r>
            <w:r w:rsidRPr="00DB638E">
              <w:rPr>
                <w:rFonts w:ascii="Times New Roman" w:hAnsi="Times New Roman"/>
                <w:sz w:val="24"/>
                <w:szCs w:val="24"/>
              </w:rPr>
              <w:t>крапивница</w:t>
            </w:r>
            <w:bookmarkEnd w:id="103"/>
          </w:p>
        </w:tc>
      </w:tr>
      <w:tr w:rsidR="00501CC4" w:rsidRPr="00DB638E" w14:paraId="104B0761"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1E5046DC" w14:textId="77777777" w:rsidR="00501CC4" w:rsidRPr="00DB638E" w:rsidRDefault="00501CC4" w:rsidP="00231A9A">
            <w:pPr>
              <w:spacing w:after="0" w:line="240" w:lineRule="auto"/>
              <w:jc w:val="both"/>
              <w:rPr>
                <w:rFonts w:ascii="Times New Roman" w:hAnsi="Times New Roman"/>
                <w:sz w:val="24"/>
                <w:szCs w:val="24"/>
              </w:rPr>
            </w:pPr>
            <w:r w:rsidRPr="00DB638E">
              <w:rPr>
                <w:rFonts w:ascii="Times New Roman" w:hAnsi="Times New Roman"/>
                <w:sz w:val="24"/>
                <w:szCs w:val="24"/>
              </w:rPr>
              <w:t>Неизвестно</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08BB30C7" w14:textId="77777777" w:rsidR="00501CC4" w:rsidRPr="00DB638E" w:rsidRDefault="00501CC4" w:rsidP="00231A9A">
            <w:pPr>
              <w:spacing w:after="0" w:line="240" w:lineRule="auto"/>
              <w:jc w:val="both"/>
              <w:rPr>
                <w:rFonts w:ascii="Times New Roman" w:hAnsi="Times New Roman"/>
                <w:sz w:val="24"/>
                <w:szCs w:val="24"/>
              </w:rPr>
            </w:pPr>
            <w:bookmarkStart w:id="104" w:name="_Hlk140480366"/>
            <w:r w:rsidRPr="00DB638E">
              <w:rPr>
                <w:rFonts w:ascii="Times New Roman" w:hAnsi="Times New Roman"/>
                <w:sz w:val="24"/>
                <w:szCs w:val="24"/>
              </w:rPr>
              <w:t>кожный васкулит</w:t>
            </w:r>
            <w:bookmarkEnd w:id="104"/>
          </w:p>
        </w:tc>
      </w:tr>
      <w:tr w:rsidR="00231A9A" w:rsidRPr="00DB638E" w14:paraId="69C029DA"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966D9D9"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iCs/>
                <w:sz w:val="24"/>
                <w:szCs w:val="24"/>
              </w:rPr>
              <w:t>Нарушения со стороны скелетно-мышечной и соединительной ткани</w:t>
            </w:r>
          </w:p>
        </w:tc>
      </w:tr>
      <w:tr w:rsidR="00231A9A" w:rsidRPr="00DB638E" w14:paraId="06039367"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0C12901A"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Очень 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3F2EEB3F" w14:textId="509C70DA" w:rsidR="00231A9A" w:rsidRPr="00DB638E" w:rsidRDefault="00231A9A" w:rsidP="00231A9A">
            <w:pPr>
              <w:spacing w:after="0" w:line="240" w:lineRule="auto"/>
              <w:jc w:val="both"/>
              <w:rPr>
                <w:rFonts w:ascii="Times New Roman" w:hAnsi="Times New Roman"/>
                <w:sz w:val="24"/>
                <w:szCs w:val="24"/>
              </w:rPr>
            </w:pPr>
            <w:bookmarkStart w:id="105" w:name="_Hlk74922684"/>
            <w:r w:rsidRPr="00DB638E">
              <w:rPr>
                <w:rFonts w:ascii="Times New Roman" w:hAnsi="Times New Roman"/>
                <w:sz w:val="24"/>
                <w:szCs w:val="24"/>
              </w:rPr>
              <w:t>скелетно-мышечная боль</w:t>
            </w:r>
            <w:r w:rsidR="00C31F6F" w:rsidRPr="00DB638E">
              <w:rPr>
                <w:rFonts w:ascii="Times New Roman" w:hAnsi="Times New Roman"/>
                <w:sz w:val="24"/>
                <w:szCs w:val="24"/>
                <w:vertAlign w:val="superscript"/>
              </w:rPr>
              <w:t>e</w:t>
            </w:r>
            <w:r w:rsidRPr="00DB638E">
              <w:rPr>
                <w:rFonts w:ascii="Times New Roman" w:hAnsi="Times New Roman"/>
                <w:sz w:val="24"/>
                <w:szCs w:val="24"/>
              </w:rPr>
              <w:t xml:space="preserve">, боль в суставах, мышечный спазм </w:t>
            </w:r>
            <w:bookmarkEnd w:id="105"/>
          </w:p>
        </w:tc>
      </w:tr>
      <w:tr w:rsidR="00231A9A" w:rsidRPr="00DB638E" w14:paraId="16517FD0"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523A7CC8"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28D1DE7F" w14:textId="77777777" w:rsidR="00231A9A" w:rsidRPr="00DB638E" w:rsidRDefault="00231A9A" w:rsidP="00231A9A">
            <w:pPr>
              <w:spacing w:after="0" w:line="240" w:lineRule="auto"/>
              <w:jc w:val="both"/>
              <w:rPr>
                <w:rFonts w:ascii="Times New Roman" w:hAnsi="Times New Roman"/>
                <w:sz w:val="24"/>
                <w:szCs w:val="24"/>
              </w:rPr>
            </w:pPr>
            <w:bookmarkStart w:id="106" w:name="_Hlk74922925"/>
            <w:r w:rsidRPr="00DB638E">
              <w:rPr>
                <w:rFonts w:ascii="Times New Roman" w:hAnsi="Times New Roman"/>
                <w:sz w:val="24"/>
                <w:szCs w:val="24"/>
              </w:rPr>
              <w:t>артрит</w:t>
            </w:r>
            <w:bookmarkEnd w:id="106"/>
          </w:p>
        </w:tc>
      </w:tr>
      <w:tr w:rsidR="00231A9A" w:rsidRPr="00DB638E" w14:paraId="5B900D61"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FA10197"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Нечасто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EC6CC14" w14:textId="77777777" w:rsidR="00231A9A" w:rsidRPr="00DB638E" w:rsidRDefault="00231A9A" w:rsidP="00231A9A">
            <w:pPr>
              <w:spacing w:after="0" w:line="240" w:lineRule="auto"/>
              <w:jc w:val="both"/>
              <w:rPr>
                <w:rFonts w:ascii="Times New Roman" w:hAnsi="Times New Roman"/>
                <w:sz w:val="24"/>
                <w:szCs w:val="24"/>
              </w:rPr>
            </w:pPr>
            <w:bookmarkStart w:id="107" w:name="_Hlk74923103"/>
            <w:r w:rsidRPr="00DB638E">
              <w:rPr>
                <w:rFonts w:ascii="Times New Roman" w:hAnsi="Times New Roman"/>
                <w:sz w:val="24"/>
                <w:szCs w:val="24"/>
              </w:rPr>
              <w:t>миопатия</w:t>
            </w:r>
            <w:r w:rsidRPr="00DB638E">
              <w:rPr>
                <w:rFonts w:ascii="Times New Roman" w:hAnsi="Times New Roman"/>
                <w:sz w:val="24"/>
                <w:szCs w:val="24"/>
                <w:lang w:val="en-GB"/>
              </w:rPr>
              <w:t xml:space="preserve">, остеонекроз челюсти, </w:t>
            </w:r>
            <w:r w:rsidRPr="00DB638E">
              <w:rPr>
                <w:rFonts w:ascii="Times New Roman" w:hAnsi="Times New Roman"/>
                <w:sz w:val="24"/>
                <w:szCs w:val="24"/>
              </w:rPr>
              <w:t>свищ</w:t>
            </w:r>
            <w:bookmarkEnd w:id="107"/>
          </w:p>
        </w:tc>
      </w:tr>
      <w:tr w:rsidR="00231A9A" w:rsidRPr="00DB638E" w14:paraId="7916D284"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05E34A7"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iCs/>
                <w:sz w:val="24"/>
                <w:szCs w:val="24"/>
              </w:rPr>
              <w:t>Нарушения со стороны почек и мочевыводящих путей</w:t>
            </w:r>
          </w:p>
        </w:tc>
      </w:tr>
      <w:tr w:rsidR="00231A9A" w:rsidRPr="00DB638E" w14:paraId="750C1800"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7B9708B6" w14:textId="77777777" w:rsidR="00231A9A" w:rsidRPr="00DB638E" w:rsidRDefault="00231A9A" w:rsidP="00231A9A">
            <w:pPr>
              <w:spacing w:after="0" w:line="240" w:lineRule="auto"/>
              <w:jc w:val="both"/>
              <w:rPr>
                <w:rFonts w:ascii="Times New Roman" w:hAnsi="Times New Roman"/>
                <w:sz w:val="24"/>
                <w:szCs w:val="24"/>
              </w:rPr>
            </w:pPr>
            <w:bookmarkStart w:id="108" w:name="_Hlk140480000"/>
            <w:r w:rsidRPr="00DB638E">
              <w:rPr>
                <w:rFonts w:ascii="Times New Roman" w:hAnsi="Times New Roman"/>
                <w:sz w:val="24"/>
                <w:szCs w:val="24"/>
              </w:rPr>
              <w:t>Очень 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C362A92" w14:textId="77777777" w:rsidR="00231A9A" w:rsidRPr="00DB638E" w:rsidRDefault="00231A9A" w:rsidP="00231A9A">
            <w:pPr>
              <w:spacing w:after="0" w:line="240" w:lineRule="auto"/>
              <w:jc w:val="both"/>
              <w:rPr>
                <w:rFonts w:ascii="Times New Roman" w:hAnsi="Times New Roman"/>
                <w:sz w:val="24"/>
                <w:szCs w:val="24"/>
              </w:rPr>
            </w:pPr>
            <w:bookmarkStart w:id="109" w:name="_Hlk74922694"/>
            <w:r w:rsidRPr="00DB638E">
              <w:rPr>
                <w:rFonts w:ascii="Times New Roman" w:hAnsi="Times New Roman"/>
                <w:sz w:val="24"/>
                <w:szCs w:val="24"/>
              </w:rPr>
              <w:t>протеинурия</w:t>
            </w:r>
            <w:bookmarkEnd w:id="109"/>
          </w:p>
        </w:tc>
      </w:tr>
      <w:bookmarkEnd w:id="108"/>
      <w:tr w:rsidR="00231A9A" w:rsidRPr="00DB638E" w14:paraId="0E9EA73C"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6C01A6AB"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1663D2E7" w14:textId="77777777" w:rsidR="00231A9A" w:rsidRPr="00DB638E" w:rsidRDefault="00231A9A" w:rsidP="00231A9A">
            <w:pPr>
              <w:spacing w:after="0" w:line="240" w:lineRule="auto"/>
              <w:jc w:val="both"/>
              <w:rPr>
                <w:rFonts w:ascii="Times New Roman" w:hAnsi="Times New Roman"/>
                <w:sz w:val="24"/>
                <w:szCs w:val="24"/>
              </w:rPr>
            </w:pPr>
            <w:bookmarkStart w:id="110" w:name="_Hlk74922946"/>
            <w:r w:rsidRPr="00DB638E">
              <w:rPr>
                <w:rFonts w:ascii="Times New Roman" w:hAnsi="Times New Roman"/>
                <w:sz w:val="24"/>
                <w:szCs w:val="24"/>
              </w:rPr>
              <w:t>почечная недостаточность, острая почечная недостаточность</w:t>
            </w:r>
            <w:bookmarkEnd w:id="110"/>
          </w:p>
        </w:tc>
      </w:tr>
      <w:tr w:rsidR="00231A9A" w:rsidRPr="00DB638E" w14:paraId="6205ACAF"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hideMark/>
          </w:tcPr>
          <w:p w14:paraId="77826EED"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Нечасто</w:t>
            </w:r>
          </w:p>
        </w:tc>
        <w:tc>
          <w:tcPr>
            <w:tcW w:w="4101" w:type="pct"/>
            <w:tcBorders>
              <w:top w:val="single" w:sz="4" w:space="0" w:color="auto"/>
              <w:left w:val="single" w:sz="4" w:space="0" w:color="auto"/>
              <w:bottom w:val="single" w:sz="4" w:space="0" w:color="auto"/>
              <w:right w:val="single" w:sz="4" w:space="0" w:color="auto"/>
            </w:tcBorders>
            <w:hideMark/>
          </w:tcPr>
          <w:p w14:paraId="61E67AE6" w14:textId="77777777" w:rsidR="00231A9A" w:rsidRPr="00DB638E" w:rsidRDefault="00231A9A" w:rsidP="00231A9A">
            <w:pPr>
              <w:spacing w:after="0" w:line="240" w:lineRule="auto"/>
              <w:jc w:val="both"/>
              <w:rPr>
                <w:rFonts w:ascii="Times New Roman" w:hAnsi="Times New Roman"/>
                <w:sz w:val="24"/>
                <w:szCs w:val="24"/>
              </w:rPr>
            </w:pPr>
            <w:bookmarkStart w:id="111" w:name="_Hlk74923113"/>
            <w:r w:rsidRPr="00DB638E">
              <w:rPr>
                <w:rFonts w:ascii="Times New Roman" w:hAnsi="Times New Roman"/>
                <w:sz w:val="24"/>
                <w:szCs w:val="24"/>
              </w:rPr>
              <w:t>нефрит</w:t>
            </w:r>
            <w:bookmarkEnd w:id="111"/>
          </w:p>
        </w:tc>
      </w:tr>
      <w:tr w:rsidR="00231A9A" w:rsidRPr="00DB638E" w14:paraId="4159B29E" w14:textId="77777777" w:rsidTr="003C21BB">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EBE9B55"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iCs/>
                <w:sz w:val="24"/>
                <w:szCs w:val="24"/>
              </w:rPr>
              <w:t>Общие расстройства и нарушения в месте введения</w:t>
            </w:r>
          </w:p>
        </w:tc>
      </w:tr>
      <w:tr w:rsidR="00231A9A" w:rsidRPr="00DB638E" w14:paraId="05C0CDE9"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29262DB8" w14:textId="77777777" w:rsidR="00231A9A" w:rsidRPr="00DB638E" w:rsidRDefault="00231A9A" w:rsidP="00231A9A">
            <w:pPr>
              <w:spacing w:after="0" w:line="240" w:lineRule="auto"/>
              <w:jc w:val="both"/>
              <w:rPr>
                <w:rFonts w:ascii="Times New Roman" w:hAnsi="Times New Roman"/>
                <w:sz w:val="24"/>
                <w:szCs w:val="24"/>
                <w:lang w:val="en-GB"/>
              </w:rPr>
            </w:pPr>
            <w:r w:rsidRPr="00DB638E">
              <w:rPr>
                <w:rFonts w:ascii="Times New Roman" w:hAnsi="Times New Roman"/>
                <w:sz w:val="24"/>
                <w:szCs w:val="24"/>
              </w:rPr>
              <w:t>Очень 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38B4A8E9" w14:textId="77777777" w:rsidR="00231A9A" w:rsidRPr="00DB638E" w:rsidRDefault="00231A9A" w:rsidP="00231A9A">
            <w:pPr>
              <w:spacing w:after="0" w:line="240" w:lineRule="auto"/>
              <w:jc w:val="both"/>
              <w:rPr>
                <w:rFonts w:ascii="Times New Roman" w:hAnsi="Times New Roman"/>
                <w:sz w:val="24"/>
                <w:szCs w:val="24"/>
                <w:lang w:val="en-GB"/>
              </w:rPr>
            </w:pPr>
            <w:bookmarkStart w:id="112" w:name="_Hlk74922701"/>
            <w:r w:rsidRPr="00DB638E">
              <w:rPr>
                <w:rFonts w:ascii="Times New Roman" w:hAnsi="Times New Roman"/>
                <w:sz w:val="24"/>
                <w:szCs w:val="24"/>
              </w:rPr>
              <w:t>слабость, лихорадка, отёк</w:t>
            </w:r>
            <w:bookmarkEnd w:id="112"/>
          </w:p>
        </w:tc>
      </w:tr>
      <w:tr w:rsidR="00231A9A" w:rsidRPr="00DB638E" w14:paraId="2B900DE0"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50A82043" w14:textId="77777777" w:rsidR="00231A9A" w:rsidRPr="00DB638E" w:rsidRDefault="00231A9A" w:rsidP="00231A9A">
            <w:pPr>
              <w:spacing w:after="0" w:line="240" w:lineRule="auto"/>
              <w:jc w:val="both"/>
              <w:rPr>
                <w:rFonts w:ascii="Times New Roman" w:hAnsi="Times New Roman"/>
                <w:sz w:val="24"/>
                <w:szCs w:val="24"/>
                <w:lang w:val="en-GB"/>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5CEA8228" w14:textId="77777777" w:rsidR="00231A9A" w:rsidRPr="00DB638E" w:rsidRDefault="00231A9A" w:rsidP="00231A9A">
            <w:pPr>
              <w:spacing w:after="0" w:line="240" w:lineRule="auto"/>
              <w:jc w:val="both"/>
              <w:rPr>
                <w:rFonts w:ascii="Times New Roman" w:hAnsi="Times New Roman"/>
                <w:sz w:val="24"/>
                <w:szCs w:val="24"/>
                <w:lang w:val="en-GB"/>
              </w:rPr>
            </w:pPr>
            <w:bookmarkStart w:id="113" w:name="_Hlk74922964"/>
            <w:r w:rsidRPr="00DB638E">
              <w:rPr>
                <w:rFonts w:ascii="Times New Roman" w:hAnsi="Times New Roman"/>
                <w:sz w:val="24"/>
                <w:szCs w:val="24"/>
              </w:rPr>
              <w:t>боль, боль в груди</w:t>
            </w:r>
            <w:bookmarkEnd w:id="113"/>
          </w:p>
        </w:tc>
      </w:tr>
      <w:tr w:rsidR="00231A9A" w:rsidRPr="00DB638E" w14:paraId="1EE34B07" w14:textId="77777777" w:rsidTr="003C21BB">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0711FF1" w14:textId="22A53086" w:rsidR="00231A9A" w:rsidRPr="00DB638E" w:rsidRDefault="00231A9A" w:rsidP="00231A9A">
            <w:pPr>
              <w:spacing w:after="0" w:line="240" w:lineRule="auto"/>
              <w:jc w:val="both"/>
              <w:rPr>
                <w:rFonts w:ascii="Times New Roman" w:hAnsi="Times New Roman"/>
                <w:b/>
                <w:bCs/>
                <w:sz w:val="24"/>
                <w:szCs w:val="24"/>
                <w:lang w:val="en-US"/>
              </w:rPr>
            </w:pPr>
            <w:r w:rsidRPr="00DB638E">
              <w:rPr>
                <w:rFonts w:ascii="Times New Roman" w:hAnsi="Times New Roman"/>
                <w:b/>
                <w:bCs/>
                <w:sz w:val="24"/>
                <w:szCs w:val="24"/>
              </w:rPr>
              <w:t>Лабораторные и инструментальные данные</w:t>
            </w:r>
            <w:r w:rsidR="00C31F6F" w:rsidRPr="00DB638E">
              <w:rPr>
                <w:rFonts w:ascii="Times New Roman" w:hAnsi="Times New Roman"/>
                <w:b/>
                <w:bCs/>
                <w:sz w:val="24"/>
                <w:szCs w:val="24"/>
                <w:vertAlign w:val="superscript"/>
                <w:lang w:val="en-US"/>
              </w:rPr>
              <w:t>f</w:t>
            </w:r>
          </w:p>
        </w:tc>
      </w:tr>
      <w:tr w:rsidR="00231A9A" w:rsidRPr="00DB638E" w14:paraId="22D50C92"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10C2034B"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Очень 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7E050D1D" w14:textId="2488AEA7" w:rsidR="00231A9A" w:rsidRPr="00DB638E" w:rsidRDefault="00231A9A" w:rsidP="00231A9A">
            <w:pPr>
              <w:spacing w:after="0" w:line="240" w:lineRule="auto"/>
              <w:jc w:val="both"/>
              <w:rPr>
                <w:rFonts w:ascii="Times New Roman" w:hAnsi="Times New Roman"/>
                <w:sz w:val="24"/>
                <w:szCs w:val="24"/>
              </w:rPr>
            </w:pPr>
            <w:bookmarkStart w:id="114" w:name="_Hlk74922717"/>
            <w:r w:rsidRPr="00DB638E">
              <w:rPr>
                <w:rFonts w:ascii="Times New Roman" w:hAnsi="Times New Roman"/>
                <w:sz w:val="24"/>
                <w:szCs w:val="24"/>
              </w:rPr>
              <w:t>повышение активности АЛТ и АСТ в плазме крови, гипофосфатемия, гипокальциемия,</w:t>
            </w:r>
            <w:r w:rsidR="00C94D99" w:rsidRPr="00DB638E">
              <w:rPr>
                <w:rFonts w:ascii="Times New Roman" w:hAnsi="Times New Roman"/>
                <w:sz w:val="24"/>
                <w:szCs w:val="24"/>
              </w:rPr>
              <w:t xml:space="preserve"> </w:t>
            </w:r>
            <w:r w:rsidRPr="00DB638E">
              <w:rPr>
                <w:rFonts w:ascii="Times New Roman" w:hAnsi="Times New Roman"/>
                <w:sz w:val="24"/>
                <w:szCs w:val="24"/>
              </w:rPr>
              <w:t>гипомагниемия, гипонатриемия, гипергликемия, лимфопения,</w:t>
            </w:r>
            <w:r w:rsidR="00501CC4" w:rsidRPr="00DB638E">
              <w:rPr>
                <w:rFonts w:ascii="Times New Roman" w:hAnsi="Times New Roman"/>
                <w:sz w:val="24"/>
                <w:szCs w:val="24"/>
              </w:rPr>
              <w:t xml:space="preserve"> </w:t>
            </w:r>
            <w:r w:rsidRPr="00DB638E">
              <w:rPr>
                <w:rFonts w:ascii="Times New Roman" w:hAnsi="Times New Roman"/>
                <w:sz w:val="24"/>
                <w:szCs w:val="24"/>
              </w:rPr>
              <w:t xml:space="preserve">повышение активности щелочной фосфатазы в крови, повышение активности липазы, повышение активности амилазы, тромбоцитопения, повышение концентрации креатинина в крови, анемия, лейкопения, гиперкалиемия, нейтропения, гиперкальциемия, гипогликемия, гипокалиемия, повышение общего билирубина, гипермагниемия, гипернатриемия, снижение массы тела </w:t>
            </w:r>
            <w:bookmarkEnd w:id="114"/>
          </w:p>
        </w:tc>
      </w:tr>
      <w:tr w:rsidR="00231A9A" w:rsidRPr="00DB638E" w14:paraId="6DF47214" w14:textId="77777777" w:rsidTr="003C21BB">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624FFA67"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Часто</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3146388E" w14:textId="77777777" w:rsidR="00231A9A" w:rsidRPr="00DB638E" w:rsidRDefault="00231A9A" w:rsidP="00231A9A">
            <w:pPr>
              <w:spacing w:after="0" w:line="240" w:lineRule="auto"/>
              <w:jc w:val="both"/>
              <w:rPr>
                <w:rFonts w:ascii="Times New Roman" w:hAnsi="Times New Roman"/>
                <w:sz w:val="24"/>
                <w:szCs w:val="24"/>
              </w:rPr>
            </w:pPr>
            <w:bookmarkStart w:id="115" w:name="_Hlk74922977"/>
            <w:r w:rsidRPr="00DB638E">
              <w:rPr>
                <w:rFonts w:ascii="Times New Roman" w:hAnsi="Times New Roman"/>
                <w:sz w:val="24"/>
                <w:szCs w:val="24"/>
              </w:rPr>
              <w:t>повышение концентрации холестерина в крови, повышение концентрации триглицеридов в крови</w:t>
            </w:r>
            <w:bookmarkEnd w:id="115"/>
          </w:p>
        </w:tc>
      </w:tr>
    </w:tbl>
    <w:bookmarkEnd w:id="70"/>
    <w:p w14:paraId="55C968F1" w14:textId="77777777" w:rsidR="00231A9A" w:rsidRPr="00DB638E" w:rsidRDefault="00231A9A" w:rsidP="00231A9A">
      <w:pPr>
        <w:spacing w:after="0" w:line="240" w:lineRule="auto"/>
        <w:jc w:val="both"/>
        <w:rPr>
          <w:rFonts w:ascii="Times New Roman" w:eastAsia="Times New Roman" w:hAnsi="Times New Roman"/>
          <w:sz w:val="20"/>
          <w:szCs w:val="20"/>
          <w:lang w:eastAsia="ru-RU"/>
        </w:rPr>
      </w:pPr>
      <w:r w:rsidRPr="00DB638E">
        <w:rPr>
          <w:rFonts w:ascii="Times New Roman" w:eastAsia="Times New Roman" w:hAnsi="Times New Roman"/>
          <w:sz w:val="20"/>
          <w:szCs w:val="20"/>
          <w:lang w:eastAsia="ru-RU"/>
        </w:rPr>
        <w:t>Частота нежелательных реакций, представленная в таблице 3, не может быть полностью связана с терапией кабозантинибом, а может также включать вклад основного заболевания или ниволумаба, используемого в комбинации.</w:t>
      </w:r>
    </w:p>
    <w:p w14:paraId="2ACBD32C" w14:textId="77777777" w:rsidR="00231A9A" w:rsidRPr="00DB638E" w:rsidRDefault="00231A9A" w:rsidP="00501CC4">
      <w:pPr>
        <w:spacing w:after="0" w:line="240" w:lineRule="auto"/>
        <w:ind w:hanging="142"/>
        <w:jc w:val="both"/>
        <w:rPr>
          <w:rFonts w:ascii="Times New Roman" w:eastAsia="Times New Roman" w:hAnsi="Times New Roman"/>
          <w:sz w:val="20"/>
          <w:szCs w:val="20"/>
          <w:lang w:eastAsia="ru-RU"/>
        </w:rPr>
      </w:pPr>
      <w:r w:rsidRPr="00DB638E">
        <w:rPr>
          <w:rFonts w:ascii="Times New Roman" w:eastAsia="Times New Roman" w:hAnsi="Times New Roman"/>
          <w:sz w:val="20"/>
          <w:szCs w:val="20"/>
          <w:vertAlign w:val="superscript"/>
          <w:lang w:eastAsia="ru-RU"/>
        </w:rPr>
        <w:t>а</w:t>
      </w:r>
      <w:r w:rsidRPr="00DB638E">
        <w:rPr>
          <w:rFonts w:ascii="Times New Roman" w:eastAsia="Times New Roman" w:hAnsi="Times New Roman"/>
          <w:sz w:val="20"/>
          <w:szCs w:val="20"/>
          <w:lang w:eastAsia="ru-RU"/>
        </w:rPr>
        <w:t xml:space="preserve"> </w:t>
      </w:r>
      <w:r w:rsidRPr="00DB638E">
        <w:rPr>
          <w:rFonts w:ascii="Times New Roman" w:eastAsia="Times New Roman" w:hAnsi="Times New Roman"/>
          <w:sz w:val="20"/>
          <w:szCs w:val="20"/>
          <w:lang w:eastAsia="ru-RU"/>
        </w:rPr>
        <w:tab/>
        <w:t>Тромбоз - это сложный термин, который включает тромбоз воротной вены, тромбоз легочной вены, легочный тромбоз, тромбоз аорты, артериальный тромбоз, тромбоз глубоких вен, тромбоз подвздошной вены, тромбоз полой вены, венозный тромбоз, тромбоз вен конечностей.</w:t>
      </w:r>
    </w:p>
    <w:p w14:paraId="68710EDB" w14:textId="77777777" w:rsidR="00231A9A" w:rsidRPr="00DB638E" w:rsidRDefault="00231A9A" w:rsidP="00501CC4">
      <w:pPr>
        <w:spacing w:after="0" w:line="240" w:lineRule="auto"/>
        <w:ind w:hanging="142"/>
        <w:jc w:val="both"/>
        <w:rPr>
          <w:rFonts w:ascii="Times New Roman" w:eastAsia="Times New Roman" w:hAnsi="Times New Roman"/>
          <w:sz w:val="20"/>
          <w:szCs w:val="20"/>
          <w:lang w:eastAsia="ru-RU"/>
        </w:rPr>
      </w:pPr>
      <w:r w:rsidRPr="00DB638E">
        <w:rPr>
          <w:rFonts w:ascii="Times New Roman" w:eastAsia="Times New Roman" w:hAnsi="Times New Roman"/>
          <w:sz w:val="20"/>
          <w:szCs w:val="20"/>
          <w:vertAlign w:val="superscript"/>
          <w:lang w:val="en-US" w:eastAsia="ru-RU"/>
        </w:rPr>
        <w:t>b</w:t>
      </w:r>
      <w:r w:rsidRPr="00DB638E">
        <w:rPr>
          <w:rFonts w:ascii="Times New Roman" w:eastAsia="Times New Roman" w:hAnsi="Times New Roman"/>
          <w:sz w:val="20"/>
          <w:szCs w:val="20"/>
          <w:lang w:eastAsia="ru-RU"/>
        </w:rPr>
        <w:t xml:space="preserve"> </w:t>
      </w:r>
      <w:r w:rsidRPr="00DB638E">
        <w:rPr>
          <w:rFonts w:ascii="Times New Roman" w:eastAsia="Times New Roman" w:hAnsi="Times New Roman"/>
          <w:sz w:val="20"/>
          <w:szCs w:val="20"/>
          <w:lang w:eastAsia="ru-RU"/>
        </w:rPr>
        <w:tab/>
      </w:r>
      <w:r w:rsidR="00501CC4" w:rsidRPr="00DB638E">
        <w:rPr>
          <w:rFonts w:ascii="Times New Roman" w:eastAsia="Times New Roman" w:hAnsi="Times New Roman"/>
          <w:sz w:val="20"/>
          <w:szCs w:val="20"/>
          <w:lang w:eastAsia="ru-RU"/>
        </w:rPr>
        <w:t>Сообщалось о летальных случаях.</w:t>
      </w:r>
    </w:p>
    <w:p w14:paraId="31193890" w14:textId="03E5B0AD" w:rsidR="0025256D" w:rsidRPr="00DB638E" w:rsidRDefault="00231A9A" w:rsidP="00501CC4">
      <w:pPr>
        <w:spacing w:after="0" w:line="240" w:lineRule="auto"/>
        <w:ind w:hanging="142"/>
        <w:jc w:val="both"/>
        <w:rPr>
          <w:rFonts w:ascii="Times New Roman" w:eastAsia="Times New Roman" w:hAnsi="Times New Roman"/>
          <w:sz w:val="20"/>
          <w:szCs w:val="20"/>
          <w:lang w:eastAsia="ru-RU"/>
        </w:rPr>
      </w:pPr>
      <w:r w:rsidRPr="00DB638E">
        <w:rPr>
          <w:rFonts w:ascii="Times New Roman" w:eastAsia="Times New Roman" w:hAnsi="Times New Roman"/>
          <w:sz w:val="20"/>
          <w:szCs w:val="20"/>
          <w:vertAlign w:val="superscript"/>
          <w:lang w:eastAsia="ru-RU"/>
        </w:rPr>
        <w:t>с</w:t>
      </w:r>
      <w:r w:rsidRPr="00DB638E">
        <w:rPr>
          <w:rFonts w:ascii="Times New Roman" w:eastAsia="Times New Roman" w:hAnsi="Times New Roman"/>
          <w:sz w:val="20"/>
          <w:szCs w:val="20"/>
          <w:lang w:eastAsia="ru-RU"/>
        </w:rPr>
        <w:t xml:space="preserve"> </w:t>
      </w:r>
      <w:r w:rsidRPr="00DB638E">
        <w:rPr>
          <w:rFonts w:ascii="Times New Roman" w:eastAsia="Times New Roman" w:hAnsi="Times New Roman"/>
          <w:sz w:val="20"/>
          <w:szCs w:val="20"/>
          <w:lang w:eastAsia="ru-RU"/>
        </w:rPr>
        <w:tab/>
      </w:r>
      <w:r w:rsidR="0025256D" w:rsidRPr="00DB638E">
        <w:rPr>
          <w:rFonts w:ascii="Times New Roman" w:eastAsia="Times New Roman" w:hAnsi="Times New Roman"/>
          <w:sz w:val="20"/>
          <w:szCs w:val="20"/>
          <w:lang w:eastAsia="ru-RU"/>
        </w:rPr>
        <w:t>При предшествующем или сопутствующем воздействии ингибиторов иммунных контрольных точек</w:t>
      </w:r>
    </w:p>
    <w:p w14:paraId="5453D986" w14:textId="32F93EB1" w:rsidR="00231A9A" w:rsidRPr="00DB638E" w:rsidRDefault="0025256D" w:rsidP="00501CC4">
      <w:pPr>
        <w:spacing w:after="0" w:line="240" w:lineRule="auto"/>
        <w:ind w:hanging="142"/>
        <w:jc w:val="both"/>
        <w:rPr>
          <w:rFonts w:ascii="Times New Roman" w:eastAsia="Times New Roman" w:hAnsi="Times New Roman"/>
          <w:sz w:val="20"/>
          <w:szCs w:val="20"/>
          <w:lang w:eastAsia="ru-RU"/>
        </w:rPr>
      </w:pPr>
      <w:r w:rsidRPr="00DB638E">
        <w:rPr>
          <w:rFonts w:ascii="Times New Roman" w:eastAsia="Times New Roman" w:hAnsi="Times New Roman"/>
          <w:sz w:val="20"/>
          <w:szCs w:val="20"/>
          <w:vertAlign w:val="superscript"/>
          <w:lang w:val="en-US" w:eastAsia="ru-RU"/>
        </w:rPr>
        <w:lastRenderedPageBreak/>
        <w:t>d</w:t>
      </w:r>
      <w:r w:rsidRPr="00DB638E">
        <w:rPr>
          <w:rFonts w:ascii="Times New Roman" w:eastAsia="Times New Roman" w:hAnsi="Times New Roman"/>
          <w:sz w:val="20"/>
          <w:szCs w:val="20"/>
          <w:lang w:eastAsia="ru-RU"/>
        </w:rPr>
        <w:t xml:space="preserve"> </w:t>
      </w:r>
      <w:r w:rsidRPr="00DB638E">
        <w:rPr>
          <w:rFonts w:ascii="Times New Roman" w:eastAsia="Times New Roman" w:hAnsi="Times New Roman"/>
          <w:sz w:val="20"/>
          <w:szCs w:val="20"/>
          <w:lang w:eastAsia="ru-RU"/>
        </w:rPr>
        <w:tab/>
      </w:r>
      <w:r w:rsidR="00231A9A" w:rsidRPr="00DB638E">
        <w:rPr>
          <w:rFonts w:ascii="Times New Roman" w:eastAsia="Times New Roman" w:hAnsi="Times New Roman"/>
          <w:sz w:val="20"/>
          <w:szCs w:val="20"/>
          <w:lang w:eastAsia="ru-RU"/>
        </w:rPr>
        <w:t>Сыпь - это сложный термин, который включает дерматит, акнеформный дерматит, буллезный дерматит, эксфолиативную сыпь, эритематозную сыпь, фолликулярную сыпь, макулезную сыпь, макуло-папулезную сыпь, папулезную сыпь, зудящую сыпь и медикаментозную сыпь.</w:t>
      </w:r>
    </w:p>
    <w:p w14:paraId="2FCCCE16" w14:textId="2515F1C5" w:rsidR="00231A9A" w:rsidRPr="00DB638E" w:rsidRDefault="0025256D" w:rsidP="00501CC4">
      <w:pPr>
        <w:spacing w:after="0" w:line="240" w:lineRule="auto"/>
        <w:ind w:hanging="142"/>
        <w:jc w:val="both"/>
        <w:rPr>
          <w:rFonts w:ascii="Times New Roman" w:eastAsia="Times New Roman" w:hAnsi="Times New Roman"/>
          <w:sz w:val="20"/>
          <w:szCs w:val="20"/>
          <w:lang w:eastAsia="ru-RU"/>
        </w:rPr>
      </w:pPr>
      <w:r w:rsidRPr="00DB638E">
        <w:rPr>
          <w:rFonts w:ascii="Times New Roman" w:eastAsia="Times New Roman" w:hAnsi="Times New Roman"/>
          <w:sz w:val="20"/>
          <w:szCs w:val="20"/>
          <w:vertAlign w:val="superscript"/>
          <w:lang w:val="en-US" w:eastAsia="ru-RU"/>
        </w:rPr>
        <w:t>e</w:t>
      </w:r>
      <w:r w:rsidRPr="00DB638E">
        <w:rPr>
          <w:rFonts w:ascii="Times New Roman" w:eastAsia="Times New Roman" w:hAnsi="Times New Roman"/>
          <w:sz w:val="20"/>
          <w:szCs w:val="20"/>
          <w:lang w:eastAsia="ru-RU"/>
        </w:rPr>
        <w:t xml:space="preserve"> </w:t>
      </w:r>
      <w:r w:rsidRPr="00DB638E">
        <w:rPr>
          <w:rFonts w:ascii="Times New Roman" w:eastAsia="Times New Roman" w:hAnsi="Times New Roman"/>
          <w:sz w:val="20"/>
          <w:szCs w:val="20"/>
          <w:lang w:eastAsia="ru-RU"/>
        </w:rPr>
        <w:tab/>
      </w:r>
      <w:r w:rsidR="00231A9A" w:rsidRPr="00DB638E">
        <w:rPr>
          <w:rFonts w:ascii="Times New Roman" w:eastAsia="Times New Roman" w:hAnsi="Times New Roman"/>
          <w:sz w:val="20"/>
          <w:szCs w:val="20"/>
          <w:lang w:eastAsia="ru-RU"/>
        </w:rPr>
        <w:t>Скелетно-мышечная боль - это сложный термин, который включает боль в спине, боль в костях, скелетно-мышечную боль в груди, скелетно-мышечный дискомфорт, миалгию, боль в шее, боль в конечностях, боль в позвоночнике.</w:t>
      </w:r>
    </w:p>
    <w:p w14:paraId="5F0AE4C0" w14:textId="7F7D6EA9" w:rsidR="00231A9A" w:rsidRPr="00DB638E" w:rsidRDefault="0025256D" w:rsidP="00501CC4">
      <w:pPr>
        <w:spacing w:after="0" w:line="240" w:lineRule="auto"/>
        <w:ind w:hanging="142"/>
        <w:jc w:val="both"/>
        <w:rPr>
          <w:rFonts w:ascii="Times New Roman" w:eastAsia="Times New Roman" w:hAnsi="Times New Roman"/>
          <w:sz w:val="20"/>
          <w:szCs w:val="20"/>
          <w:lang w:eastAsia="ru-RU"/>
        </w:rPr>
      </w:pPr>
      <w:r w:rsidRPr="00DB638E">
        <w:rPr>
          <w:rFonts w:ascii="Times New Roman" w:hAnsi="Times New Roman"/>
          <w:sz w:val="20"/>
          <w:szCs w:val="20"/>
          <w:vertAlign w:val="superscript"/>
        </w:rPr>
        <w:t>f</w:t>
      </w:r>
      <w:r w:rsidRPr="00DB638E">
        <w:rPr>
          <w:rFonts w:ascii="Times New Roman" w:hAnsi="Times New Roman"/>
          <w:sz w:val="20"/>
          <w:szCs w:val="20"/>
        </w:rPr>
        <w:t xml:space="preserve"> </w:t>
      </w:r>
      <w:r w:rsidR="00231A9A" w:rsidRPr="00DB638E">
        <w:rPr>
          <w:rFonts w:ascii="Times New Roman" w:eastAsia="Times New Roman" w:hAnsi="Times New Roman"/>
          <w:sz w:val="20"/>
          <w:szCs w:val="20"/>
          <w:lang w:eastAsia="ru-RU"/>
        </w:rPr>
        <w:t>Частота лабораторных показателей – отражает долю пациентов, у которых наблюдалось ухудшение по сравнению с исходным уровнем при лабораторных измерениях, за исключением снижения массы тела, повышения концентрации холестерина в крови и повышения концентрации триглицеридов в крови</w:t>
      </w:r>
      <w:r w:rsidR="00501CC4" w:rsidRPr="00DB638E">
        <w:rPr>
          <w:rFonts w:ascii="Times New Roman" w:eastAsia="Times New Roman" w:hAnsi="Times New Roman"/>
          <w:sz w:val="20"/>
          <w:szCs w:val="20"/>
          <w:lang w:eastAsia="ru-RU"/>
        </w:rPr>
        <w:t>.</w:t>
      </w:r>
    </w:p>
    <w:p w14:paraId="719421C9" w14:textId="77777777" w:rsidR="00231A9A" w:rsidRPr="00DB638E" w:rsidRDefault="00231A9A" w:rsidP="00231A9A">
      <w:pPr>
        <w:widowControl w:val="0"/>
        <w:tabs>
          <w:tab w:val="left" w:pos="1351"/>
        </w:tabs>
        <w:kinsoku w:val="0"/>
        <w:overflowPunct w:val="0"/>
        <w:autoSpaceDE w:val="0"/>
        <w:autoSpaceDN w:val="0"/>
        <w:adjustRightInd w:val="0"/>
        <w:spacing w:after="0" w:line="240" w:lineRule="auto"/>
        <w:jc w:val="both"/>
        <w:outlineLvl w:val="1"/>
        <w:rPr>
          <w:rFonts w:ascii="Times New Roman" w:eastAsia="Times New Roman" w:hAnsi="Times New Roman"/>
          <w:bCs/>
          <w:iCs/>
          <w:sz w:val="24"/>
          <w:szCs w:val="24"/>
          <w:u w:val="single"/>
          <w:lang w:eastAsia="ru-RU"/>
        </w:rPr>
      </w:pPr>
      <w:r w:rsidRPr="00DB638E">
        <w:rPr>
          <w:rFonts w:ascii="Times New Roman" w:eastAsia="Times New Roman" w:hAnsi="Times New Roman"/>
          <w:bCs/>
          <w:iCs/>
          <w:sz w:val="24"/>
          <w:szCs w:val="24"/>
          <w:u w:val="single"/>
          <w:lang w:eastAsia="ru-RU"/>
        </w:rPr>
        <w:t xml:space="preserve">Описание отдельных побочных </w:t>
      </w:r>
      <w:bookmarkStart w:id="116" w:name="4.8.3.1_Hemorrhage"/>
      <w:bookmarkEnd w:id="116"/>
      <w:r w:rsidRPr="00DB638E">
        <w:rPr>
          <w:rFonts w:ascii="Times New Roman" w:eastAsia="Times New Roman" w:hAnsi="Times New Roman"/>
          <w:bCs/>
          <w:iCs/>
          <w:sz w:val="24"/>
          <w:szCs w:val="24"/>
          <w:u w:val="single"/>
          <w:lang w:eastAsia="ru-RU"/>
        </w:rPr>
        <w:t>реакций</w:t>
      </w:r>
    </w:p>
    <w:p w14:paraId="5AE1104F" w14:textId="6EAEE209" w:rsidR="00231A9A" w:rsidRPr="00DB638E" w:rsidRDefault="00231A9A" w:rsidP="00501CC4">
      <w:pPr>
        <w:spacing w:after="0" w:line="240" w:lineRule="auto"/>
        <w:jc w:val="both"/>
        <w:rPr>
          <w:rFonts w:ascii="Times New Roman" w:hAnsi="Times New Roman"/>
          <w:sz w:val="24"/>
          <w:szCs w:val="24"/>
        </w:rPr>
      </w:pPr>
      <w:r w:rsidRPr="00DB638E">
        <w:rPr>
          <w:rFonts w:ascii="Times New Roman" w:hAnsi="Times New Roman"/>
          <w:sz w:val="24"/>
          <w:szCs w:val="24"/>
        </w:rPr>
        <w:t xml:space="preserve">Данные для следующих побочных реакций получены в результате опорных исследований среди пациентов, получавших </w:t>
      </w:r>
      <w:r w:rsidR="00B008C4" w:rsidRPr="00DB638E">
        <w:rPr>
          <w:rFonts w:ascii="Times New Roman" w:hAnsi="Times New Roman"/>
          <w:sz w:val="24"/>
          <w:szCs w:val="24"/>
        </w:rPr>
        <w:t xml:space="preserve">кабозантиниб в дозе </w:t>
      </w:r>
      <w:r w:rsidRPr="00DB638E">
        <w:rPr>
          <w:rFonts w:ascii="Times New Roman" w:hAnsi="Times New Roman"/>
          <w:sz w:val="24"/>
          <w:szCs w:val="24"/>
        </w:rPr>
        <w:t xml:space="preserve">60 мг </w:t>
      </w:r>
      <w:r w:rsidR="00B008C4" w:rsidRPr="00DB638E">
        <w:rPr>
          <w:rFonts w:ascii="Times New Roman" w:hAnsi="Times New Roman"/>
          <w:sz w:val="24"/>
          <w:szCs w:val="24"/>
        </w:rPr>
        <w:t xml:space="preserve">один раз в день </w:t>
      </w:r>
      <w:r w:rsidRPr="00DB638E">
        <w:rPr>
          <w:rFonts w:ascii="Times New Roman" w:hAnsi="Times New Roman"/>
          <w:sz w:val="24"/>
          <w:szCs w:val="24"/>
        </w:rPr>
        <w:t>перорально в качестве монотерапии, с почечно-клеточным раком после предшествующей VEGF-таргетной терапии и не получавших предварительного лечения, и среди пациентов с печеночно-клеточным раком после предшествующей системной терапии</w:t>
      </w:r>
      <w:r w:rsidR="00B008C4" w:rsidRPr="00DB638E">
        <w:rPr>
          <w:rFonts w:ascii="Times New Roman" w:hAnsi="Times New Roman"/>
          <w:sz w:val="24"/>
          <w:szCs w:val="24"/>
        </w:rPr>
        <w:t>, и среди пациентов с</w:t>
      </w:r>
      <w:r w:rsidRPr="00DB638E">
        <w:rPr>
          <w:rFonts w:ascii="Times New Roman" w:hAnsi="Times New Roman"/>
          <w:sz w:val="24"/>
          <w:szCs w:val="24"/>
        </w:rPr>
        <w:t xml:space="preserve"> </w:t>
      </w:r>
      <w:r w:rsidR="00B008C4" w:rsidRPr="00DB638E">
        <w:rPr>
          <w:rFonts w:ascii="Times New Roman" w:hAnsi="Times New Roman"/>
          <w:sz w:val="24"/>
          <w:szCs w:val="24"/>
        </w:rPr>
        <w:t>ДКЩЖ рефрактерной или не поддающейся лечению радиоактивного йода (RAI), при прогрессировании во время или после предшествующей системной терапии</w:t>
      </w:r>
      <w:r w:rsidR="00842F4E" w:rsidRPr="00DB638E">
        <w:rPr>
          <w:rFonts w:ascii="Times New Roman" w:hAnsi="Times New Roman"/>
          <w:sz w:val="24"/>
          <w:szCs w:val="24"/>
        </w:rPr>
        <w:t xml:space="preserve"> </w:t>
      </w:r>
      <w:r w:rsidRPr="00DB638E">
        <w:rPr>
          <w:rFonts w:ascii="Times New Roman" w:hAnsi="Times New Roman"/>
          <w:sz w:val="24"/>
          <w:szCs w:val="24"/>
        </w:rPr>
        <w:t xml:space="preserve">или среди пациентов, получавших </w:t>
      </w:r>
      <w:r w:rsidR="00842F4E" w:rsidRPr="00DB638E">
        <w:rPr>
          <w:rFonts w:ascii="Times New Roman" w:hAnsi="Times New Roman"/>
          <w:sz w:val="24"/>
          <w:szCs w:val="24"/>
        </w:rPr>
        <w:t xml:space="preserve">кабозантиниб в дозе </w:t>
      </w:r>
      <w:r w:rsidRPr="00DB638E">
        <w:rPr>
          <w:rFonts w:ascii="Times New Roman" w:hAnsi="Times New Roman"/>
          <w:sz w:val="24"/>
          <w:szCs w:val="24"/>
        </w:rPr>
        <w:t>40 мг перорально</w:t>
      </w:r>
      <w:r w:rsidR="00842F4E" w:rsidRPr="00DB638E">
        <w:rPr>
          <w:rFonts w:ascii="Times New Roman" w:hAnsi="Times New Roman"/>
          <w:sz w:val="24"/>
          <w:szCs w:val="24"/>
        </w:rPr>
        <w:t xml:space="preserve"> один раз в день</w:t>
      </w:r>
      <w:r w:rsidRPr="00DB638E">
        <w:rPr>
          <w:rFonts w:ascii="Times New Roman" w:hAnsi="Times New Roman"/>
          <w:sz w:val="24"/>
          <w:szCs w:val="24"/>
        </w:rPr>
        <w:t xml:space="preserve"> в комбинации с ниволумабом в качестве первой линии лечения распространённого почечно-клеточного рака. (см. раздел 5.1).</w:t>
      </w:r>
    </w:p>
    <w:p w14:paraId="073B7CF2" w14:textId="77777777" w:rsidR="00231A9A" w:rsidRPr="00DB638E" w:rsidRDefault="00231A9A" w:rsidP="00501CC4">
      <w:pPr>
        <w:spacing w:after="0" w:line="240" w:lineRule="auto"/>
        <w:jc w:val="both"/>
        <w:rPr>
          <w:rFonts w:ascii="Times New Roman" w:hAnsi="Times New Roman"/>
          <w:i/>
          <w:sz w:val="24"/>
          <w:szCs w:val="24"/>
          <w:u w:val="single"/>
        </w:rPr>
      </w:pPr>
      <w:r w:rsidRPr="00DB638E">
        <w:rPr>
          <w:rFonts w:ascii="Times New Roman" w:hAnsi="Times New Roman"/>
          <w:i/>
          <w:sz w:val="24"/>
          <w:szCs w:val="24"/>
          <w:u w:val="single"/>
        </w:rPr>
        <w:t>Перфорация желудочно-кишечного тракта (см. раздел 4.4)</w:t>
      </w:r>
    </w:p>
    <w:p w14:paraId="10350604"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исследовании, включавшем пациентов с почечно-клеточным раком после предшествующей VEGF-таргетной терапии (METEOR), перфорация желудочно-кишечного тракта 2 или 3 степени тяжести была зарегистрирована у 0,9 % (3/331) пациентов, получавших кабозантиниб. Медиана времени до развития этой побочной реакции составила 10,0 недель.</w:t>
      </w:r>
    </w:p>
    <w:p w14:paraId="5D348079" w14:textId="77777777" w:rsidR="00231A9A" w:rsidRPr="00DB638E" w:rsidRDefault="00231A9A" w:rsidP="00231A9A">
      <w:pPr>
        <w:spacing w:after="0" w:line="240" w:lineRule="auto"/>
        <w:jc w:val="both"/>
        <w:rPr>
          <w:rFonts w:ascii="Times New Roman" w:hAnsi="Times New Roman"/>
          <w:sz w:val="24"/>
          <w:szCs w:val="24"/>
        </w:rPr>
      </w:pPr>
      <w:bookmarkStart w:id="117" w:name="_Hlk75278837"/>
      <w:r w:rsidRPr="00DB638E">
        <w:rPr>
          <w:rFonts w:ascii="Times New Roman" w:hAnsi="Times New Roman"/>
          <w:sz w:val="24"/>
          <w:szCs w:val="24"/>
        </w:rPr>
        <w:t>В исследовании, включавшем пациентов с почечно-клеточным раком, ранее не получавших лечения (</w:t>
      </w:r>
      <w:bookmarkStart w:id="118" w:name="_Hlk75278886"/>
      <w:r w:rsidRPr="00DB638E">
        <w:rPr>
          <w:rFonts w:ascii="Times New Roman" w:hAnsi="Times New Roman"/>
          <w:sz w:val="24"/>
          <w:szCs w:val="24"/>
        </w:rPr>
        <w:t>CABOSUN</w:t>
      </w:r>
      <w:bookmarkEnd w:id="118"/>
      <w:r w:rsidRPr="00DB638E">
        <w:rPr>
          <w:rFonts w:ascii="Times New Roman" w:hAnsi="Times New Roman"/>
          <w:sz w:val="24"/>
          <w:szCs w:val="24"/>
        </w:rPr>
        <w:t xml:space="preserve">), перфорация желудочно-кишечного тракта 4 и 5 степени тяжести была зарегистрирована у 2,6 % (2/78) пациентов, получавших кабозантиниб. </w:t>
      </w:r>
    </w:p>
    <w:bookmarkEnd w:id="117"/>
    <w:p w14:paraId="42318490" w14:textId="08760FB3"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исследовании, включавшем пациентов с печеночно-клеточным раком (CELESTIAL), перфорация желудочно-кишечного тракта 3 или 4 степени тяжести была зарегистрирована у 0,9 % (4/467) пациентов, получавших кабозантиниб. Медиана времени до развития этой побочной реакции составила 5,9 недель.</w:t>
      </w:r>
    </w:p>
    <w:p w14:paraId="29907026" w14:textId="7FC6D86D" w:rsidR="00ED6687" w:rsidRPr="00DB638E" w:rsidRDefault="00ED6687"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В ходе исследования </w:t>
      </w:r>
      <w:r w:rsidR="00686B41" w:rsidRPr="00DB638E">
        <w:rPr>
          <w:rFonts w:ascii="Times New Roman" w:hAnsi="Times New Roman"/>
          <w:sz w:val="24"/>
          <w:szCs w:val="24"/>
        </w:rPr>
        <w:t>ДКЩЖ</w:t>
      </w:r>
      <w:r w:rsidRPr="00DB638E">
        <w:rPr>
          <w:rFonts w:ascii="Times New Roman" w:hAnsi="Times New Roman"/>
          <w:sz w:val="24"/>
          <w:szCs w:val="24"/>
        </w:rPr>
        <w:t xml:space="preserve"> (COSMIC-311) перфорация желудочно-кишечного тракта 4 степени была зарегистрирована у одного пациента (0,6%) пациентов, получавших кабозантиниб, и произошла через 14 недель лечения.</w:t>
      </w:r>
    </w:p>
    <w:p w14:paraId="00B763A7" w14:textId="739CB85E"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В исследовании, включавшем пациентов с </w:t>
      </w:r>
      <w:r w:rsidR="00842F4E" w:rsidRPr="00DB638E">
        <w:rPr>
          <w:rFonts w:ascii="Times New Roman" w:hAnsi="Times New Roman"/>
          <w:sz w:val="24"/>
          <w:szCs w:val="24"/>
        </w:rPr>
        <w:t xml:space="preserve">распространенным </w:t>
      </w:r>
      <w:r w:rsidRPr="00DB638E">
        <w:rPr>
          <w:rFonts w:ascii="Times New Roman" w:hAnsi="Times New Roman"/>
          <w:sz w:val="24"/>
          <w:szCs w:val="24"/>
        </w:rPr>
        <w:t>почечно-клеточным раком, получавших кабозантиниб в комбинации с ниволумабом (CA2099ER), перфорация желудочно-кишечного тракта была зарегистрирована у 1,3 % (4/320) пациентов. Одна побочная реакция была 3 степени тяжести, две побочные реакции были 4 степени тяжести, и одна побочная реакция была 5 степени тяжести (летальный исход).</w:t>
      </w:r>
    </w:p>
    <w:p w14:paraId="1676C142" w14:textId="311E96AA"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В ходе клинических исследований </w:t>
      </w:r>
      <w:r w:rsidR="00842F4E" w:rsidRPr="00DB638E">
        <w:rPr>
          <w:rFonts w:ascii="Times New Roman" w:hAnsi="Times New Roman"/>
          <w:sz w:val="24"/>
          <w:szCs w:val="24"/>
        </w:rPr>
        <w:t xml:space="preserve">кабозантиниба </w:t>
      </w:r>
      <w:r w:rsidRPr="00DB638E">
        <w:rPr>
          <w:rFonts w:ascii="Times New Roman" w:hAnsi="Times New Roman"/>
          <w:sz w:val="24"/>
          <w:szCs w:val="24"/>
        </w:rPr>
        <w:t>отмечались случаи перфорации с летальным исходом.</w:t>
      </w:r>
    </w:p>
    <w:p w14:paraId="64E0AE4F" w14:textId="77777777" w:rsidR="00231A9A" w:rsidRPr="00DB638E" w:rsidRDefault="00231A9A" w:rsidP="00231A9A">
      <w:pPr>
        <w:spacing w:after="0" w:line="240" w:lineRule="auto"/>
        <w:jc w:val="both"/>
        <w:rPr>
          <w:rFonts w:ascii="Times New Roman" w:hAnsi="Times New Roman"/>
          <w:i/>
          <w:sz w:val="24"/>
          <w:szCs w:val="24"/>
          <w:u w:val="single"/>
        </w:rPr>
      </w:pPr>
      <w:r w:rsidRPr="00DB638E">
        <w:rPr>
          <w:rFonts w:ascii="Times New Roman" w:hAnsi="Times New Roman"/>
          <w:i/>
          <w:sz w:val="24"/>
          <w:szCs w:val="24"/>
          <w:u w:val="single"/>
        </w:rPr>
        <w:t>Печеночная энцефалопатия (см. раздел 4.4)</w:t>
      </w:r>
    </w:p>
    <w:p w14:paraId="1A8BEDEC"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исследовании, включавшем пациентов с печеночно-клеточным раком (CELESTIAL), печеночная энцефалопатия (печеночная энцефалопатия, энцефалопатия, гипераммониемическая энцефалопатия) была зарегистрирована у 5,6 % (26/467) пациентов, получавших кабозантиниб; печеночная энцефалопатия 3 и 4 степени тяжести встречалась у 2,8 % пациентов, получавших кабозантиниб. Одна побочная реакция была 5 степени тяжести (0,2 % пациентов). Медиана времени до развития этой побочной реакции составила 5,9 недель.</w:t>
      </w:r>
    </w:p>
    <w:p w14:paraId="05333108" w14:textId="15EF1116" w:rsidR="00231A9A" w:rsidRPr="00DB638E" w:rsidRDefault="00231A9A" w:rsidP="006E3DFC">
      <w:pPr>
        <w:spacing w:after="0" w:line="240" w:lineRule="auto"/>
        <w:jc w:val="both"/>
        <w:rPr>
          <w:rFonts w:ascii="Times New Roman" w:hAnsi="Times New Roman"/>
          <w:sz w:val="24"/>
          <w:szCs w:val="24"/>
        </w:rPr>
      </w:pPr>
      <w:bookmarkStart w:id="119" w:name="_Hlk75279165"/>
      <w:r w:rsidRPr="00DB638E">
        <w:rPr>
          <w:rFonts w:ascii="Times New Roman" w:hAnsi="Times New Roman"/>
          <w:sz w:val="24"/>
          <w:szCs w:val="24"/>
        </w:rPr>
        <w:lastRenderedPageBreak/>
        <w:t>В исследованиях, включавших пациентов с почечно-клеточным раком (METEOR, CABOSUN и CA2099ER)</w:t>
      </w:r>
      <w:r w:rsidR="00FF5202" w:rsidRPr="00DB638E">
        <w:rPr>
          <w:rFonts w:ascii="Times New Roman" w:hAnsi="Times New Roman"/>
          <w:sz w:val="24"/>
          <w:szCs w:val="24"/>
        </w:rPr>
        <w:t xml:space="preserve"> и в исследовании ДКЩЖ (COSMIC-311)</w:t>
      </w:r>
      <w:r w:rsidRPr="00DB638E">
        <w:rPr>
          <w:rFonts w:ascii="Times New Roman" w:hAnsi="Times New Roman"/>
          <w:sz w:val="24"/>
          <w:szCs w:val="24"/>
        </w:rPr>
        <w:t>, о случаях печеночной энцефалопатии не сообщалось.</w:t>
      </w:r>
    </w:p>
    <w:bookmarkEnd w:id="119"/>
    <w:p w14:paraId="17ECBF86" w14:textId="77777777" w:rsidR="00231A9A" w:rsidRPr="00DB638E" w:rsidRDefault="00231A9A" w:rsidP="006E3DFC">
      <w:pPr>
        <w:spacing w:after="0" w:line="240" w:lineRule="auto"/>
        <w:jc w:val="both"/>
        <w:rPr>
          <w:rFonts w:ascii="Times New Roman" w:hAnsi="Times New Roman"/>
          <w:i/>
          <w:sz w:val="24"/>
          <w:szCs w:val="24"/>
          <w:u w:val="single"/>
        </w:rPr>
      </w:pPr>
      <w:r w:rsidRPr="00DB638E">
        <w:rPr>
          <w:rFonts w:ascii="Times New Roman" w:hAnsi="Times New Roman"/>
          <w:i/>
          <w:sz w:val="24"/>
          <w:szCs w:val="24"/>
          <w:u w:val="single"/>
        </w:rPr>
        <w:t>Диарея (см. раздел 4.4)</w:t>
      </w:r>
    </w:p>
    <w:p w14:paraId="707C3352"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исследовании, включавшем пациентов с почечно-клеточным раком после предшествующей VEGF-таргетной терапии (METEOR), диарея была зарегистрирована у 74 % (245/331) пациентов, получавших кабозантиниб; диарея 3 и 4 степени тяжести встречалась у 11 % пациентов, получавших кабозантиниб. Медиана времени до развития этой побочной реакции составила 4,9 недель.</w:t>
      </w:r>
    </w:p>
    <w:p w14:paraId="67C9C11B"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исследовании, включавшем пациентов с почечно-клеточным раком, ранее не получавших лечения (CABOSUN), диарея была зарегистрирована у 73 % (57/78) пациентов, получавших кабозантиниб; диарея 3 и 4 степени тяжести встречалась у 10 % пациентов, получавших кабозантиниб.</w:t>
      </w:r>
    </w:p>
    <w:p w14:paraId="42020D70"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исследовании, включавшем пациентов с печеночно-клеточным раком (CELESTIAL), диарея была зарегистрирована у 54 % (251/467) пациентов, получавших кабозантиниб; диарея 3 и 4 степени тяжести встречалась у 9,9 % пациентов, получавших кабозантиниб. Медиана времени до развития этой побочной реакции составила 4,1 недель. Изменение дозы, временное прекращение терапии или постоянное прекращение приема кабозантиниба вследствие развития диареи было зарегистрировано у 84/467 (18%), 69/467 (15%) и 5/467 (1%) пациентов, соответственно.</w:t>
      </w:r>
    </w:p>
    <w:p w14:paraId="54FC2DFE" w14:textId="5F8997BF" w:rsidR="00C31F6F" w:rsidRPr="00DB638E" w:rsidRDefault="00C31F6F" w:rsidP="006E3DFC">
      <w:pPr>
        <w:spacing w:after="0" w:line="240" w:lineRule="auto"/>
        <w:jc w:val="both"/>
        <w:rPr>
          <w:rFonts w:ascii="Times New Roman" w:hAnsi="Times New Roman"/>
          <w:sz w:val="24"/>
          <w:szCs w:val="24"/>
        </w:rPr>
      </w:pPr>
      <w:r w:rsidRPr="00DB638E">
        <w:rPr>
          <w:rFonts w:ascii="Times New Roman" w:hAnsi="Times New Roman"/>
          <w:sz w:val="24"/>
          <w:szCs w:val="24"/>
        </w:rPr>
        <w:t xml:space="preserve">В исследовании ДКЩЖ (COSMIC-311) диарея наблюдалась у 62% пациентов, получавших кабозантиниб (105/170); </w:t>
      </w:r>
      <w:r w:rsidR="003057D9" w:rsidRPr="00DB638E">
        <w:rPr>
          <w:rFonts w:ascii="Times New Roman" w:hAnsi="Times New Roman"/>
          <w:sz w:val="24"/>
          <w:szCs w:val="24"/>
        </w:rPr>
        <w:t xml:space="preserve">Диарея </w:t>
      </w:r>
      <w:r w:rsidRPr="00DB638E">
        <w:rPr>
          <w:rFonts w:ascii="Times New Roman" w:hAnsi="Times New Roman"/>
          <w:sz w:val="24"/>
          <w:szCs w:val="24"/>
        </w:rPr>
        <w:t xml:space="preserve">3-4 степени </w:t>
      </w:r>
      <w:r w:rsidR="002D0CEC" w:rsidRPr="00DB638E">
        <w:rPr>
          <w:rFonts w:ascii="Times New Roman" w:hAnsi="Times New Roman"/>
          <w:sz w:val="24"/>
          <w:szCs w:val="24"/>
        </w:rPr>
        <w:t xml:space="preserve">тяжести встречалась у </w:t>
      </w:r>
      <w:r w:rsidRPr="00DB638E">
        <w:rPr>
          <w:rFonts w:ascii="Times New Roman" w:hAnsi="Times New Roman"/>
          <w:sz w:val="24"/>
          <w:szCs w:val="24"/>
        </w:rPr>
        <w:t>7,6%. Диарея привела к снижению дозы и прекращению лечения у 24/170 (14%) и 36/170 (21%) пациентов соответственно.</w:t>
      </w:r>
    </w:p>
    <w:p w14:paraId="63CA595A" w14:textId="2EE74726" w:rsidR="00231A9A" w:rsidRPr="00DB638E" w:rsidRDefault="00231A9A" w:rsidP="006E3DFC">
      <w:pPr>
        <w:spacing w:after="0" w:line="240" w:lineRule="auto"/>
        <w:jc w:val="both"/>
        <w:rPr>
          <w:rFonts w:ascii="Times New Roman" w:hAnsi="Times New Roman"/>
          <w:sz w:val="24"/>
          <w:szCs w:val="24"/>
        </w:rPr>
      </w:pPr>
      <w:r w:rsidRPr="00DB638E">
        <w:rPr>
          <w:rFonts w:ascii="Times New Roman" w:hAnsi="Times New Roman"/>
          <w:sz w:val="24"/>
          <w:szCs w:val="24"/>
        </w:rPr>
        <w:t xml:space="preserve">В исследовании, включавшем пациентов с </w:t>
      </w:r>
      <w:r w:rsidR="00FF5202" w:rsidRPr="00DB638E">
        <w:rPr>
          <w:rFonts w:ascii="Times New Roman" w:hAnsi="Times New Roman"/>
          <w:sz w:val="24"/>
          <w:szCs w:val="24"/>
        </w:rPr>
        <w:t xml:space="preserve">распространенным </w:t>
      </w:r>
      <w:r w:rsidRPr="00DB638E">
        <w:rPr>
          <w:rFonts w:ascii="Times New Roman" w:hAnsi="Times New Roman"/>
          <w:sz w:val="24"/>
          <w:szCs w:val="24"/>
        </w:rPr>
        <w:t xml:space="preserve">почечно-клеточным раком, получавших кабозантиниб в комбинации с ниволумабом (CA2099ER), диарея была зарегистрирована у 64,7 % (207/320); диарея 3 и 4 степени тяжести встречалась у 8,4 % (27/320). Медиана времени до развития этой побочной реакции составила 12,9 недель. Временное прекращение терапии или снижение дозы </w:t>
      </w:r>
      <w:r w:rsidR="002D0CEC" w:rsidRPr="00DB638E">
        <w:rPr>
          <w:rFonts w:ascii="Times New Roman" w:hAnsi="Times New Roman"/>
          <w:sz w:val="24"/>
          <w:szCs w:val="24"/>
        </w:rPr>
        <w:t xml:space="preserve">вследствие развития диареи было зарегистрировано у 26,3 % (84/320) </w:t>
      </w:r>
      <w:r w:rsidRPr="00DB638E">
        <w:rPr>
          <w:rFonts w:ascii="Times New Roman" w:hAnsi="Times New Roman"/>
          <w:sz w:val="24"/>
          <w:szCs w:val="24"/>
        </w:rPr>
        <w:t xml:space="preserve">и постоянное прекращение терапии </w:t>
      </w:r>
      <w:r w:rsidR="002D0CEC" w:rsidRPr="00DB638E">
        <w:rPr>
          <w:rFonts w:ascii="Times New Roman" w:hAnsi="Times New Roman"/>
          <w:sz w:val="24"/>
          <w:szCs w:val="24"/>
        </w:rPr>
        <w:t>у</w:t>
      </w:r>
      <w:r w:rsidRPr="00DB638E">
        <w:rPr>
          <w:rFonts w:ascii="Times New Roman" w:hAnsi="Times New Roman"/>
          <w:sz w:val="24"/>
          <w:szCs w:val="24"/>
        </w:rPr>
        <w:t xml:space="preserve"> 2,2 % (7/320) соответственно.</w:t>
      </w:r>
    </w:p>
    <w:p w14:paraId="64D2BF77" w14:textId="77777777" w:rsidR="00231A9A" w:rsidRPr="00DB638E" w:rsidRDefault="00231A9A" w:rsidP="006E3DFC">
      <w:pPr>
        <w:spacing w:after="0" w:line="240" w:lineRule="auto"/>
        <w:jc w:val="both"/>
        <w:rPr>
          <w:rFonts w:ascii="Times New Roman" w:hAnsi="Times New Roman"/>
          <w:i/>
          <w:sz w:val="24"/>
          <w:szCs w:val="24"/>
          <w:u w:val="single"/>
        </w:rPr>
      </w:pPr>
      <w:r w:rsidRPr="00DB638E">
        <w:rPr>
          <w:rFonts w:ascii="Times New Roman" w:hAnsi="Times New Roman"/>
          <w:i/>
          <w:sz w:val="24"/>
          <w:szCs w:val="24"/>
          <w:u w:val="single"/>
        </w:rPr>
        <w:t>Свищи (см. раздел 4.4)</w:t>
      </w:r>
    </w:p>
    <w:p w14:paraId="0408160B"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В исследовании, включавшем пациентов с почечно-клеточным раком после предшествующей VEGF-таргетной терапии (METEOR), свищи были зарегистрированы у 1,2 % (4/331) пациентов, получавших кабозантиниб, включая свищи заднего прохода у 0,6 % (2/331) пациентов. Одна побочная реакция была 3 степени тяжести, остальные - 2. Медиана времени до развития этой побочной реакции составила 30,3 недель. </w:t>
      </w:r>
    </w:p>
    <w:p w14:paraId="4542675B"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исследовании, включавшем пациентов с почечно-клеточным раком, не получавших предварительного лечения (CABOSUN), о случаях возникновения свищей не сообщалось.</w:t>
      </w:r>
    </w:p>
    <w:p w14:paraId="1F83F337" w14:textId="23C3DF4D"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В исследовании, включавшем пациентов с печеночно-клеточным раком (CELESTIAL), свищи были зарегистрированы у 1,5 % (7/467) пациентов, получавших кабозантиниб. Медиана времени до развития этой побочной реакции составила 14 недель. </w:t>
      </w:r>
    </w:p>
    <w:p w14:paraId="38683488" w14:textId="00AD6F88" w:rsidR="00ED6687" w:rsidRPr="00DB638E" w:rsidRDefault="006B17CB"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В ходе исследования </w:t>
      </w:r>
      <w:r w:rsidR="00686B41" w:rsidRPr="00DB638E">
        <w:rPr>
          <w:rFonts w:ascii="Times New Roman" w:hAnsi="Times New Roman"/>
          <w:sz w:val="24"/>
          <w:szCs w:val="24"/>
        </w:rPr>
        <w:t>ДКЩЖ</w:t>
      </w:r>
      <w:r w:rsidRPr="00DB638E">
        <w:rPr>
          <w:rFonts w:ascii="Times New Roman" w:hAnsi="Times New Roman"/>
          <w:sz w:val="24"/>
          <w:szCs w:val="24"/>
        </w:rPr>
        <w:t xml:space="preserve"> (COSMIC-311) случаи свищей (два анальных свища и один глоточный свищ) были зарегистрированы у 1,8% (3/170) пациентов, получавших кабозантиниб.</w:t>
      </w:r>
    </w:p>
    <w:p w14:paraId="241640B3" w14:textId="4CC3C0A4"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исследовании, включавшем пациентов с</w:t>
      </w:r>
      <w:r w:rsidR="008F4165" w:rsidRPr="00DB638E">
        <w:rPr>
          <w:rFonts w:ascii="Times New Roman" w:hAnsi="Times New Roman"/>
          <w:sz w:val="24"/>
          <w:szCs w:val="24"/>
        </w:rPr>
        <w:t xml:space="preserve"> распространённым</w:t>
      </w:r>
      <w:r w:rsidRPr="00DB638E">
        <w:rPr>
          <w:rFonts w:ascii="Times New Roman" w:hAnsi="Times New Roman"/>
          <w:sz w:val="24"/>
          <w:szCs w:val="24"/>
        </w:rPr>
        <w:t xml:space="preserve"> почечно-клеточным раком, получавших кабозантиниб в комбинации с ниволумабом (CA2099ER), свищи 1 степени тяжести были зарегистрированы у 0,9 % (3/320).</w:t>
      </w:r>
    </w:p>
    <w:p w14:paraId="04BCE3F4" w14:textId="77777777" w:rsidR="00231A9A" w:rsidRPr="00DB638E" w:rsidRDefault="00231A9A" w:rsidP="00B90532">
      <w:pPr>
        <w:spacing w:after="0" w:line="240" w:lineRule="auto"/>
        <w:jc w:val="both"/>
        <w:rPr>
          <w:rFonts w:ascii="Times New Roman" w:hAnsi="Times New Roman"/>
          <w:sz w:val="24"/>
          <w:szCs w:val="24"/>
        </w:rPr>
      </w:pPr>
      <w:r w:rsidRPr="00DB638E">
        <w:rPr>
          <w:rFonts w:ascii="Times New Roman" w:hAnsi="Times New Roman"/>
          <w:sz w:val="24"/>
          <w:szCs w:val="24"/>
        </w:rPr>
        <w:t>В ходе клинических исследований отмечались случаи свищей с летальным исходом.</w:t>
      </w:r>
    </w:p>
    <w:p w14:paraId="5D81C1B5" w14:textId="77777777" w:rsidR="00231A9A" w:rsidRPr="00DB638E" w:rsidRDefault="00231A9A" w:rsidP="00B90532">
      <w:pPr>
        <w:spacing w:after="0" w:line="240" w:lineRule="auto"/>
        <w:jc w:val="both"/>
        <w:rPr>
          <w:rFonts w:ascii="Times New Roman" w:hAnsi="Times New Roman"/>
          <w:i/>
          <w:sz w:val="24"/>
          <w:szCs w:val="24"/>
          <w:u w:val="single"/>
        </w:rPr>
      </w:pPr>
      <w:r w:rsidRPr="00DB638E">
        <w:rPr>
          <w:rFonts w:ascii="Times New Roman" w:hAnsi="Times New Roman"/>
          <w:i/>
          <w:sz w:val="24"/>
          <w:szCs w:val="24"/>
          <w:u w:val="single"/>
        </w:rPr>
        <w:t>Кровотечения (см. раздел 4.4)</w:t>
      </w:r>
    </w:p>
    <w:p w14:paraId="55F13430" w14:textId="77777777" w:rsidR="00231A9A" w:rsidRPr="00DB638E" w:rsidRDefault="00231A9A" w:rsidP="00B90532">
      <w:pPr>
        <w:spacing w:after="0" w:line="240" w:lineRule="auto"/>
        <w:jc w:val="both"/>
        <w:rPr>
          <w:rFonts w:ascii="Times New Roman" w:hAnsi="Times New Roman"/>
          <w:sz w:val="24"/>
          <w:szCs w:val="24"/>
        </w:rPr>
      </w:pPr>
      <w:r w:rsidRPr="00DB638E">
        <w:rPr>
          <w:rFonts w:ascii="Times New Roman" w:hAnsi="Times New Roman"/>
          <w:sz w:val="24"/>
          <w:szCs w:val="24"/>
        </w:rPr>
        <w:lastRenderedPageBreak/>
        <w:t xml:space="preserve">В исследовании, включавшем пациентов с почечно-клеточным раком после предшествующей VEGF-таргетной терапии (METEOR), частота возникновения тяжелых кровотечений (≥ 3 степени тяжести) составляла 2,1 % (7/331 пациентов) среди получавших кабозантиниб. Медиана времени до развития этой побочной реакции составила 20,9 недель. </w:t>
      </w:r>
    </w:p>
    <w:p w14:paraId="216C03CF" w14:textId="77777777" w:rsidR="00231A9A" w:rsidRPr="00DB638E" w:rsidRDefault="00231A9A" w:rsidP="00B90532">
      <w:pPr>
        <w:spacing w:after="0" w:line="240" w:lineRule="auto"/>
        <w:jc w:val="both"/>
        <w:rPr>
          <w:rFonts w:ascii="Times New Roman" w:hAnsi="Times New Roman"/>
          <w:sz w:val="24"/>
          <w:szCs w:val="24"/>
        </w:rPr>
      </w:pPr>
      <w:r w:rsidRPr="00DB638E">
        <w:rPr>
          <w:rFonts w:ascii="Times New Roman" w:hAnsi="Times New Roman"/>
          <w:sz w:val="24"/>
          <w:szCs w:val="24"/>
        </w:rPr>
        <w:t>В исследовании, включавшем пациентов с почечно-клеточным раком, не получавших предварительного лечения (</w:t>
      </w:r>
      <w:bookmarkStart w:id="120" w:name="_Hlk75279342"/>
      <w:r w:rsidRPr="00DB638E">
        <w:rPr>
          <w:rFonts w:ascii="Times New Roman" w:hAnsi="Times New Roman"/>
          <w:sz w:val="24"/>
          <w:szCs w:val="24"/>
        </w:rPr>
        <w:t>CABOSUN</w:t>
      </w:r>
      <w:bookmarkEnd w:id="120"/>
      <w:r w:rsidRPr="00DB638E">
        <w:rPr>
          <w:rFonts w:ascii="Times New Roman" w:hAnsi="Times New Roman"/>
          <w:sz w:val="24"/>
          <w:szCs w:val="24"/>
        </w:rPr>
        <w:t>), частота возникновения тяжелых кровотечений (≥ 3 степени тяжести) составляла 5,1 % (4/78 пациентов) среди получавших кабозантиниб.</w:t>
      </w:r>
    </w:p>
    <w:p w14:paraId="47DAE508"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исследовании, включавшем пациентов с печеночно-клеточным раком (CELESTIAL), частота возникновения тяжелых кровотечений (≥ 3 степени тяжести) составляла 7,3 % (34/467) среди получавших кабозантиниб. Медиана времени до развития этой побочной реакции составила 9,1 недель.</w:t>
      </w:r>
    </w:p>
    <w:p w14:paraId="33912CAA" w14:textId="7C236C44"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исследовании, включавшем пациентов с</w:t>
      </w:r>
      <w:r w:rsidR="00313B24" w:rsidRPr="00DB638E">
        <w:rPr>
          <w:rFonts w:ascii="Times New Roman" w:hAnsi="Times New Roman"/>
          <w:sz w:val="24"/>
          <w:szCs w:val="24"/>
        </w:rPr>
        <w:t xml:space="preserve"> распространённым</w:t>
      </w:r>
      <w:r w:rsidRPr="00DB638E">
        <w:rPr>
          <w:rFonts w:ascii="Times New Roman" w:hAnsi="Times New Roman"/>
          <w:sz w:val="24"/>
          <w:szCs w:val="24"/>
        </w:rPr>
        <w:t xml:space="preserve"> почечно-клеточным раком, получавших кабозантиниб в комбинации с ниволумабом (CA2099ER), частота возникновения кровотечений (≥3 степени тяжести) составляла 1,9 % (6/320).</w:t>
      </w:r>
    </w:p>
    <w:p w14:paraId="448C364C" w14:textId="5C67C4EC" w:rsidR="00ED6687" w:rsidRPr="00DB638E" w:rsidRDefault="00ED6687" w:rsidP="00ED6687">
      <w:pPr>
        <w:spacing w:after="0" w:line="240" w:lineRule="auto"/>
        <w:jc w:val="both"/>
        <w:rPr>
          <w:rFonts w:ascii="Times New Roman" w:hAnsi="Times New Roman"/>
          <w:sz w:val="24"/>
          <w:szCs w:val="24"/>
        </w:rPr>
      </w:pPr>
      <w:r w:rsidRPr="00DB638E">
        <w:rPr>
          <w:rFonts w:ascii="Times New Roman" w:hAnsi="Times New Roman"/>
          <w:sz w:val="24"/>
          <w:szCs w:val="24"/>
        </w:rPr>
        <w:t xml:space="preserve">В ходе исследования </w:t>
      </w:r>
      <w:r w:rsidR="00686B41" w:rsidRPr="00DB638E">
        <w:rPr>
          <w:rFonts w:ascii="Times New Roman" w:hAnsi="Times New Roman"/>
          <w:sz w:val="24"/>
          <w:szCs w:val="24"/>
        </w:rPr>
        <w:t>ДКЩЖ</w:t>
      </w:r>
      <w:r w:rsidRPr="00DB638E">
        <w:rPr>
          <w:rFonts w:ascii="Times New Roman" w:hAnsi="Times New Roman"/>
          <w:sz w:val="24"/>
          <w:szCs w:val="24"/>
        </w:rPr>
        <w:t xml:space="preserve"> (COSMIC-311) частота тяжелых кровотечений (степень ≥ 3) составила 2,4% в группе, получавшей кабозантиниб (4/170). Среднее время до начала заболевания составило 80,5 дней.</w:t>
      </w:r>
    </w:p>
    <w:p w14:paraId="2EFC6538" w14:textId="77777777" w:rsidR="00ED6687" w:rsidRPr="00DB638E" w:rsidRDefault="00ED6687" w:rsidP="00ED6687">
      <w:pPr>
        <w:spacing w:after="0" w:line="240" w:lineRule="auto"/>
        <w:jc w:val="both"/>
        <w:rPr>
          <w:rFonts w:ascii="Times New Roman" w:hAnsi="Times New Roman"/>
          <w:sz w:val="24"/>
          <w:szCs w:val="24"/>
        </w:rPr>
      </w:pPr>
      <w:r w:rsidRPr="00DB638E">
        <w:rPr>
          <w:rFonts w:ascii="Times New Roman" w:hAnsi="Times New Roman"/>
          <w:sz w:val="24"/>
          <w:szCs w:val="24"/>
        </w:rPr>
        <w:t>Во время программы клинических исследований кабозантиниба были зарегистрированы смертельные случаи кровотечения.</w:t>
      </w:r>
    </w:p>
    <w:p w14:paraId="233EBBC5" w14:textId="3C8F76C5" w:rsidR="00231A9A" w:rsidRPr="00DB638E" w:rsidRDefault="00313B24" w:rsidP="00ED6687">
      <w:pPr>
        <w:spacing w:after="0" w:line="240" w:lineRule="auto"/>
        <w:jc w:val="both"/>
        <w:rPr>
          <w:rFonts w:ascii="Times New Roman" w:hAnsi="Times New Roman"/>
          <w:i/>
          <w:sz w:val="24"/>
          <w:szCs w:val="24"/>
          <w:u w:val="single"/>
        </w:rPr>
      </w:pPr>
      <w:r w:rsidRPr="00DB638E">
        <w:rPr>
          <w:rFonts w:ascii="Times New Roman" w:hAnsi="Times New Roman"/>
          <w:i/>
          <w:sz w:val="24"/>
          <w:szCs w:val="24"/>
          <w:u w:val="single"/>
        </w:rPr>
        <w:t xml:space="preserve">Синдром задней обратимой энцефалопатии </w:t>
      </w:r>
      <w:r w:rsidR="00B90532" w:rsidRPr="00DB638E">
        <w:rPr>
          <w:rFonts w:ascii="Times New Roman" w:hAnsi="Times New Roman"/>
          <w:i/>
          <w:sz w:val="24"/>
          <w:szCs w:val="24"/>
          <w:u w:val="single"/>
        </w:rPr>
        <w:t>(см. раздел 4.4)</w:t>
      </w:r>
    </w:p>
    <w:p w14:paraId="38B63A1A" w14:textId="419F3002" w:rsidR="00231A9A" w:rsidRPr="00DB638E" w:rsidRDefault="00231A9A" w:rsidP="00B90532">
      <w:pPr>
        <w:spacing w:after="0" w:line="240" w:lineRule="auto"/>
        <w:jc w:val="both"/>
        <w:rPr>
          <w:rFonts w:ascii="Times New Roman" w:hAnsi="Times New Roman"/>
          <w:sz w:val="24"/>
          <w:szCs w:val="24"/>
        </w:rPr>
      </w:pPr>
      <w:r w:rsidRPr="00DB638E">
        <w:rPr>
          <w:rFonts w:ascii="Times New Roman" w:hAnsi="Times New Roman"/>
          <w:sz w:val="24"/>
          <w:szCs w:val="24"/>
        </w:rPr>
        <w:t xml:space="preserve">В клинических исследованиях препарата </w:t>
      </w:r>
      <w:r w:rsidR="00C335EE" w:rsidRPr="00DB638E">
        <w:rPr>
          <w:rFonts w:ascii="Times New Roman" w:hAnsi="Times New Roman"/>
          <w:sz w:val="24"/>
          <w:szCs w:val="24"/>
        </w:rPr>
        <w:t>Кабозаниб</w:t>
      </w:r>
      <w:r w:rsidRPr="00DB638E">
        <w:rPr>
          <w:rFonts w:ascii="Times New Roman" w:hAnsi="Times New Roman"/>
          <w:sz w:val="24"/>
          <w:szCs w:val="24"/>
        </w:rPr>
        <w:t xml:space="preserve"> (METEOR, CABOSUN,</w:t>
      </w:r>
      <w:r w:rsidRPr="00DB638E">
        <w:rPr>
          <w:sz w:val="24"/>
          <w:szCs w:val="24"/>
        </w:rPr>
        <w:t xml:space="preserve"> </w:t>
      </w:r>
      <w:r w:rsidRPr="00DB638E">
        <w:rPr>
          <w:rFonts w:ascii="Times New Roman" w:hAnsi="Times New Roman"/>
          <w:sz w:val="24"/>
          <w:szCs w:val="24"/>
        </w:rPr>
        <w:t xml:space="preserve">CA2099ER, CELESTIAL) не сообщалось о случаях развития </w:t>
      </w:r>
      <w:r w:rsidR="00313B24" w:rsidRPr="00DB638E">
        <w:rPr>
          <w:rFonts w:ascii="Times New Roman" w:hAnsi="Times New Roman"/>
          <w:sz w:val="24"/>
          <w:szCs w:val="24"/>
        </w:rPr>
        <w:t>синдрома задней обратимой энцефалопатии</w:t>
      </w:r>
      <w:r w:rsidRPr="00DB638E">
        <w:rPr>
          <w:rFonts w:ascii="Times New Roman" w:hAnsi="Times New Roman"/>
          <w:sz w:val="24"/>
          <w:szCs w:val="24"/>
        </w:rPr>
        <w:t xml:space="preserve">, но случаи </w:t>
      </w:r>
      <w:r w:rsidR="00313B24" w:rsidRPr="00DB638E">
        <w:rPr>
          <w:rFonts w:ascii="Times New Roman" w:hAnsi="Times New Roman"/>
          <w:sz w:val="24"/>
          <w:szCs w:val="24"/>
        </w:rPr>
        <w:t>синдрома задней обратимой энцефалопатии</w:t>
      </w:r>
      <w:r w:rsidRPr="00DB638E">
        <w:rPr>
          <w:rFonts w:ascii="Times New Roman" w:hAnsi="Times New Roman"/>
          <w:sz w:val="24"/>
          <w:szCs w:val="24"/>
        </w:rPr>
        <w:t xml:space="preserve"> отмечались в других клинических исследованиях кабозантиниба (2/4872 пациентов, 0,04%).</w:t>
      </w:r>
    </w:p>
    <w:p w14:paraId="41DFC080" w14:textId="77777777" w:rsidR="00231A9A" w:rsidRPr="00DB638E" w:rsidRDefault="00231A9A" w:rsidP="00B90532">
      <w:pPr>
        <w:spacing w:after="0" w:line="240" w:lineRule="auto"/>
        <w:jc w:val="both"/>
        <w:rPr>
          <w:rFonts w:ascii="Times New Roman" w:hAnsi="Times New Roman"/>
          <w:i/>
          <w:sz w:val="24"/>
          <w:szCs w:val="24"/>
          <w:u w:val="single"/>
        </w:rPr>
      </w:pPr>
      <w:r w:rsidRPr="00DB638E">
        <w:rPr>
          <w:rFonts w:ascii="Times New Roman" w:hAnsi="Times New Roman"/>
          <w:i/>
          <w:sz w:val="24"/>
          <w:szCs w:val="24"/>
          <w:u w:val="single"/>
        </w:rPr>
        <w:t>Повышение активности ферментов печени у пациентов с почечно-клеточным раком, получавших препарат кабозантиниб в сочетании с ниволумабом</w:t>
      </w:r>
    </w:p>
    <w:p w14:paraId="3FE8CC29" w14:textId="37DA8A42"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клиническом исследовании с участием пациентов, ранее не получавших терапию, получавших кабозантиниб в комбинации с ниволумабом, наблюдалась более высокая частота повышения активности АЛТ 3 и 4 степени тяжести (10,1%) и повышения активности АСТ (8,2%) в сравнении с монотерапией кабозантинибом у пациентов с распространенным почечно-клеточным раком (в исследовании METEOR уровень АЛТ увеличивался на 3,6%, а АСТ - на 3,3%). Медиана времени до развития этой побочной реакции (&gt;2 степени тяжести) составила 10,1 недель (диапазон: от 2 до 106,6 недель; n = 85). Эта побочная реакция разрешалась до степени тяжести 0–1 у 91,0% пациентов. Медиана времени разрешения составила 2,29 недели (диапазон: от 0,4 до 108,1 недель).</w:t>
      </w:r>
    </w:p>
    <w:p w14:paraId="60ED1CAE"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Среди 45 пациентов, которым была повторно назначена монотерапия кабозантинибом (n = 10) или ниволумабом (n = 10), либо терапия обеими препаратами (n = 25), рецидив повышения уровня АЛТ или АСТ ≥2 степени тяжести наблюдался у 4 пациентов, получающих кабозантиниб, у 3 пациентов, получающих ниволумаб, и у 8 пациентов, получающих оба препарата.</w:t>
      </w:r>
    </w:p>
    <w:p w14:paraId="03722C9C" w14:textId="77777777" w:rsidR="00231A9A" w:rsidRPr="00DB638E" w:rsidRDefault="00231A9A" w:rsidP="00231A9A">
      <w:pPr>
        <w:spacing w:after="0" w:line="240" w:lineRule="auto"/>
        <w:jc w:val="both"/>
        <w:rPr>
          <w:rFonts w:ascii="Times New Roman" w:hAnsi="Times New Roman"/>
          <w:i/>
          <w:iCs/>
          <w:sz w:val="24"/>
          <w:szCs w:val="24"/>
          <w:u w:val="single"/>
        </w:rPr>
      </w:pPr>
      <w:r w:rsidRPr="00DB638E">
        <w:rPr>
          <w:rFonts w:ascii="Times New Roman" w:hAnsi="Times New Roman"/>
          <w:i/>
          <w:iCs/>
          <w:sz w:val="24"/>
          <w:szCs w:val="24"/>
          <w:u w:val="single"/>
        </w:rPr>
        <w:t xml:space="preserve">Гипотиреоз </w:t>
      </w:r>
    </w:p>
    <w:p w14:paraId="4E2617A4"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В исследовании, включавшем пациентов с почечно-клеточным раком после предшествующей VEGF-таргетной терапии (METEOR), частота возникновения, частота возникновения гипотиреоза составляла 21% (68/331). </w:t>
      </w:r>
    </w:p>
    <w:p w14:paraId="2665C68C"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В исследовании, включавшем пациентов с почечно-клеточным раком, не получавших предварительного лечения таргетными препаратами (CABOSUN), частота возникновения гипотиреоза у пациентов, получавших кабозантиниб, составляла 23% (18/78). </w:t>
      </w:r>
    </w:p>
    <w:p w14:paraId="297EA5C7" w14:textId="55C25D68"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lastRenderedPageBreak/>
        <w:t xml:space="preserve">В исследовании, включавшем пациентов с печеночно-клеточным раком (CELESTIAL), частота возникновения гипотиреоза у пациентов, получавших кабозантиниб, составляла 8,1% (38/467); гипотиреоз 3 степени тяжести встречался у 0,4% (2/467). </w:t>
      </w:r>
    </w:p>
    <w:p w14:paraId="1C863D45" w14:textId="3F849D42" w:rsidR="00D704BF" w:rsidRPr="00DB638E" w:rsidRDefault="00D704BF"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В исследовании ДКЩЖ (COSMIC-311) частота возникновения гипотиреоза составила 2,4% (4/170), все случаи были 1-2 степени, ни один из них не потребовал </w:t>
      </w:r>
      <w:r w:rsidR="00407E94" w:rsidRPr="00DB638E">
        <w:rPr>
          <w:rFonts w:ascii="Times New Roman" w:hAnsi="Times New Roman"/>
          <w:sz w:val="24"/>
          <w:szCs w:val="24"/>
          <w:lang w:val="kk-KZ"/>
        </w:rPr>
        <w:t>коррекции</w:t>
      </w:r>
      <w:r w:rsidRPr="00DB638E">
        <w:rPr>
          <w:rFonts w:ascii="Times New Roman" w:hAnsi="Times New Roman"/>
          <w:sz w:val="24"/>
          <w:szCs w:val="24"/>
        </w:rPr>
        <w:t xml:space="preserve"> лечения.</w:t>
      </w:r>
    </w:p>
    <w:p w14:paraId="7AAA909E" w14:textId="6802BA51" w:rsidR="004528E1" w:rsidRPr="00DB638E" w:rsidRDefault="00231A9A" w:rsidP="0078568D">
      <w:pPr>
        <w:spacing w:after="0" w:line="240" w:lineRule="auto"/>
        <w:jc w:val="both"/>
        <w:rPr>
          <w:rFonts w:ascii="Times New Roman" w:hAnsi="Times New Roman"/>
          <w:sz w:val="24"/>
          <w:szCs w:val="24"/>
        </w:rPr>
      </w:pPr>
      <w:r w:rsidRPr="00DB638E">
        <w:rPr>
          <w:rFonts w:ascii="Times New Roman" w:hAnsi="Times New Roman"/>
          <w:sz w:val="24"/>
          <w:szCs w:val="24"/>
        </w:rPr>
        <w:t xml:space="preserve">В исследовании, включавшем пациентов с </w:t>
      </w:r>
      <w:r w:rsidR="00D704BF" w:rsidRPr="00DB638E">
        <w:rPr>
          <w:rFonts w:ascii="Times New Roman" w:hAnsi="Times New Roman"/>
          <w:sz w:val="24"/>
          <w:szCs w:val="24"/>
        </w:rPr>
        <w:t xml:space="preserve">распространенным </w:t>
      </w:r>
      <w:r w:rsidRPr="00DB638E">
        <w:rPr>
          <w:rFonts w:ascii="Times New Roman" w:hAnsi="Times New Roman"/>
          <w:sz w:val="24"/>
          <w:szCs w:val="24"/>
        </w:rPr>
        <w:t>почечно-клеточным раком, получавших кабозантиниб в комбинации с ниволумабом (CA2099ER) частота возникновения гипотиреоза составляла 35,6% (114/320) пациентов, получавших лечение.</w:t>
      </w:r>
    </w:p>
    <w:p w14:paraId="7C7AE89E" w14:textId="77777777" w:rsidR="0038132A" w:rsidRPr="00DB638E" w:rsidRDefault="0038132A" w:rsidP="0038132A">
      <w:pPr>
        <w:spacing w:after="0" w:line="240" w:lineRule="auto"/>
        <w:jc w:val="both"/>
        <w:rPr>
          <w:rFonts w:ascii="Times New Roman" w:hAnsi="Times New Roman"/>
          <w:i/>
          <w:iCs/>
          <w:sz w:val="24"/>
          <w:szCs w:val="24"/>
        </w:rPr>
      </w:pPr>
      <w:r w:rsidRPr="00DB638E">
        <w:rPr>
          <w:rFonts w:ascii="Times New Roman" w:hAnsi="Times New Roman"/>
          <w:i/>
          <w:iCs/>
          <w:sz w:val="24"/>
          <w:szCs w:val="24"/>
        </w:rPr>
        <w:t>Дети (см. раздел 5.1)</w:t>
      </w:r>
    </w:p>
    <w:p w14:paraId="123AF2E8" w14:textId="77777777" w:rsidR="0038132A" w:rsidRPr="00DB638E" w:rsidRDefault="0038132A" w:rsidP="0038132A">
      <w:pPr>
        <w:spacing w:after="0" w:line="240" w:lineRule="auto"/>
        <w:jc w:val="both"/>
        <w:rPr>
          <w:rFonts w:ascii="Times New Roman" w:hAnsi="Times New Roman"/>
          <w:sz w:val="24"/>
          <w:szCs w:val="24"/>
        </w:rPr>
      </w:pPr>
      <w:r w:rsidRPr="00DB638E">
        <w:rPr>
          <w:rFonts w:ascii="Times New Roman" w:hAnsi="Times New Roman"/>
          <w:sz w:val="24"/>
          <w:szCs w:val="24"/>
        </w:rPr>
        <w:t>В ограниченном исследовании исследовании ADVL1211 по увеличению дозы кабозантиниба у детей и подростков с рецидивирующими или рефрактерными солидными опухолями, включая опухоли ЦНС, наблюдались следующие события:</w:t>
      </w:r>
    </w:p>
    <w:p w14:paraId="7A856B58" w14:textId="1CA98D61" w:rsidR="0038132A" w:rsidRPr="00DB638E" w:rsidRDefault="0038132A" w:rsidP="0038132A">
      <w:pPr>
        <w:spacing w:after="0" w:line="240" w:lineRule="auto"/>
        <w:jc w:val="both"/>
        <w:rPr>
          <w:rFonts w:ascii="Times New Roman" w:hAnsi="Times New Roman"/>
          <w:sz w:val="24"/>
          <w:szCs w:val="24"/>
        </w:rPr>
      </w:pPr>
      <w:r w:rsidRPr="00DB638E">
        <w:rPr>
          <w:rFonts w:ascii="Times New Roman" w:hAnsi="Times New Roman"/>
          <w:sz w:val="24"/>
          <w:szCs w:val="24"/>
        </w:rPr>
        <w:t>увеличение аспартатаминотрансферазы (АСТ)</w:t>
      </w:r>
      <w:r w:rsidR="00832C33" w:rsidRPr="00DB638E">
        <w:rPr>
          <w:rFonts w:ascii="Times New Roman" w:hAnsi="Times New Roman"/>
          <w:sz w:val="24"/>
          <w:szCs w:val="24"/>
        </w:rPr>
        <w:t xml:space="preserve"> </w:t>
      </w:r>
      <w:r w:rsidRPr="00DB638E">
        <w:rPr>
          <w:rFonts w:ascii="Times New Roman" w:hAnsi="Times New Roman"/>
          <w:sz w:val="24"/>
          <w:szCs w:val="24"/>
        </w:rPr>
        <w:t xml:space="preserve">(очень часто, 76,9%), </w:t>
      </w:r>
      <w:r w:rsidR="00832C33" w:rsidRPr="00DB638E">
        <w:rPr>
          <w:rFonts w:ascii="Times New Roman" w:hAnsi="Times New Roman"/>
          <w:sz w:val="24"/>
          <w:szCs w:val="24"/>
        </w:rPr>
        <w:t xml:space="preserve">увеличение </w:t>
      </w:r>
      <w:r w:rsidRPr="00DB638E">
        <w:rPr>
          <w:rFonts w:ascii="Times New Roman" w:hAnsi="Times New Roman"/>
          <w:sz w:val="24"/>
          <w:szCs w:val="24"/>
        </w:rPr>
        <w:t xml:space="preserve">аланинаминотрансферазы (АЛТ) (очень часто, 71,8%), снижение количества лимфоцитов (очень часто, 48,7%), снижение количества нейтрофилов (очень часто, 35,9%), а также увеличение липазы (очень часто, 33,3%) наблюдалось с более высокой частотой у всех испытуемых во всех группах дозирования, включенных в группу безопасности (N=39), по сравнению со взрослыми. Повышенные </w:t>
      </w:r>
      <w:r w:rsidR="00832C33" w:rsidRPr="00DB638E">
        <w:rPr>
          <w:rFonts w:ascii="Times New Roman" w:hAnsi="Times New Roman"/>
          <w:sz w:val="24"/>
          <w:szCs w:val="24"/>
        </w:rPr>
        <w:t>показатели</w:t>
      </w:r>
      <w:r w:rsidRPr="00DB638E">
        <w:rPr>
          <w:rFonts w:ascii="Times New Roman" w:hAnsi="Times New Roman"/>
          <w:sz w:val="24"/>
          <w:szCs w:val="24"/>
        </w:rPr>
        <w:t xml:space="preserve"> для этих предпочтительных </w:t>
      </w:r>
      <w:r w:rsidR="00832C33" w:rsidRPr="00DB638E">
        <w:rPr>
          <w:rFonts w:ascii="Times New Roman" w:hAnsi="Times New Roman"/>
          <w:sz w:val="24"/>
          <w:szCs w:val="24"/>
        </w:rPr>
        <w:t xml:space="preserve">терминов </w:t>
      </w:r>
      <w:r w:rsidRPr="00DB638E">
        <w:rPr>
          <w:rFonts w:ascii="Times New Roman" w:hAnsi="Times New Roman"/>
          <w:sz w:val="24"/>
          <w:szCs w:val="24"/>
        </w:rPr>
        <w:t xml:space="preserve">(PTS) </w:t>
      </w:r>
      <w:r w:rsidR="00832C33" w:rsidRPr="00DB638E">
        <w:rPr>
          <w:rFonts w:ascii="Times New Roman" w:hAnsi="Times New Roman"/>
          <w:sz w:val="24"/>
          <w:szCs w:val="24"/>
        </w:rPr>
        <w:t>касаются любой степени</w:t>
      </w:r>
      <w:r w:rsidRPr="00DB638E">
        <w:rPr>
          <w:rFonts w:ascii="Times New Roman" w:hAnsi="Times New Roman"/>
          <w:sz w:val="24"/>
          <w:szCs w:val="24"/>
        </w:rPr>
        <w:t xml:space="preserve">, а также 3/4 </w:t>
      </w:r>
      <w:r w:rsidR="00832C33" w:rsidRPr="00DB638E">
        <w:rPr>
          <w:rFonts w:ascii="Times New Roman" w:hAnsi="Times New Roman"/>
          <w:sz w:val="24"/>
          <w:szCs w:val="24"/>
        </w:rPr>
        <w:t xml:space="preserve">степени </w:t>
      </w:r>
      <w:r w:rsidRPr="00DB638E">
        <w:rPr>
          <w:rFonts w:ascii="Times New Roman" w:hAnsi="Times New Roman"/>
          <w:sz w:val="24"/>
          <w:szCs w:val="24"/>
        </w:rPr>
        <w:t xml:space="preserve">этих </w:t>
      </w:r>
      <w:r w:rsidR="00832C33" w:rsidRPr="00DB638E">
        <w:rPr>
          <w:rFonts w:ascii="Times New Roman" w:hAnsi="Times New Roman"/>
          <w:sz w:val="24"/>
          <w:szCs w:val="24"/>
        </w:rPr>
        <w:t>побочных реакций</w:t>
      </w:r>
      <w:r w:rsidRPr="00DB638E">
        <w:rPr>
          <w:rFonts w:ascii="Times New Roman" w:hAnsi="Times New Roman"/>
          <w:sz w:val="24"/>
          <w:szCs w:val="24"/>
        </w:rPr>
        <w:t>. Зарегистрированные нежелательные явления качественно соответствуют признанному профилю безопасности кабозантиниба у взрослого населения. Однако небольшое число обследованных не позволяет провести окончательную оценку тенденций и частот и дальнейшее сравнение с признанным профилем безопасности кабозантиниба.</w:t>
      </w:r>
    </w:p>
    <w:p w14:paraId="6B741098" w14:textId="77777777" w:rsidR="0038132A" w:rsidRPr="00DB638E" w:rsidRDefault="0038132A" w:rsidP="0038132A">
      <w:pPr>
        <w:spacing w:after="0" w:line="240" w:lineRule="auto"/>
        <w:jc w:val="both"/>
        <w:rPr>
          <w:rFonts w:ascii="Times New Roman" w:hAnsi="Times New Roman"/>
          <w:sz w:val="24"/>
          <w:szCs w:val="24"/>
        </w:rPr>
      </w:pPr>
      <w:r w:rsidRPr="00DB638E">
        <w:rPr>
          <w:rFonts w:ascii="Times New Roman" w:hAnsi="Times New Roman"/>
          <w:sz w:val="24"/>
          <w:szCs w:val="24"/>
        </w:rPr>
        <w:t>В исследовании ADVL1622 кабозантиниба у детей и молодых взрослых со следующими стадиями солидных опухолей: саркома Юинга, рабдомиосаркома, нерабдомиосаркомные саркомы мягких тканей (NRSTS), остеосаркома, опухоль Вильмса и другие редкие солидные опухоли (нестатистическая когорта)</w:t>
      </w:r>
      <w:r w:rsidR="009E1B8E" w:rsidRPr="00DB638E">
        <w:rPr>
          <w:rFonts w:ascii="Times New Roman" w:hAnsi="Times New Roman"/>
          <w:sz w:val="24"/>
          <w:szCs w:val="24"/>
        </w:rPr>
        <w:t>.</w:t>
      </w:r>
      <w:r w:rsidRPr="00DB638E">
        <w:rPr>
          <w:rFonts w:ascii="Times New Roman" w:hAnsi="Times New Roman"/>
          <w:sz w:val="24"/>
          <w:szCs w:val="24"/>
        </w:rPr>
        <w:t xml:space="preserve"> Профиль безопасности кабозантиниба у детей и молодых взрослых во всех группах был одинаков</w:t>
      </w:r>
      <w:r w:rsidR="009E1B8E" w:rsidRPr="00DB638E">
        <w:rPr>
          <w:rFonts w:ascii="Times New Roman" w:hAnsi="Times New Roman"/>
          <w:sz w:val="24"/>
          <w:szCs w:val="24"/>
        </w:rPr>
        <w:t>о</w:t>
      </w:r>
      <w:r w:rsidRPr="00DB638E">
        <w:rPr>
          <w:rFonts w:ascii="Times New Roman" w:hAnsi="Times New Roman"/>
          <w:sz w:val="24"/>
          <w:szCs w:val="24"/>
        </w:rPr>
        <w:t xml:space="preserve"> сопоставим</w:t>
      </w:r>
      <w:r w:rsidR="009E1B8E" w:rsidRPr="00DB638E">
        <w:rPr>
          <w:rFonts w:ascii="Times New Roman" w:hAnsi="Times New Roman"/>
          <w:sz w:val="24"/>
          <w:szCs w:val="24"/>
        </w:rPr>
        <w:t>ым</w:t>
      </w:r>
      <w:r w:rsidRPr="00DB638E">
        <w:rPr>
          <w:rFonts w:ascii="Times New Roman" w:hAnsi="Times New Roman"/>
          <w:sz w:val="24"/>
          <w:szCs w:val="24"/>
        </w:rPr>
        <w:t xml:space="preserve"> с тем, что наблюдалось у взрослых, получавших кабозантиниб.</w:t>
      </w:r>
    </w:p>
    <w:p w14:paraId="5EAD7A59" w14:textId="22D82F70" w:rsidR="0038132A" w:rsidRPr="00DB638E" w:rsidRDefault="0038132A" w:rsidP="0038132A">
      <w:pPr>
        <w:spacing w:after="0" w:line="240" w:lineRule="auto"/>
        <w:jc w:val="both"/>
        <w:rPr>
          <w:rFonts w:ascii="Times New Roman" w:hAnsi="Times New Roman"/>
          <w:sz w:val="24"/>
          <w:szCs w:val="24"/>
        </w:rPr>
      </w:pPr>
      <w:r w:rsidRPr="00DB638E">
        <w:rPr>
          <w:rFonts w:ascii="Times New Roman" w:hAnsi="Times New Roman"/>
          <w:sz w:val="24"/>
          <w:szCs w:val="24"/>
        </w:rPr>
        <w:t xml:space="preserve">При лечении кабозантинибом у детей с открытыми пластинками роста </w:t>
      </w:r>
      <w:r w:rsidR="00DD7BC5" w:rsidRPr="00DB638E">
        <w:rPr>
          <w:rFonts w:ascii="Times New Roman" w:hAnsi="Times New Roman"/>
          <w:sz w:val="24"/>
          <w:szCs w:val="24"/>
        </w:rPr>
        <w:t xml:space="preserve">костей </w:t>
      </w:r>
      <w:r w:rsidRPr="00DB638E">
        <w:rPr>
          <w:rFonts w:ascii="Times New Roman" w:hAnsi="Times New Roman"/>
          <w:sz w:val="24"/>
          <w:szCs w:val="24"/>
        </w:rPr>
        <w:t>наблюдалось расширение кожных покровов.</w:t>
      </w:r>
    </w:p>
    <w:p w14:paraId="403B8E29" w14:textId="77777777" w:rsidR="00231A9A" w:rsidRPr="00DB638E" w:rsidRDefault="00231A9A" w:rsidP="0078568D">
      <w:pPr>
        <w:spacing w:after="0" w:line="240" w:lineRule="auto"/>
        <w:jc w:val="both"/>
        <w:rPr>
          <w:rFonts w:ascii="Times New Roman" w:hAnsi="Times New Roman"/>
          <w:sz w:val="24"/>
          <w:szCs w:val="24"/>
        </w:rPr>
      </w:pPr>
    </w:p>
    <w:p w14:paraId="47C98EF7" w14:textId="77777777" w:rsidR="00814DFC" w:rsidRPr="00DB638E" w:rsidRDefault="00814DFC" w:rsidP="0078568D">
      <w:pPr>
        <w:spacing w:after="0" w:line="240" w:lineRule="auto"/>
        <w:jc w:val="both"/>
        <w:rPr>
          <w:rFonts w:ascii="Times New Roman" w:hAnsi="Times New Roman"/>
          <w:b/>
          <w:sz w:val="24"/>
          <w:szCs w:val="24"/>
        </w:rPr>
      </w:pPr>
      <w:r w:rsidRPr="00DB638E">
        <w:rPr>
          <w:rFonts w:ascii="Times New Roman" w:hAnsi="Times New Roman"/>
          <w:b/>
          <w:sz w:val="24"/>
          <w:szCs w:val="24"/>
        </w:rPr>
        <w:t xml:space="preserve">Сообщение о подозреваемых нежелательных реакциях </w:t>
      </w:r>
    </w:p>
    <w:p w14:paraId="1A7E6BEE" w14:textId="77777777" w:rsidR="004528E1" w:rsidRPr="00DB638E" w:rsidRDefault="00814DFC" w:rsidP="0078568D">
      <w:pPr>
        <w:spacing w:after="0" w:line="240" w:lineRule="auto"/>
        <w:jc w:val="both"/>
        <w:rPr>
          <w:rFonts w:ascii="Times New Roman" w:hAnsi="Times New Roman"/>
          <w:sz w:val="24"/>
          <w:szCs w:val="24"/>
        </w:rPr>
      </w:pPr>
      <w:r w:rsidRPr="00DB638E">
        <w:rPr>
          <w:rFonts w:ascii="Times New Roman" w:hAnsi="Times New Roman"/>
          <w:sz w:val="24"/>
          <w:szCs w:val="24"/>
        </w:rPr>
        <w:t xml:space="preserve">Важно сообщать о подозреваемых нежелательных реакциях после регистрации </w:t>
      </w:r>
      <w:r w:rsidR="00F6012B" w:rsidRPr="00DB638E">
        <w:rPr>
          <w:rFonts w:ascii="Times New Roman" w:hAnsi="Times New Roman"/>
          <w:sz w:val="24"/>
          <w:szCs w:val="24"/>
        </w:rPr>
        <w:t>ЛП</w:t>
      </w:r>
      <w:r w:rsidRPr="00DB638E">
        <w:rPr>
          <w:rFonts w:ascii="Times New Roman" w:hAnsi="Times New Roman"/>
          <w:sz w:val="24"/>
          <w:szCs w:val="24"/>
        </w:rPr>
        <w:t xml:space="preserve"> с целью обеспечения непрерывного мониторинга соотношения «польза – риск» </w:t>
      </w:r>
      <w:r w:rsidR="00125232" w:rsidRPr="00DB638E">
        <w:rPr>
          <w:rFonts w:ascii="Times New Roman" w:hAnsi="Times New Roman"/>
          <w:sz w:val="24"/>
          <w:szCs w:val="24"/>
        </w:rPr>
        <w:t>ЛП</w:t>
      </w:r>
      <w:r w:rsidRPr="00DB638E">
        <w:rPr>
          <w:rFonts w:ascii="Times New Roman" w:hAnsi="Times New Roman"/>
          <w:sz w:val="24"/>
          <w:szCs w:val="24"/>
        </w:rPr>
        <w:t xml:space="preserve">. Медицинским работникам рекомендуется сообщать о любых подозреваемых нежелательных реакциях </w:t>
      </w:r>
      <w:r w:rsidR="00F6012B" w:rsidRPr="00DB638E">
        <w:rPr>
          <w:rFonts w:ascii="Times New Roman" w:hAnsi="Times New Roman"/>
          <w:sz w:val="24"/>
          <w:szCs w:val="24"/>
        </w:rPr>
        <w:t>ЛП</w:t>
      </w:r>
      <w:r w:rsidRPr="00DB638E">
        <w:rPr>
          <w:rFonts w:ascii="Times New Roman" w:hAnsi="Times New Roman"/>
          <w:sz w:val="24"/>
          <w:szCs w:val="24"/>
        </w:rPr>
        <w:t xml:space="preserve"> через национальную систему сообщения о нежелательных реакциях РК.</w:t>
      </w:r>
      <w:r w:rsidR="004528E1" w:rsidRPr="00DB638E">
        <w:rPr>
          <w:rFonts w:ascii="Times New Roman" w:hAnsi="Times New Roman"/>
          <w:sz w:val="24"/>
          <w:szCs w:val="24"/>
        </w:rPr>
        <w:t xml:space="preserve"> </w:t>
      </w:r>
    </w:p>
    <w:p w14:paraId="7EFF46E6" w14:textId="055F6488" w:rsidR="004528E1" w:rsidRPr="00DB638E" w:rsidRDefault="004528E1" w:rsidP="0078568D">
      <w:pPr>
        <w:spacing w:after="0" w:line="240" w:lineRule="auto"/>
        <w:jc w:val="both"/>
        <w:rPr>
          <w:rFonts w:ascii="Times New Roman" w:hAnsi="Times New Roman"/>
          <w:sz w:val="24"/>
          <w:szCs w:val="24"/>
        </w:rPr>
      </w:pPr>
      <w:r w:rsidRPr="00DB638E">
        <w:rPr>
          <w:rFonts w:ascii="Times New Roman" w:hAnsi="Times New Roman"/>
          <w:sz w:val="24"/>
          <w:szCs w:val="24"/>
        </w:rPr>
        <w:t>РГП на ПХВ «Национальный Центр экспертизы лекарственных средств и медицинских изделий» Комитет</w:t>
      </w:r>
      <w:r w:rsidR="00881BDD" w:rsidRPr="00DB638E">
        <w:rPr>
          <w:rFonts w:ascii="Times New Roman" w:hAnsi="Times New Roman"/>
          <w:sz w:val="24"/>
          <w:szCs w:val="24"/>
        </w:rPr>
        <w:t xml:space="preserve">а медицинского и фармацевтического контроля </w:t>
      </w:r>
      <w:r w:rsidRPr="00DB638E">
        <w:rPr>
          <w:rFonts w:ascii="Times New Roman" w:hAnsi="Times New Roman"/>
          <w:sz w:val="24"/>
          <w:szCs w:val="24"/>
        </w:rPr>
        <w:t>Министерства здравоохранения Республики Казахстан</w:t>
      </w:r>
    </w:p>
    <w:p w14:paraId="224FE3A9" w14:textId="77777777" w:rsidR="00814DFC" w:rsidRPr="00DB638E" w:rsidRDefault="00636BD0" w:rsidP="005B7F9D">
      <w:pPr>
        <w:tabs>
          <w:tab w:val="left" w:pos="3420"/>
        </w:tabs>
        <w:spacing w:after="0" w:line="240" w:lineRule="auto"/>
        <w:jc w:val="both"/>
        <w:rPr>
          <w:rFonts w:ascii="Times New Roman" w:hAnsi="Times New Roman"/>
          <w:sz w:val="24"/>
          <w:szCs w:val="24"/>
        </w:rPr>
      </w:pPr>
      <w:hyperlink r:id="rId8" w:history="1">
        <w:r w:rsidR="004528E1" w:rsidRPr="00DB638E">
          <w:rPr>
            <w:rStyle w:val="af"/>
            <w:rFonts w:ascii="Times New Roman" w:hAnsi="Times New Roman"/>
            <w:sz w:val="24"/>
            <w:szCs w:val="24"/>
            <w:lang w:val="en-US"/>
          </w:rPr>
          <w:t>http</w:t>
        </w:r>
        <w:r w:rsidR="004528E1" w:rsidRPr="00DB638E">
          <w:rPr>
            <w:rStyle w:val="af"/>
            <w:rFonts w:ascii="Times New Roman" w:hAnsi="Times New Roman"/>
            <w:sz w:val="24"/>
            <w:szCs w:val="24"/>
          </w:rPr>
          <w:t>://</w:t>
        </w:r>
        <w:r w:rsidR="004528E1" w:rsidRPr="00DB638E">
          <w:rPr>
            <w:rStyle w:val="af"/>
            <w:rFonts w:ascii="Times New Roman" w:hAnsi="Times New Roman"/>
            <w:sz w:val="24"/>
            <w:szCs w:val="24"/>
            <w:lang w:val="en-US"/>
          </w:rPr>
          <w:t>www</w:t>
        </w:r>
        <w:r w:rsidR="004528E1" w:rsidRPr="00DB638E">
          <w:rPr>
            <w:rStyle w:val="af"/>
            <w:rFonts w:ascii="Times New Roman" w:hAnsi="Times New Roman"/>
            <w:sz w:val="24"/>
            <w:szCs w:val="24"/>
          </w:rPr>
          <w:t>.</w:t>
        </w:r>
        <w:r w:rsidR="004528E1" w:rsidRPr="00DB638E">
          <w:rPr>
            <w:rStyle w:val="af"/>
            <w:rFonts w:ascii="Times New Roman" w:hAnsi="Times New Roman"/>
            <w:sz w:val="24"/>
            <w:szCs w:val="24"/>
            <w:lang w:val="en-US"/>
          </w:rPr>
          <w:t>ndda</w:t>
        </w:r>
        <w:r w:rsidR="004528E1" w:rsidRPr="00DB638E">
          <w:rPr>
            <w:rStyle w:val="af"/>
            <w:rFonts w:ascii="Times New Roman" w:hAnsi="Times New Roman"/>
            <w:sz w:val="24"/>
            <w:szCs w:val="24"/>
          </w:rPr>
          <w:t>.</w:t>
        </w:r>
        <w:r w:rsidR="004528E1" w:rsidRPr="00DB638E">
          <w:rPr>
            <w:rStyle w:val="af"/>
            <w:rFonts w:ascii="Times New Roman" w:hAnsi="Times New Roman"/>
            <w:sz w:val="24"/>
            <w:szCs w:val="24"/>
            <w:lang w:val="en-US"/>
          </w:rPr>
          <w:t>kz</w:t>
        </w:r>
      </w:hyperlink>
      <w:r w:rsidR="005B7F9D" w:rsidRPr="00DB638E">
        <w:rPr>
          <w:rFonts w:ascii="Times New Roman" w:hAnsi="Times New Roman"/>
          <w:sz w:val="24"/>
          <w:szCs w:val="24"/>
        </w:rPr>
        <w:tab/>
      </w:r>
    </w:p>
    <w:p w14:paraId="6DDD98D8" w14:textId="77777777" w:rsidR="00515826" w:rsidRPr="00DB638E" w:rsidRDefault="00515826" w:rsidP="0078568D">
      <w:pPr>
        <w:pStyle w:val="ac"/>
        <w:jc w:val="both"/>
        <w:rPr>
          <w:rFonts w:ascii="Times New Roman" w:eastAsia="Times New Roman" w:hAnsi="Times New Roman"/>
          <w:sz w:val="24"/>
          <w:szCs w:val="24"/>
          <w:lang w:eastAsia="ru-RU"/>
        </w:rPr>
      </w:pPr>
    </w:p>
    <w:p w14:paraId="693D7720" w14:textId="77777777" w:rsidR="00123DB5" w:rsidRPr="00DB638E" w:rsidRDefault="00123DB5" w:rsidP="0078568D">
      <w:pPr>
        <w:spacing w:after="0" w:line="240" w:lineRule="auto"/>
        <w:jc w:val="both"/>
        <w:rPr>
          <w:rFonts w:ascii="Times New Roman" w:hAnsi="Times New Roman"/>
          <w:color w:val="000000"/>
          <w:sz w:val="24"/>
          <w:szCs w:val="24"/>
        </w:rPr>
      </w:pPr>
      <w:r w:rsidRPr="00DB638E">
        <w:rPr>
          <w:rFonts w:ascii="Times New Roman" w:eastAsia="Times New Roman" w:hAnsi="Times New Roman"/>
          <w:b/>
          <w:sz w:val="24"/>
          <w:szCs w:val="24"/>
          <w:lang w:eastAsia="ru-RU"/>
        </w:rPr>
        <w:t>4.9 Передозировка</w:t>
      </w:r>
    </w:p>
    <w:p w14:paraId="760FECC0" w14:textId="77777777" w:rsidR="009E1B8E" w:rsidRPr="00DB638E" w:rsidRDefault="009E1B8E" w:rsidP="009E1B8E">
      <w:pPr>
        <w:autoSpaceDE w:val="0"/>
        <w:autoSpaceDN w:val="0"/>
        <w:adjustRightInd w:val="0"/>
        <w:spacing w:after="0" w:line="240" w:lineRule="auto"/>
        <w:jc w:val="both"/>
        <w:rPr>
          <w:rFonts w:ascii="Times New Roman" w:hAnsi="Times New Roman"/>
          <w:color w:val="000000"/>
          <w:sz w:val="24"/>
          <w:szCs w:val="24"/>
        </w:rPr>
      </w:pPr>
      <w:r w:rsidRPr="00DB638E">
        <w:rPr>
          <w:rFonts w:ascii="Times New Roman" w:hAnsi="Times New Roman"/>
          <w:color w:val="000000"/>
          <w:sz w:val="24"/>
          <w:szCs w:val="24"/>
        </w:rPr>
        <w:t>Специфического лечения при передозировке кабозантинибом не существует, и возможные симптомы передозировки не установлены.</w:t>
      </w:r>
    </w:p>
    <w:p w14:paraId="5BFA71B1" w14:textId="77777777" w:rsidR="009E1B8E" w:rsidRPr="00DB638E" w:rsidRDefault="009E1B8E" w:rsidP="009E1B8E">
      <w:pPr>
        <w:autoSpaceDE w:val="0"/>
        <w:autoSpaceDN w:val="0"/>
        <w:adjustRightInd w:val="0"/>
        <w:spacing w:after="0" w:line="240" w:lineRule="auto"/>
        <w:jc w:val="both"/>
        <w:rPr>
          <w:rFonts w:ascii="Times New Roman" w:hAnsi="Times New Roman"/>
          <w:color w:val="000000"/>
          <w:sz w:val="24"/>
          <w:szCs w:val="24"/>
        </w:rPr>
      </w:pPr>
      <w:r w:rsidRPr="00DB638E">
        <w:rPr>
          <w:rFonts w:ascii="Times New Roman" w:hAnsi="Times New Roman"/>
          <w:color w:val="000000"/>
          <w:sz w:val="24"/>
          <w:szCs w:val="24"/>
        </w:rPr>
        <w:t>В случае подозрения на передозировку следует приостановить прием кабозантиниба и назначить поддерживающую терапию.</w:t>
      </w:r>
    </w:p>
    <w:p w14:paraId="31E87B87" w14:textId="77777777" w:rsidR="00231A9A" w:rsidRPr="00DB638E" w:rsidRDefault="009E1B8E" w:rsidP="009E1B8E">
      <w:pPr>
        <w:autoSpaceDE w:val="0"/>
        <w:autoSpaceDN w:val="0"/>
        <w:adjustRightInd w:val="0"/>
        <w:spacing w:after="0" w:line="240" w:lineRule="auto"/>
        <w:jc w:val="both"/>
        <w:rPr>
          <w:rFonts w:ascii="Times New Roman" w:hAnsi="Times New Roman"/>
          <w:color w:val="000000"/>
          <w:sz w:val="24"/>
          <w:szCs w:val="24"/>
        </w:rPr>
      </w:pPr>
      <w:r w:rsidRPr="00DB638E">
        <w:rPr>
          <w:rFonts w:ascii="Times New Roman" w:hAnsi="Times New Roman"/>
          <w:color w:val="000000"/>
          <w:sz w:val="24"/>
          <w:szCs w:val="24"/>
        </w:rPr>
        <w:t xml:space="preserve">Метаболические клинико-лабораторные параметры следует контролировать не реже одного раза в неделю или, если это целесообразно, для оценки любых возможных </w:t>
      </w:r>
      <w:r w:rsidRPr="00DB638E">
        <w:rPr>
          <w:rFonts w:ascii="Times New Roman" w:hAnsi="Times New Roman"/>
          <w:color w:val="000000"/>
          <w:sz w:val="24"/>
          <w:szCs w:val="24"/>
        </w:rPr>
        <w:lastRenderedPageBreak/>
        <w:t>тенденций изменения. Побочные реакции, связанные с передозировкой, следует лечить симптоматически.</w:t>
      </w:r>
    </w:p>
    <w:p w14:paraId="3ED7B6EB" w14:textId="77777777" w:rsidR="009E1B8E" w:rsidRPr="00DB638E" w:rsidRDefault="009E1B8E" w:rsidP="009E1B8E">
      <w:pPr>
        <w:autoSpaceDE w:val="0"/>
        <w:autoSpaceDN w:val="0"/>
        <w:adjustRightInd w:val="0"/>
        <w:spacing w:after="0" w:line="240" w:lineRule="auto"/>
        <w:jc w:val="both"/>
        <w:rPr>
          <w:rFonts w:ascii="Times New Roman" w:hAnsi="Times New Roman"/>
          <w:b/>
          <w:sz w:val="24"/>
          <w:szCs w:val="24"/>
          <w:lang w:eastAsia="ru-RU"/>
        </w:rPr>
      </w:pPr>
    </w:p>
    <w:p w14:paraId="74913D25" w14:textId="77777777" w:rsidR="00C153F2" w:rsidRPr="00DB638E"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DB638E">
        <w:rPr>
          <w:rFonts w:ascii="Times New Roman" w:hAnsi="Times New Roman"/>
          <w:b/>
          <w:sz w:val="24"/>
          <w:szCs w:val="24"/>
          <w:lang w:eastAsia="ru-RU"/>
        </w:rPr>
        <w:t xml:space="preserve">5. </w:t>
      </w:r>
      <w:r w:rsidRPr="00DB638E">
        <w:rPr>
          <w:rFonts w:ascii="Times New Roman" w:eastAsia="TimesNewRomanPSMT" w:hAnsi="Times New Roman"/>
          <w:b/>
          <w:sz w:val="24"/>
          <w:szCs w:val="24"/>
          <w:lang w:eastAsia="ru-RU"/>
        </w:rPr>
        <w:t>ФАРМАКОЛОГИЧЕСКИЕ СВОЙСТВА</w:t>
      </w:r>
    </w:p>
    <w:p w14:paraId="02E3A43D" w14:textId="77777777" w:rsidR="00C153F2" w:rsidRPr="00DB638E"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DB638E">
        <w:rPr>
          <w:rFonts w:ascii="Times New Roman" w:hAnsi="Times New Roman"/>
          <w:b/>
          <w:sz w:val="24"/>
          <w:szCs w:val="24"/>
          <w:lang w:eastAsia="ru-RU"/>
        </w:rPr>
        <w:t>5.1</w:t>
      </w:r>
      <w:r w:rsidR="00C153F2" w:rsidRPr="00DB638E">
        <w:rPr>
          <w:rFonts w:ascii="Times New Roman" w:hAnsi="Times New Roman"/>
          <w:b/>
          <w:sz w:val="24"/>
          <w:szCs w:val="24"/>
          <w:lang w:eastAsia="ru-RU"/>
        </w:rPr>
        <w:t xml:space="preserve"> </w:t>
      </w:r>
      <w:r w:rsidR="00C153F2" w:rsidRPr="00DB638E">
        <w:rPr>
          <w:rFonts w:ascii="Times New Roman" w:eastAsia="TimesNewRomanPSMT" w:hAnsi="Times New Roman"/>
          <w:b/>
          <w:sz w:val="24"/>
          <w:szCs w:val="24"/>
          <w:lang w:eastAsia="ru-RU"/>
        </w:rPr>
        <w:t>Фармакодинамические свойства</w:t>
      </w:r>
    </w:p>
    <w:p w14:paraId="72206BEF" w14:textId="2900A46D" w:rsidR="00231A9A" w:rsidRPr="00DB638E" w:rsidRDefault="00231A9A" w:rsidP="00716F47">
      <w:pPr>
        <w:autoSpaceDE w:val="0"/>
        <w:autoSpaceDN w:val="0"/>
        <w:adjustRightInd w:val="0"/>
        <w:spacing w:after="0" w:line="240" w:lineRule="auto"/>
        <w:jc w:val="both"/>
        <w:rPr>
          <w:rFonts w:ascii="Times New Roman" w:eastAsia="TimesNewRomanPSMT" w:hAnsi="Times New Roman"/>
          <w:sz w:val="24"/>
          <w:szCs w:val="24"/>
          <w:lang w:eastAsia="ru-RU"/>
        </w:rPr>
      </w:pPr>
      <w:r w:rsidRPr="00DB638E">
        <w:rPr>
          <w:rFonts w:ascii="Times New Roman" w:eastAsia="TimesNewRomanPSMT" w:hAnsi="Times New Roman"/>
          <w:b/>
          <w:bCs/>
          <w:sz w:val="24"/>
          <w:szCs w:val="24"/>
          <w:lang w:eastAsia="ru-RU"/>
        </w:rPr>
        <w:t>Фармакотерапевтическая группа:</w:t>
      </w:r>
      <w:r w:rsidRPr="00DB638E">
        <w:rPr>
          <w:rFonts w:ascii="Times New Roman" w:eastAsia="TimesNewRomanPSMT" w:hAnsi="Times New Roman"/>
          <w:sz w:val="24"/>
          <w:szCs w:val="24"/>
          <w:lang w:eastAsia="ru-RU"/>
        </w:rPr>
        <w:t xml:space="preserve"> </w:t>
      </w:r>
      <w:r w:rsidR="00716F47" w:rsidRPr="00DB638E">
        <w:rPr>
          <w:rFonts w:ascii="Times New Roman" w:eastAsia="TimesNewRomanPSMT" w:hAnsi="Times New Roman"/>
          <w:sz w:val="24"/>
          <w:szCs w:val="24"/>
          <w:lang w:eastAsia="ru-RU"/>
        </w:rPr>
        <w:t>Антинеопластические и иммуномодулирующие препараты. Антинеопластические препараты. Протеинкиназы ингибиторы. Протеинкиназы ингибиторы другие. Кабозантиниб.</w:t>
      </w:r>
    </w:p>
    <w:p w14:paraId="60D99D5F" w14:textId="26058157" w:rsidR="00231A9A" w:rsidRPr="00DB638E" w:rsidRDefault="00231A9A" w:rsidP="00231A9A">
      <w:pPr>
        <w:autoSpaceDE w:val="0"/>
        <w:autoSpaceDN w:val="0"/>
        <w:adjustRightInd w:val="0"/>
        <w:spacing w:after="0" w:line="240" w:lineRule="auto"/>
        <w:jc w:val="both"/>
        <w:rPr>
          <w:rFonts w:ascii="Times New Roman" w:eastAsia="TimesNewRomanPSMT" w:hAnsi="Times New Roman"/>
          <w:sz w:val="24"/>
          <w:szCs w:val="24"/>
          <w:lang w:eastAsia="ru-RU"/>
        </w:rPr>
      </w:pPr>
      <w:r w:rsidRPr="00DB638E">
        <w:rPr>
          <w:rFonts w:ascii="Times New Roman" w:eastAsia="TimesNewRomanPSMT" w:hAnsi="Times New Roman"/>
          <w:sz w:val="24"/>
          <w:szCs w:val="24"/>
          <w:lang w:eastAsia="ru-RU"/>
        </w:rPr>
        <w:t xml:space="preserve">Код АТX </w:t>
      </w:r>
      <w:r w:rsidR="005F76A0" w:rsidRPr="00DB638E">
        <w:rPr>
          <w:rFonts w:ascii="Times New Roman" w:eastAsia="TimesNewRomanPSMT" w:hAnsi="Times New Roman"/>
          <w:sz w:val="24"/>
          <w:szCs w:val="24"/>
          <w:lang w:eastAsia="ru-RU"/>
        </w:rPr>
        <w:t>L01ЕХ07</w:t>
      </w:r>
    </w:p>
    <w:p w14:paraId="1777257F" w14:textId="77777777" w:rsidR="00231A9A" w:rsidRPr="00DB638E" w:rsidRDefault="00231A9A" w:rsidP="00231A9A">
      <w:pPr>
        <w:spacing w:after="0" w:line="240" w:lineRule="auto"/>
        <w:jc w:val="both"/>
        <w:rPr>
          <w:rFonts w:ascii="Times New Roman" w:hAnsi="Times New Roman"/>
          <w:sz w:val="24"/>
          <w:szCs w:val="24"/>
          <w:u w:val="single"/>
        </w:rPr>
      </w:pPr>
      <w:r w:rsidRPr="00DB638E">
        <w:rPr>
          <w:rFonts w:ascii="Times New Roman" w:hAnsi="Times New Roman"/>
          <w:sz w:val="24"/>
          <w:szCs w:val="24"/>
          <w:u w:val="single"/>
        </w:rPr>
        <w:t>Механизм действия</w:t>
      </w:r>
    </w:p>
    <w:p w14:paraId="50E646C3"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Кабозантиниб представляет собой небольшую молекулу, которая ингибирует множественные рецепторные тирозинкиназы, вовлеченные в рост опухоли и ангиогенез, ремоделирование костной ткани, лекарственную устойчивость и метастазирование. Кабозантиниб оценивали по его ингибирующей активности против целого ряда киназ и идентифицировали как ингибитор рецепторов МЕТ (белок-рецептор фактора роста гепатоцитов) и VEGF (фактор роста эндотелия сосудов). Кроме того, кабозантиниб ингибирует другие тирозинкиназы, включая рецептор GAS6 (AXL), RET, ROS1, TYRO3, MER, рецептор фактора роста стволовых клеток (KIT), TRKB, Fms-подобную тирозинкиназу-3 (FLT3) и TIE-2.</w:t>
      </w:r>
    </w:p>
    <w:p w14:paraId="2D358793" w14:textId="77777777" w:rsidR="00231A9A" w:rsidRPr="00DB638E" w:rsidRDefault="00231A9A" w:rsidP="00231A9A">
      <w:pPr>
        <w:spacing w:after="0" w:line="240" w:lineRule="auto"/>
        <w:jc w:val="both"/>
        <w:rPr>
          <w:rFonts w:ascii="Times New Roman" w:hAnsi="Times New Roman"/>
          <w:sz w:val="24"/>
          <w:szCs w:val="24"/>
          <w:u w:val="single"/>
        </w:rPr>
      </w:pPr>
      <w:r w:rsidRPr="00DB638E">
        <w:rPr>
          <w:rFonts w:ascii="Times New Roman" w:hAnsi="Times New Roman"/>
          <w:sz w:val="24"/>
          <w:szCs w:val="24"/>
          <w:u w:val="single"/>
        </w:rPr>
        <w:t>Фармакодинамические эффекты</w:t>
      </w:r>
    </w:p>
    <w:p w14:paraId="799ED8FB"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В доклинических исследованиях кабозантиниб показал дозозависимое ингибирование роста опухоли, регрессию опухоли и/или ингибирование метастазирования на значительном количестве моделей опухолей.</w:t>
      </w:r>
    </w:p>
    <w:p w14:paraId="5DF7196E" w14:textId="77777777" w:rsidR="00231A9A" w:rsidRPr="00DB638E" w:rsidRDefault="00231A9A" w:rsidP="00231A9A">
      <w:pPr>
        <w:spacing w:after="0" w:line="240" w:lineRule="auto"/>
        <w:jc w:val="both"/>
        <w:rPr>
          <w:rFonts w:ascii="Times New Roman" w:hAnsi="Times New Roman"/>
          <w:sz w:val="24"/>
          <w:szCs w:val="24"/>
          <w:u w:val="single"/>
        </w:rPr>
      </w:pPr>
      <w:r w:rsidRPr="00DB638E">
        <w:rPr>
          <w:rFonts w:ascii="Times New Roman" w:hAnsi="Times New Roman"/>
          <w:sz w:val="24"/>
          <w:szCs w:val="24"/>
          <w:u w:val="single"/>
        </w:rPr>
        <w:t>Кардиоэлектрофизиология</w:t>
      </w:r>
    </w:p>
    <w:p w14:paraId="6B9781BA" w14:textId="3DC1A454"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Увеличение от исходного уровня в интервале QT с корректировкой Фридериция (QTcF) на 10-15 мс на 29-й день (но не на 1-й день) после начала лечения кабозантинибом (в дозе 140 мг </w:t>
      </w:r>
      <w:r w:rsidR="00344935" w:rsidRPr="00DB638E">
        <w:rPr>
          <w:rFonts w:ascii="Times New Roman" w:hAnsi="Times New Roman"/>
          <w:sz w:val="24"/>
          <w:szCs w:val="24"/>
        </w:rPr>
        <w:t>один раз в день</w:t>
      </w:r>
      <w:r w:rsidRPr="00DB638E">
        <w:rPr>
          <w:rFonts w:ascii="Times New Roman" w:hAnsi="Times New Roman"/>
          <w:sz w:val="24"/>
          <w:szCs w:val="24"/>
        </w:rPr>
        <w:t>) наблюдалось в контролируемом клиническом исследовании у пациентов с медуллярным раком щитовидной железы. Этот эффект не был связан с изменением морфологии сердечного сигнала или новых ритмов. Никакие пациенты, получавшие кабозантиниб, в этом исследовании не имели подтвержденного QTcF&gt; 500 мс, также как любые пациенты с почечно-клеточным раком</w:t>
      </w:r>
      <w:r w:rsidR="004D4B9E" w:rsidRPr="00DB638E">
        <w:rPr>
          <w:rFonts w:ascii="Times New Roman" w:hAnsi="Times New Roman"/>
          <w:sz w:val="24"/>
          <w:szCs w:val="24"/>
        </w:rPr>
        <w:t xml:space="preserve"> и печеночно клеточным раком</w:t>
      </w:r>
      <w:r w:rsidRPr="00DB638E">
        <w:rPr>
          <w:rFonts w:ascii="Times New Roman" w:hAnsi="Times New Roman"/>
          <w:sz w:val="24"/>
          <w:szCs w:val="24"/>
        </w:rPr>
        <w:t>, принимающие кабозантиниб, в исследованиях (в дозе 60 мг).</w:t>
      </w:r>
    </w:p>
    <w:p w14:paraId="2E58A492" w14:textId="77777777" w:rsidR="00231A9A" w:rsidRPr="00DB638E" w:rsidRDefault="00231A9A" w:rsidP="00231A9A">
      <w:pPr>
        <w:spacing w:after="0" w:line="240" w:lineRule="auto"/>
        <w:jc w:val="both"/>
        <w:rPr>
          <w:rFonts w:ascii="Times New Roman" w:hAnsi="Times New Roman"/>
          <w:sz w:val="24"/>
          <w:szCs w:val="24"/>
          <w:u w:val="single"/>
        </w:rPr>
      </w:pPr>
      <w:r w:rsidRPr="00DB638E">
        <w:rPr>
          <w:rFonts w:ascii="Times New Roman" w:hAnsi="Times New Roman"/>
          <w:sz w:val="24"/>
          <w:szCs w:val="24"/>
          <w:u w:val="single"/>
        </w:rPr>
        <w:t>Клиническая эффективность и безопасность</w:t>
      </w:r>
    </w:p>
    <w:p w14:paraId="19AE5360" w14:textId="77777777" w:rsidR="00231A9A" w:rsidRPr="00DB638E" w:rsidRDefault="00231A9A" w:rsidP="00231A9A">
      <w:pPr>
        <w:spacing w:after="0" w:line="240" w:lineRule="auto"/>
        <w:jc w:val="both"/>
        <w:rPr>
          <w:rFonts w:ascii="Times New Roman" w:hAnsi="Times New Roman"/>
          <w:i/>
          <w:sz w:val="24"/>
          <w:szCs w:val="24"/>
        </w:rPr>
      </w:pPr>
      <w:r w:rsidRPr="00DB638E">
        <w:rPr>
          <w:rFonts w:ascii="Times New Roman" w:hAnsi="Times New Roman"/>
          <w:i/>
          <w:sz w:val="24"/>
          <w:szCs w:val="24"/>
        </w:rPr>
        <w:t>Почечно-клеточный рак</w:t>
      </w:r>
    </w:p>
    <w:p w14:paraId="4FC157A6" w14:textId="20EA1C2A" w:rsidR="00231A9A" w:rsidRPr="00DB638E" w:rsidRDefault="00FB5189" w:rsidP="00231A9A">
      <w:pPr>
        <w:spacing w:after="0" w:line="240" w:lineRule="auto"/>
        <w:jc w:val="both"/>
        <w:rPr>
          <w:rFonts w:ascii="Times New Roman" w:hAnsi="Times New Roman"/>
          <w:i/>
          <w:sz w:val="24"/>
          <w:szCs w:val="24"/>
        </w:rPr>
      </w:pPr>
      <w:r w:rsidRPr="00DB638E">
        <w:rPr>
          <w:rFonts w:ascii="Times New Roman" w:hAnsi="Times New Roman"/>
          <w:i/>
          <w:sz w:val="24"/>
          <w:szCs w:val="24"/>
        </w:rPr>
        <w:t xml:space="preserve">Рандомизированное </w:t>
      </w:r>
      <w:r w:rsidR="00231A9A" w:rsidRPr="00DB638E">
        <w:rPr>
          <w:rFonts w:ascii="Times New Roman" w:hAnsi="Times New Roman"/>
          <w:i/>
          <w:sz w:val="24"/>
          <w:szCs w:val="24"/>
        </w:rPr>
        <w:t xml:space="preserve">исследование с участием пациентов с </w:t>
      </w:r>
      <w:r w:rsidRPr="00DB638E">
        <w:rPr>
          <w:rFonts w:ascii="Times New Roman" w:hAnsi="Times New Roman"/>
          <w:i/>
          <w:sz w:val="24"/>
          <w:szCs w:val="24"/>
        </w:rPr>
        <w:t xml:space="preserve">почечно-клеточным раком </w:t>
      </w:r>
      <w:r w:rsidR="00231A9A" w:rsidRPr="00DB638E">
        <w:rPr>
          <w:rFonts w:ascii="Times New Roman" w:hAnsi="Times New Roman"/>
          <w:i/>
          <w:sz w:val="24"/>
          <w:szCs w:val="24"/>
        </w:rPr>
        <w:t>после предшествующей таргетной терапии эндотелиальным фактором роста сосудов (VEGF) (METEOR).</w:t>
      </w:r>
    </w:p>
    <w:p w14:paraId="474C69F9" w14:textId="3A932FAB"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Безопасность и эффективность </w:t>
      </w:r>
      <w:r w:rsidR="009E1B8E" w:rsidRPr="00DB638E">
        <w:rPr>
          <w:rFonts w:ascii="Times New Roman" w:hAnsi="Times New Roman"/>
          <w:sz w:val="24"/>
          <w:szCs w:val="24"/>
        </w:rPr>
        <w:t>кабозантиниба</w:t>
      </w:r>
      <w:r w:rsidRPr="00DB638E">
        <w:rPr>
          <w:rFonts w:ascii="Times New Roman" w:hAnsi="Times New Roman"/>
          <w:sz w:val="24"/>
          <w:szCs w:val="24"/>
        </w:rPr>
        <w:t xml:space="preserve"> </w:t>
      </w:r>
      <w:r w:rsidR="009E1B8E" w:rsidRPr="00DB638E">
        <w:rPr>
          <w:rFonts w:ascii="Times New Roman" w:hAnsi="Times New Roman"/>
          <w:sz w:val="24"/>
          <w:szCs w:val="24"/>
        </w:rPr>
        <w:t>при</w:t>
      </w:r>
      <w:r w:rsidRPr="00DB638E">
        <w:rPr>
          <w:rFonts w:ascii="Times New Roman" w:hAnsi="Times New Roman"/>
          <w:sz w:val="24"/>
          <w:szCs w:val="24"/>
        </w:rPr>
        <w:t xml:space="preserve"> лечени</w:t>
      </w:r>
      <w:r w:rsidR="009E1B8E" w:rsidRPr="00DB638E">
        <w:rPr>
          <w:rFonts w:ascii="Times New Roman" w:hAnsi="Times New Roman"/>
          <w:sz w:val="24"/>
          <w:szCs w:val="24"/>
        </w:rPr>
        <w:t>и</w:t>
      </w:r>
      <w:r w:rsidRPr="00DB638E">
        <w:rPr>
          <w:rFonts w:ascii="Times New Roman" w:hAnsi="Times New Roman"/>
          <w:sz w:val="24"/>
          <w:szCs w:val="24"/>
        </w:rPr>
        <w:t xml:space="preserve"> почечно-клеточного рака после предшествующей таргетной терапии эндотелиальным фактором роста (VEGF) оценивали в рандомизированном многоцентровом исследовании фазы 3 (METEOR). Пациенты (N = 658) с распространенным почечно-клеточным раком </w:t>
      </w:r>
      <w:bookmarkStart w:id="121" w:name="_Hlk517955863"/>
      <w:r w:rsidRPr="00DB638E">
        <w:rPr>
          <w:rFonts w:ascii="Times New Roman" w:hAnsi="Times New Roman"/>
          <w:sz w:val="24"/>
          <w:szCs w:val="24"/>
        </w:rPr>
        <w:t>с компонентом паренхиматозной клетки новообразований</w:t>
      </w:r>
      <w:bookmarkEnd w:id="121"/>
      <w:r w:rsidRPr="00DB638E">
        <w:rPr>
          <w:rFonts w:ascii="Times New Roman" w:hAnsi="Times New Roman"/>
          <w:sz w:val="24"/>
          <w:szCs w:val="24"/>
        </w:rPr>
        <w:t xml:space="preserve">, которые ранее принимали по меньшей мере 1 предшествующий ингибитор VEGF рецепторной тирозинкиназы (VEGFR TKI), были рандомизированы (1: 1), чтобы получать </w:t>
      </w:r>
      <w:r w:rsidR="009E1B8E" w:rsidRPr="00DB638E">
        <w:rPr>
          <w:rFonts w:ascii="Times New Roman" w:hAnsi="Times New Roman"/>
          <w:sz w:val="24"/>
          <w:szCs w:val="24"/>
        </w:rPr>
        <w:t>кабозантиниб</w:t>
      </w:r>
      <w:r w:rsidRPr="00DB638E">
        <w:rPr>
          <w:rFonts w:ascii="Times New Roman" w:hAnsi="Times New Roman"/>
          <w:sz w:val="24"/>
          <w:szCs w:val="24"/>
        </w:rPr>
        <w:t xml:space="preserve"> (N = 330) или эверолимус (N = 328). Пациенты могли получать другое предшествующее лечение, включая VEGF-таргетные цитокины и антитела, запрограммированный рецептор смерти 1 (PD-1) или его лиганды. </w:t>
      </w:r>
      <w:r w:rsidR="00D93997" w:rsidRPr="00DB638E">
        <w:rPr>
          <w:rFonts w:ascii="Times New Roman" w:hAnsi="Times New Roman"/>
          <w:sz w:val="24"/>
          <w:szCs w:val="24"/>
        </w:rPr>
        <w:t xml:space="preserve">К участию были допущены пациенты с пролеченными метастазами в головной мозг. </w:t>
      </w:r>
      <w:r w:rsidRPr="00DB638E">
        <w:rPr>
          <w:rFonts w:ascii="Times New Roman" w:hAnsi="Times New Roman"/>
          <w:sz w:val="24"/>
          <w:szCs w:val="24"/>
        </w:rPr>
        <w:t>Выживаемость без прогрессирования заболевания (</w:t>
      </w:r>
      <w:r w:rsidR="009D7CE0" w:rsidRPr="00DB638E">
        <w:rPr>
          <w:rFonts w:ascii="Times New Roman" w:hAnsi="Times New Roman"/>
          <w:sz w:val="24"/>
          <w:szCs w:val="24"/>
        </w:rPr>
        <w:t>ВБПЗ</w:t>
      </w:r>
      <w:r w:rsidRPr="00DB638E">
        <w:rPr>
          <w:rFonts w:ascii="Times New Roman" w:hAnsi="Times New Roman"/>
          <w:sz w:val="24"/>
          <w:szCs w:val="24"/>
        </w:rPr>
        <w:t xml:space="preserve">) оценивалась с помощью </w:t>
      </w:r>
      <w:r w:rsidR="009E1B8E" w:rsidRPr="00DB638E">
        <w:rPr>
          <w:rFonts w:ascii="Times New Roman" w:hAnsi="Times New Roman"/>
          <w:sz w:val="24"/>
          <w:szCs w:val="24"/>
        </w:rPr>
        <w:t>слепого</w:t>
      </w:r>
      <w:r w:rsidRPr="00DB638E">
        <w:rPr>
          <w:rFonts w:ascii="Times New Roman" w:hAnsi="Times New Roman"/>
          <w:sz w:val="24"/>
          <w:szCs w:val="24"/>
        </w:rPr>
        <w:t xml:space="preserve"> независимого радиологического наблюдательного комитета, а первичный анализ проводился среди первых 375 рандомизированных пациентов. Вторичными конечными точками эффективности были частота объективного ответа </w:t>
      </w:r>
      <w:r w:rsidRPr="00DB638E">
        <w:rPr>
          <w:rFonts w:ascii="Times New Roman" w:hAnsi="Times New Roman"/>
          <w:sz w:val="24"/>
          <w:szCs w:val="24"/>
        </w:rPr>
        <w:lastRenderedPageBreak/>
        <w:t>(</w:t>
      </w:r>
      <w:r w:rsidR="00D93997" w:rsidRPr="00DB638E">
        <w:rPr>
          <w:rFonts w:ascii="Times New Roman" w:hAnsi="Times New Roman"/>
          <w:sz w:val="24"/>
          <w:szCs w:val="24"/>
        </w:rPr>
        <w:t>ЧОО</w:t>
      </w:r>
      <w:r w:rsidRPr="00DB638E">
        <w:rPr>
          <w:rFonts w:ascii="Times New Roman" w:hAnsi="Times New Roman"/>
          <w:sz w:val="24"/>
          <w:szCs w:val="24"/>
        </w:rPr>
        <w:t>) и общая выживаемость (</w:t>
      </w:r>
      <w:r w:rsidR="00D93997" w:rsidRPr="00DB638E">
        <w:rPr>
          <w:rFonts w:ascii="Times New Roman" w:hAnsi="Times New Roman"/>
          <w:sz w:val="24"/>
          <w:szCs w:val="24"/>
        </w:rPr>
        <w:t>ОВ</w:t>
      </w:r>
      <w:r w:rsidRPr="00DB638E">
        <w:rPr>
          <w:rFonts w:ascii="Times New Roman" w:hAnsi="Times New Roman"/>
          <w:sz w:val="24"/>
          <w:szCs w:val="24"/>
        </w:rPr>
        <w:t>). Оценки опухолей проводились каждые 8 недель в течение первых 12 месяцев, затем каждые 12 недель после этого.</w:t>
      </w:r>
    </w:p>
    <w:p w14:paraId="598A5A29" w14:textId="1E5F3C10"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Демографические исходные данные и характеристики заболевания были схожими между группами </w:t>
      </w:r>
      <w:r w:rsidR="00915BD5" w:rsidRPr="00DB638E">
        <w:rPr>
          <w:rFonts w:ascii="Times New Roman" w:hAnsi="Times New Roman"/>
          <w:sz w:val="24"/>
          <w:szCs w:val="24"/>
        </w:rPr>
        <w:t>кабозантиниба</w:t>
      </w:r>
      <w:r w:rsidRPr="00DB638E">
        <w:rPr>
          <w:rFonts w:ascii="Times New Roman" w:hAnsi="Times New Roman"/>
          <w:sz w:val="24"/>
          <w:szCs w:val="24"/>
        </w:rPr>
        <w:t xml:space="preserve"> и эверолимус</w:t>
      </w:r>
      <w:r w:rsidR="00915BD5" w:rsidRPr="00DB638E">
        <w:rPr>
          <w:rFonts w:ascii="Times New Roman" w:hAnsi="Times New Roman"/>
          <w:sz w:val="24"/>
          <w:szCs w:val="24"/>
        </w:rPr>
        <w:t>а</w:t>
      </w:r>
      <w:r w:rsidRPr="00DB638E">
        <w:rPr>
          <w:rFonts w:ascii="Times New Roman" w:hAnsi="Times New Roman"/>
          <w:sz w:val="24"/>
          <w:szCs w:val="24"/>
        </w:rPr>
        <w:t xml:space="preserve">. Большинство пациентов были мужчинами (75%), средний возраст которых составлял 62 года. Семьдесят один процент (71%) получили только один предшествующий VEGFR TKI; 41% пациентов получали сунитиниб в качестве единственного предшественника VEGFR TKI. Согласно критериям Мемориального онкологического центра Слоана-Кеттеринга, критерии для категории прогноза риска, 46% были благоприятными (0 факторов риска), 42% были промежуточными (1 фактор риска), а 13% были высокими (2 или 3 фактора риска). У </w:t>
      </w:r>
      <w:r w:rsidR="00D93997" w:rsidRPr="00DB638E">
        <w:rPr>
          <w:rFonts w:ascii="Times New Roman" w:hAnsi="Times New Roman"/>
          <w:sz w:val="24"/>
          <w:szCs w:val="24"/>
        </w:rPr>
        <w:t xml:space="preserve">пятидесяти четырех процентов </w:t>
      </w:r>
      <w:r w:rsidRPr="00DB638E">
        <w:rPr>
          <w:rFonts w:ascii="Times New Roman" w:hAnsi="Times New Roman"/>
          <w:sz w:val="24"/>
          <w:szCs w:val="24"/>
        </w:rPr>
        <w:t xml:space="preserve">(54%) пациентов было 3 или более органа с метастатическим заболеванием, включая легкие (63%), лимфатические узлы (62%), печень (29%) и кости (22%). Средняя продолжительность лечения составила 7,6 месяца (диапазон 0,3 - 20,5) для пациентов, получавших </w:t>
      </w:r>
      <w:r w:rsidR="00915BD5" w:rsidRPr="00DB638E">
        <w:rPr>
          <w:rFonts w:ascii="Times New Roman" w:hAnsi="Times New Roman"/>
          <w:sz w:val="24"/>
          <w:szCs w:val="24"/>
        </w:rPr>
        <w:t>кабозантиниб</w:t>
      </w:r>
      <w:r w:rsidRPr="00DB638E">
        <w:rPr>
          <w:rFonts w:ascii="Times New Roman" w:hAnsi="Times New Roman"/>
          <w:sz w:val="24"/>
          <w:szCs w:val="24"/>
        </w:rPr>
        <w:t xml:space="preserve"> и 4,4 месяца (диапазон 0,21-18,9) для пациентов, получавших эверолимус.</w:t>
      </w:r>
    </w:p>
    <w:p w14:paraId="2BB1B588" w14:textId="3801C6F3"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Статистически значимое улучшение </w:t>
      </w:r>
      <w:r w:rsidR="003057D9" w:rsidRPr="00DB638E">
        <w:rPr>
          <w:rFonts w:ascii="Times New Roman" w:hAnsi="Times New Roman"/>
          <w:sz w:val="24"/>
          <w:szCs w:val="24"/>
        </w:rPr>
        <w:t>ВБП</w:t>
      </w:r>
      <w:r w:rsidRPr="00DB638E">
        <w:rPr>
          <w:rFonts w:ascii="Times New Roman" w:hAnsi="Times New Roman"/>
          <w:sz w:val="24"/>
          <w:szCs w:val="24"/>
        </w:rPr>
        <w:t xml:space="preserve"> было продемонстрировано у </w:t>
      </w:r>
      <w:r w:rsidR="00915BD5" w:rsidRPr="00DB638E">
        <w:rPr>
          <w:rFonts w:ascii="Times New Roman" w:hAnsi="Times New Roman"/>
          <w:sz w:val="24"/>
          <w:szCs w:val="24"/>
        </w:rPr>
        <w:t>кабозантиниба</w:t>
      </w:r>
      <w:r w:rsidRPr="00DB638E">
        <w:rPr>
          <w:rFonts w:ascii="Times New Roman" w:hAnsi="Times New Roman"/>
          <w:sz w:val="24"/>
          <w:szCs w:val="24"/>
        </w:rPr>
        <w:t xml:space="preserve"> по сравнению с эверолимусом (Рис. 1 и Таблица 4). Запланированный промежуточный анализ </w:t>
      </w:r>
      <w:r w:rsidR="00D93997" w:rsidRPr="00DB638E">
        <w:rPr>
          <w:rFonts w:ascii="Times New Roman" w:hAnsi="Times New Roman"/>
          <w:sz w:val="24"/>
          <w:szCs w:val="24"/>
        </w:rPr>
        <w:t>ОВ</w:t>
      </w:r>
      <w:r w:rsidRPr="00DB638E">
        <w:rPr>
          <w:rFonts w:ascii="Times New Roman" w:hAnsi="Times New Roman"/>
          <w:sz w:val="24"/>
          <w:szCs w:val="24"/>
        </w:rPr>
        <w:t xml:space="preserve"> проводился во время анализа </w:t>
      </w:r>
      <w:r w:rsidR="009D7CE0" w:rsidRPr="00DB638E">
        <w:rPr>
          <w:rFonts w:ascii="Times New Roman" w:hAnsi="Times New Roman"/>
          <w:sz w:val="24"/>
          <w:szCs w:val="24"/>
        </w:rPr>
        <w:t>ВБП</w:t>
      </w:r>
      <w:r w:rsidRPr="00DB638E">
        <w:rPr>
          <w:rFonts w:ascii="Times New Roman" w:hAnsi="Times New Roman"/>
          <w:sz w:val="24"/>
          <w:szCs w:val="24"/>
        </w:rPr>
        <w:t xml:space="preserve"> и не достигал промежуточной границы для статистической значимости (202 события, </w:t>
      </w:r>
      <w:r w:rsidR="002F1924" w:rsidRPr="00DB638E">
        <w:rPr>
          <w:rFonts w:ascii="Times New Roman" w:hAnsi="Times New Roman"/>
          <w:sz w:val="24"/>
          <w:szCs w:val="24"/>
        </w:rPr>
        <w:t>ОР</w:t>
      </w:r>
      <w:r w:rsidRPr="00DB638E">
        <w:rPr>
          <w:rFonts w:ascii="Times New Roman" w:hAnsi="Times New Roman"/>
          <w:sz w:val="24"/>
          <w:szCs w:val="24"/>
        </w:rPr>
        <w:t xml:space="preserve"> = 0,68 [0,51, 0,90], p = 0,006). В последующем незапланированном промежуточном анализе </w:t>
      </w:r>
      <w:r w:rsidR="00495C7E" w:rsidRPr="00DB638E">
        <w:rPr>
          <w:rFonts w:ascii="Times New Roman" w:hAnsi="Times New Roman"/>
          <w:sz w:val="24"/>
          <w:szCs w:val="24"/>
        </w:rPr>
        <w:t xml:space="preserve">ОВ </w:t>
      </w:r>
      <w:r w:rsidRPr="00DB638E">
        <w:rPr>
          <w:rFonts w:ascii="Times New Roman" w:hAnsi="Times New Roman"/>
          <w:sz w:val="24"/>
          <w:szCs w:val="24"/>
        </w:rPr>
        <w:t xml:space="preserve">было продемонстрировано статистически значимое улучшение для рандомизированных пациентов, принимающих </w:t>
      </w:r>
      <w:r w:rsidR="00915BD5" w:rsidRPr="00DB638E">
        <w:rPr>
          <w:rFonts w:ascii="Times New Roman" w:hAnsi="Times New Roman"/>
          <w:sz w:val="24"/>
          <w:szCs w:val="24"/>
        </w:rPr>
        <w:t>кабозантиниб</w:t>
      </w:r>
      <w:r w:rsidRPr="00DB638E">
        <w:rPr>
          <w:rFonts w:ascii="Times New Roman" w:hAnsi="Times New Roman"/>
          <w:sz w:val="24"/>
          <w:szCs w:val="24"/>
        </w:rPr>
        <w:t xml:space="preserve">, по сравнению с эверолимусом (320 случаев, медиана 21,4 месяца против 16,5 месяцев, </w:t>
      </w:r>
      <w:r w:rsidR="002F1924" w:rsidRPr="00DB638E">
        <w:rPr>
          <w:rFonts w:ascii="Times New Roman" w:hAnsi="Times New Roman"/>
          <w:sz w:val="24"/>
          <w:szCs w:val="24"/>
        </w:rPr>
        <w:t>ОР</w:t>
      </w:r>
      <w:r w:rsidRPr="00DB638E">
        <w:rPr>
          <w:rFonts w:ascii="Times New Roman" w:hAnsi="Times New Roman"/>
          <w:sz w:val="24"/>
          <w:szCs w:val="24"/>
        </w:rPr>
        <w:t xml:space="preserve"> = 0,66 [0,53, 0,83], p = 0,0003; Рис. 2). Сравнимые результаты для </w:t>
      </w:r>
      <w:r w:rsidR="00495C7E" w:rsidRPr="00DB638E">
        <w:rPr>
          <w:rFonts w:ascii="Times New Roman" w:hAnsi="Times New Roman"/>
          <w:sz w:val="24"/>
          <w:szCs w:val="24"/>
        </w:rPr>
        <w:t xml:space="preserve">ОВ </w:t>
      </w:r>
      <w:r w:rsidRPr="00DB638E">
        <w:rPr>
          <w:rFonts w:ascii="Times New Roman" w:hAnsi="Times New Roman"/>
          <w:sz w:val="24"/>
          <w:szCs w:val="24"/>
        </w:rPr>
        <w:t>наблюдались с последующим анализом (описательным) при 430 событиях.</w:t>
      </w:r>
    </w:p>
    <w:p w14:paraId="5B8DE5B1" w14:textId="024A88B8"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Исследовательский анализ </w:t>
      </w:r>
      <w:r w:rsidR="009D7CE0" w:rsidRPr="00DB638E">
        <w:rPr>
          <w:rFonts w:ascii="Times New Roman" w:hAnsi="Times New Roman"/>
          <w:sz w:val="24"/>
          <w:szCs w:val="24"/>
        </w:rPr>
        <w:t xml:space="preserve">ВБП </w:t>
      </w:r>
      <w:r w:rsidRPr="00DB638E">
        <w:rPr>
          <w:rFonts w:ascii="Times New Roman" w:hAnsi="Times New Roman"/>
          <w:sz w:val="24"/>
          <w:szCs w:val="24"/>
        </w:rPr>
        <w:t xml:space="preserve">и </w:t>
      </w:r>
      <w:r w:rsidR="009D7CE0" w:rsidRPr="00DB638E">
        <w:rPr>
          <w:rFonts w:ascii="Times New Roman" w:hAnsi="Times New Roman"/>
          <w:sz w:val="24"/>
          <w:szCs w:val="24"/>
        </w:rPr>
        <w:t xml:space="preserve">ОВ </w:t>
      </w:r>
      <w:r w:rsidRPr="00DB638E">
        <w:rPr>
          <w:rFonts w:ascii="Times New Roman" w:hAnsi="Times New Roman"/>
          <w:sz w:val="24"/>
          <w:szCs w:val="24"/>
        </w:rPr>
        <w:t xml:space="preserve">в ITT </w:t>
      </w:r>
      <w:r w:rsidR="008A6AA2" w:rsidRPr="00DB638E">
        <w:rPr>
          <w:rFonts w:ascii="Times New Roman" w:hAnsi="Times New Roman"/>
          <w:sz w:val="24"/>
          <w:szCs w:val="24"/>
        </w:rPr>
        <w:t xml:space="preserve">популяции </w:t>
      </w:r>
      <w:r w:rsidRPr="00DB638E">
        <w:rPr>
          <w:rFonts w:ascii="Times New Roman" w:hAnsi="Times New Roman"/>
          <w:sz w:val="24"/>
          <w:szCs w:val="24"/>
        </w:rPr>
        <w:t xml:space="preserve">также показал согласованные результаты в пользу </w:t>
      </w:r>
      <w:r w:rsidR="004A4981" w:rsidRPr="00DB638E">
        <w:rPr>
          <w:rFonts w:ascii="Times New Roman" w:hAnsi="Times New Roman"/>
          <w:sz w:val="24"/>
          <w:szCs w:val="24"/>
        </w:rPr>
        <w:t>кабозантиниба</w:t>
      </w:r>
      <w:r w:rsidRPr="00DB638E">
        <w:rPr>
          <w:rFonts w:ascii="Times New Roman" w:hAnsi="Times New Roman"/>
          <w:sz w:val="24"/>
          <w:szCs w:val="24"/>
        </w:rPr>
        <w:t xml:space="preserve"> по сравнению с эверолимусом в разных подгруппах в зависимости от возраста (&lt;65 против ≥65), пола, группы риска MSKCC (благоприятный, средний, высокий), статуса  ECOG (0 против 1), времени от постановки диагноза до рандомизации (&lt;1 года против ≥1 года), MET статуса опухоли (высокий по сравнению с низким и неизвестным), метастаз в кости (отсутствие или наличие), висцеральных метастаз (отсутствие по сравнению с присутствием), висцеральных и костных метастаз (отсутствие по сравнению с наличием)), количества предшествующих VEGFR-TKI (1 против ≥2), длительности первой терапии VEGFR-TKI (≤6 месяцев против&gt; 6 месяцев).</w:t>
      </w:r>
    </w:p>
    <w:p w14:paraId="6DB1957C"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Описание частоты объективного ответа приведены в Таблице 5.</w:t>
      </w:r>
    </w:p>
    <w:p w14:paraId="50C09C40" w14:textId="77777777" w:rsidR="009E1B8E" w:rsidRPr="00DB638E" w:rsidRDefault="009E1B8E" w:rsidP="00231A9A">
      <w:pPr>
        <w:spacing w:after="0" w:line="240" w:lineRule="auto"/>
        <w:jc w:val="both"/>
        <w:rPr>
          <w:rFonts w:ascii="Times New Roman" w:hAnsi="Times New Roman"/>
          <w:sz w:val="24"/>
          <w:szCs w:val="24"/>
        </w:rPr>
      </w:pPr>
    </w:p>
    <w:p w14:paraId="083713CD" w14:textId="663ECEAD" w:rsidR="00231A9A" w:rsidRPr="00DB638E" w:rsidRDefault="00231A9A" w:rsidP="00231A9A">
      <w:pPr>
        <w:spacing w:after="0" w:line="240" w:lineRule="auto"/>
        <w:jc w:val="both"/>
        <w:rPr>
          <w:rFonts w:ascii="Times New Roman" w:hAnsi="Times New Roman"/>
          <w:b/>
          <w:sz w:val="24"/>
          <w:szCs w:val="24"/>
        </w:rPr>
      </w:pPr>
      <w:bookmarkStart w:id="122" w:name="_Hlk517954849"/>
      <w:r w:rsidRPr="00DB638E">
        <w:rPr>
          <w:rFonts w:ascii="Times New Roman" w:hAnsi="Times New Roman"/>
          <w:b/>
          <w:sz w:val="24"/>
          <w:szCs w:val="24"/>
        </w:rPr>
        <w:t xml:space="preserve">Рис. 1: Кривая Каплана Мейера </w:t>
      </w:r>
      <w:r w:rsidR="00DD6F2B" w:rsidRPr="00DB638E">
        <w:rPr>
          <w:rFonts w:ascii="Times New Roman" w:hAnsi="Times New Roman"/>
          <w:b/>
          <w:sz w:val="24"/>
          <w:szCs w:val="24"/>
        </w:rPr>
        <w:t>при</w:t>
      </w:r>
      <w:r w:rsidRPr="00DB638E">
        <w:rPr>
          <w:rFonts w:ascii="Times New Roman" w:hAnsi="Times New Roman"/>
          <w:b/>
          <w:sz w:val="24"/>
          <w:szCs w:val="24"/>
        </w:rPr>
        <w:t xml:space="preserve"> выживаемости без прогрессирования с помощью обзора независимого радиологического комитета, у пациентов с почечно-клеточным раком после предшествующей терапии эндотелиальным фактором роста сосудов (VEGF) (первые 375 пациентов рандомизированы)</w:t>
      </w:r>
      <w:r w:rsidR="00915BD5" w:rsidRPr="00DB638E">
        <w:rPr>
          <w:rFonts w:ascii="Times New Roman" w:hAnsi="Times New Roman"/>
          <w:b/>
          <w:sz w:val="24"/>
          <w:szCs w:val="24"/>
        </w:rPr>
        <w:t xml:space="preserve"> (METEOR)</w:t>
      </w:r>
    </w:p>
    <w:bookmarkEnd w:id="122"/>
    <w:p w14:paraId="43FF5D10" w14:textId="77777777" w:rsidR="00231A9A" w:rsidRPr="00DB638E" w:rsidRDefault="00231A9A" w:rsidP="00231A9A">
      <w:pPr>
        <w:spacing w:after="0" w:line="240" w:lineRule="auto"/>
        <w:rPr>
          <w:rFonts w:ascii="Times New Roman" w:hAnsi="Times New Roman"/>
          <w:sz w:val="24"/>
          <w:szCs w:val="24"/>
        </w:rPr>
      </w:pPr>
    </w:p>
    <w:p w14:paraId="36A2147E" w14:textId="6BC86F49" w:rsidR="00231A9A" w:rsidRPr="00DB638E" w:rsidRDefault="00BA3091" w:rsidP="00231A9A">
      <w:pPr>
        <w:spacing w:after="0" w:line="240" w:lineRule="auto"/>
        <w:rPr>
          <w:rFonts w:ascii="Times New Roman" w:hAnsi="Times New Roman"/>
          <w:sz w:val="24"/>
          <w:szCs w:val="24"/>
        </w:rPr>
      </w:pPr>
      <w:r w:rsidRPr="00DB638E">
        <w:rPr>
          <w:noProof/>
          <w:sz w:val="24"/>
          <w:szCs w:val="24"/>
        </w:rPr>
        <w:lastRenderedPageBreak/>
        <mc:AlternateContent>
          <mc:Choice Requires="wps">
            <w:drawing>
              <wp:anchor distT="0" distB="0" distL="114300" distR="114300" simplePos="0" relativeHeight="251648000" behindDoc="0" locked="0" layoutInCell="1" allowOverlap="1" wp14:anchorId="0993C3FC" wp14:editId="52BB0555">
                <wp:simplePos x="0" y="0"/>
                <wp:positionH relativeFrom="column">
                  <wp:posOffset>1343025</wp:posOffset>
                </wp:positionH>
                <wp:positionV relativeFrom="paragraph">
                  <wp:posOffset>1749425</wp:posOffset>
                </wp:positionV>
                <wp:extent cx="861060" cy="325120"/>
                <wp:effectExtent l="0" t="0" r="0" b="0"/>
                <wp:wrapNone/>
                <wp:docPr id="22"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25120"/>
                        </a:xfrm>
                        <a:prstGeom prst="rect">
                          <a:avLst/>
                        </a:prstGeom>
                        <a:noFill/>
                        <a:ln>
                          <a:noFill/>
                        </a:ln>
                      </wps:spPr>
                      <wps:txbx>
                        <w:txbxContent>
                          <w:p w14:paraId="02834067" w14:textId="77777777" w:rsidR="00231A9A" w:rsidRPr="00DD6F2B" w:rsidRDefault="00441EA4" w:rsidP="00441EA4">
                            <w:pPr>
                              <w:spacing w:after="0" w:line="240" w:lineRule="auto"/>
                              <w:rPr>
                                <w:rFonts w:ascii="Times New Roman" w:hAnsi="Times New Roman"/>
                                <w:sz w:val="16"/>
                                <w:szCs w:val="20"/>
                              </w:rPr>
                            </w:pPr>
                            <w:r w:rsidRPr="00DD6F2B">
                              <w:rPr>
                                <w:rFonts w:ascii="Times New Roman" w:hAnsi="Times New Roman"/>
                                <w:sz w:val="16"/>
                                <w:szCs w:val="20"/>
                              </w:rPr>
                              <w:t>Кабозантиниб</w:t>
                            </w:r>
                          </w:p>
                          <w:p w14:paraId="004A68AB" w14:textId="77777777" w:rsidR="00441EA4" w:rsidRPr="00DD6F2B" w:rsidRDefault="00441EA4" w:rsidP="00441EA4">
                            <w:pPr>
                              <w:spacing w:after="0" w:line="240" w:lineRule="auto"/>
                              <w:rPr>
                                <w:rFonts w:ascii="Times New Roman" w:hAnsi="Times New Roman"/>
                                <w:sz w:val="16"/>
                                <w:szCs w:val="20"/>
                              </w:rPr>
                            </w:pPr>
                            <w:r w:rsidRPr="00DD6F2B">
                              <w:rPr>
                                <w:rFonts w:ascii="Times New Roman" w:hAnsi="Times New Roman"/>
                                <w:sz w:val="16"/>
                                <w:szCs w:val="20"/>
                              </w:rPr>
                              <w:t>Эверолимус</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93C3FC" id="_x0000_t202" coordsize="21600,21600" o:spt="202" path="m,l,21600r21600,l21600,xe">
                <v:stroke joinstyle="miter"/>
                <v:path gradientshapeok="t" o:connecttype="rect"/>
              </v:shapetype>
              <v:shape id="Надпись 7" o:spid="_x0000_s1026" type="#_x0000_t202" style="position:absolute;margin-left:105.75pt;margin-top:137.75pt;width:67.8pt;height:25.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" filled="f" stroked="f">
                <v:textbox style="mso-fit-shape-to-text:t">
                  <w:txbxContent>
                    <w:p w14:paraId="02834067" w14:textId="77777777" w:rsidR="00231A9A" w:rsidRPr="00DD6F2B" w:rsidRDefault="00441EA4" w:rsidP="00441EA4">
                      <w:pPr>
                        <w:spacing w:after="0" w:line="240" w:lineRule="auto"/>
                        <w:rPr>
                          <w:rFonts w:ascii="Times New Roman" w:hAnsi="Times New Roman"/>
                          <w:sz w:val="16"/>
                          <w:szCs w:val="20"/>
                        </w:rPr>
                      </w:pPr>
                      <w:r w:rsidRPr="00DD6F2B">
                        <w:rPr>
                          <w:rFonts w:ascii="Times New Roman" w:hAnsi="Times New Roman"/>
                          <w:sz w:val="16"/>
                          <w:szCs w:val="20"/>
                        </w:rPr>
                        <w:t>Кабозантиниб</w:t>
                      </w:r>
                    </w:p>
                    <w:p w14:paraId="004A68AB" w14:textId="77777777" w:rsidR="00441EA4" w:rsidRPr="00DD6F2B" w:rsidRDefault="00441EA4" w:rsidP="00441EA4">
                      <w:pPr>
                        <w:spacing w:after="0" w:line="240" w:lineRule="auto"/>
                        <w:rPr>
                          <w:rFonts w:ascii="Times New Roman" w:hAnsi="Times New Roman"/>
                          <w:sz w:val="16"/>
                          <w:szCs w:val="20"/>
                        </w:rPr>
                      </w:pPr>
                      <w:r w:rsidRPr="00DD6F2B">
                        <w:rPr>
                          <w:rFonts w:ascii="Times New Roman" w:hAnsi="Times New Roman"/>
                          <w:sz w:val="16"/>
                          <w:szCs w:val="20"/>
                        </w:rPr>
                        <w:t>Эверолимус</w:t>
                      </w:r>
                    </w:p>
                  </w:txbxContent>
                </v:textbox>
              </v:shape>
            </w:pict>
          </mc:Fallback>
        </mc:AlternateContent>
      </w:r>
      <w:r w:rsidRPr="00DB638E">
        <w:rPr>
          <w:noProof/>
          <w:sz w:val="24"/>
          <w:szCs w:val="24"/>
        </w:rPr>
        <mc:AlternateContent>
          <mc:Choice Requires="wps">
            <w:drawing>
              <wp:anchor distT="0" distB="0" distL="114300" distR="114300" simplePos="0" relativeHeight="251646976" behindDoc="0" locked="0" layoutInCell="1" allowOverlap="1" wp14:anchorId="04D24E8D" wp14:editId="25B4C4A7">
                <wp:simplePos x="0" y="0"/>
                <wp:positionH relativeFrom="column">
                  <wp:posOffset>-621030</wp:posOffset>
                </wp:positionH>
                <wp:positionV relativeFrom="paragraph">
                  <wp:posOffset>986790</wp:posOffset>
                </wp:positionV>
                <wp:extent cx="2362200" cy="391795"/>
                <wp:effectExtent l="909320" t="0" r="890270" b="0"/>
                <wp:wrapNone/>
                <wp:docPr id="2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2200" cy="391795"/>
                        </a:xfrm>
                        <a:prstGeom prst="rect">
                          <a:avLst/>
                        </a:prstGeom>
                        <a:noFill/>
                        <a:ln>
                          <a:noFill/>
                        </a:ln>
                      </wps:spPr>
                      <wps:txbx>
                        <w:txbxContent>
                          <w:p w14:paraId="68483440" w14:textId="77777777" w:rsidR="00231A9A" w:rsidRPr="00DD6F2B" w:rsidRDefault="00231A9A" w:rsidP="00441EA4">
                            <w:pPr>
                              <w:spacing w:after="0" w:line="240" w:lineRule="auto"/>
                              <w:jc w:val="center"/>
                              <w:rPr>
                                <w:rFonts w:ascii="Times New Roman" w:hAnsi="Times New Roman"/>
                                <w:b/>
                                <w:sz w:val="20"/>
                              </w:rPr>
                            </w:pPr>
                            <w:r w:rsidRPr="00DD6F2B">
                              <w:rPr>
                                <w:rFonts w:ascii="Times New Roman" w:hAnsi="Times New Roman"/>
                                <w:b/>
                                <w:sz w:val="20"/>
                              </w:rPr>
                              <w:t>Вероятность выживаемости без прогрессирования заболевания</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D24E8D" id="Надпись 6" o:spid="_x0000_s1027" type="#_x0000_t202" style="position:absolute;margin-left:-48.9pt;margin-top:77.7pt;width:186pt;height:30.85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" filled="f" stroked="f">
                <v:textbox style="layout-flow:vertical;mso-layout-flow-alt:bottom-to-top;mso-fit-shape-to-text:t">
                  <w:txbxContent>
                    <w:p w14:paraId="68483440" w14:textId="77777777" w:rsidR="00231A9A" w:rsidRPr="00DD6F2B" w:rsidRDefault="00231A9A" w:rsidP="00441EA4">
                      <w:pPr>
                        <w:spacing w:after="0" w:line="240" w:lineRule="auto"/>
                        <w:jc w:val="center"/>
                        <w:rPr>
                          <w:rFonts w:ascii="Times New Roman" w:hAnsi="Times New Roman"/>
                          <w:b/>
                          <w:sz w:val="20"/>
                        </w:rPr>
                      </w:pPr>
                      <w:r w:rsidRPr="00DD6F2B">
                        <w:rPr>
                          <w:rFonts w:ascii="Times New Roman" w:hAnsi="Times New Roman"/>
                          <w:b/>
                          <w:sz w:val="20"/>
                        </w:rPr>
                        <w:t>Вероятность выживаемости без прогрессирования заболевания</w:t>
                      </w:r>
                    </w:p>
                  </w:txbxContent>
                </v:textbox>
              </v:shape>
            </w:pict>
          </mc:Fallback>
        </mc:AlternateContent>
      </w:r>
      <w:r w:rsidRPr="00DB638E">
        <w:rPr>
          <w:rFonts w:ascii="Times New Roman" w:eastAsia="Times New Roman" w:hAnsi="Times New Roman"/>
          <w:noProof/>
          <w:sz w:val="24"/>
          <w:szCs w:val="24"/>
          <w:lang w:eastAsia="ru-RU"/>
        </w:rPr>
        <w:drawing>
          <wp:inline distT="0" distB="0" distL="0" distR="0" wp14:anchorId="3E42536D" wp14:editId="67860EB0">
            <wp:extent cx="5364480" cy="249936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t="5676" b="19595"/>
                    <a:stretch>
                      <a:fillRect/>
                    </a:stretch>
                  </pic:blipFill>
                  <pic:spPr bwMode="auto">
                    <a:xfrm>
                      <a:off x="0" y="0"/>
                      <a:ext cx="5364480" cy="2499360"/>
                    </a:xfrm>
                    <a:prstGeom prst="rect">
                      <a:avLst/>
                    </a:prstGeom>
                    <a:noFill/>
                    <a:ln>
                      <a:noFill/>
                    </a:ln>
                  </pic:spPr>
                </pic:pic>
              </a:graphicData>
            </a:graphic>
          </wp:inline>
        </w:drawing>
      </w:r>
    </w:p>
    <w:p w14:paraId="02F8EBE9" w14:textId="77777777" w:rsidR="00343720" w:rsidRPr="00DB638E" w:rsidRDefault="00343720" w:rsidP="00343720">
      <w:pPr>
        <w:tabs>
          <w:tab w:val="left" w:pos="5835"/>
        </w:tabs>
        <w:spacing w:after="0" w:line="240" w:lineRule="auto"/>
        <w:jc w:val="center"/>
        <w:rPr>
          <w:rFonts w:ascii="Times New Roman" w:hAnsi="Times New Roman"/>
          <w:b/>
          <w:sz w:val="20"/>
          <w:szCs w:val="20"/>
        </w:rPr>
      </w:pPr>
      <w:r w:rsidRPr="00DB638E">
        <w:rPr>
          <w:rFonts w:ascii="Times New Roman" w:hAnsi="Times New Roman"/>
          <w:b/>
          <w:sz w:val="20"/>
          <w:szCs w:val="20"/>
        </w:rPr>
        <w:t>Месяцы</w:t>
      </w:r>
    </w:p>
    <w:p w14:paraId="227EFDB9" w14:textId="77777777" w:rsidR="00441EA4" w:rsidRPr="00DB638E" w:rsidRDefault="00441EA4" w:rsidP="00231A9A">
      <w:pPr>
        <w:tabs>
          <w:tab w:val="left" w:pos="5835"/>
        </w:tabs>
        <w:spacing w:after="0" w:line="240" w:lineRule="auto"/>
        <w:rPr>
          <w:rFonts w:ascii="Times New Roman" w:hAnsi="Times New Roman"/>
          <w:b/>
          <w:sz w:val="20"/>
          <w:szCs w:val="20"/>
        </w:rPr>
      </w:pPr>
      <w:r w:rsidRPr="00DB638E">
        <w:rPr>
          <w:rFonts w:ascii="Times New Roman" w:hAnsi="Times New Roman"/>
          <w:b/>
          <w:sz w:val="20"/>
          <w:szCs w:val="20"/>
        </w:rPr>
        <w:t>Число в риске</w:t>
      </w:r>
    </w:p>
    <w:tbl>
      <w:tblPr>
        <w:tblW w:w="5000" w:type="pct"/>
        <w:tblLook w:val="04A0" w:firstRow="1" w:lastRow="0" w:firstColumn="1" w:lastColumn="0" w:noHBand="0" w:noVBand="1"/>
      </w:tblPr>
      <w:tblGrid>
        <w:gridCol w:w="1572"/>
        <w:gridCol w:w="1080"/>
        <w:gridCol w:w="1079"/>
        <w:gridCol w:w="1072"/>
        <w:gridCol w:w="1072"/>
        <w:gridCol w:w="1072"/>
        <w:gridCol w:w="1063"/>
        <w:gridCol w:w="1061"/>
      </w:tblGrid>
      <w:tr w:rsidR="00441EA4" w:rsidRPr="00DB638E" w14:paraId="3E381706" w14:textId="77777777" w:rsidTr="003C21BB">
        <w:tc>
          <w:tcPr>
            <w:tcW w:w="866" w:type="pct"/>
            <w:shd w:val="clear" w:color="auto" w:fill="auto"/>
          </w:tcPr>
          <w:p w14:paraId="7CD85EE6" w14:textId="77777777" w:rsidR="00441EA4" w:rsidRPr="00DB638E" w:rsidRDefault="00441EA4"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Кабозантиниб</w:t>
            </w:r>
          </w:p>
        </w:tc>
        <w:tc>
          <w:tcPr>
            <w:tcW w:w="595" w:type="pct"/>
            <w:shd w:val="clear" w:color="auto" w:fill="auto"/>
          </w:tcPr>
          <w:p w14:paraId="13BD9358" w14:textId="77777777" w:rsidR="00441EA4" w:rsidRPr="00DB638E" w:rsidRDefault="00441EA4"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187</w:t>
            </w:r>
          </w:p>
        </w:tc>
        <w:tc>
          <w:tcPr>
            <w:tcW w:w="595" w:type="pct"/>
            <w:shd w:val="clear" w:color="auto" w:fill="auto"/>
          </w:tcPr>
          <w:p w14:paraId="6ACA5F1F" w14:textId="77777777" w:rsidR="00441EA4" w:rsidRPr="00DB638E" w:rsidRDefault="00441EA4"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152</w:t>
            </w:r>
          </w:p>
        </w:tc>
        <w:tc>
          <w:tcPr>
            <w:tcW w:w="591" w:type="pct"/>
            <w:shd w:val="clear" w:color="auto" w:fill="auto"/>
          </w:tcPr>
          <w:p w14:paraId="70B02564" w14:textId="77777777" w:rsidR="00441EA4" w:rsidRPr="00DB638E" w:rsidRDefault="00441EA4"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92</w:t>
            </w:r>
          </w:p>
        </w:tc>
        <w:tc>
          <w:tcPr>
            <w:tcW w:w="591" w:type="pct"/>
            <w:shd w:val="clear" w:color="auto" w:fill="auto"/>
          </w:tcPr>
          <w:p w14:paraId="3097545B" w14:textId="77777777" w:rsidR="00441EA4" w:rsidRPr="00DB638E" w:rsidRDefault="00441EA4"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68</w:t>
            </w:r>
          </w:p>
        </w:tc>
        <w:tc>
          <w:tcPr>
            <w:tcW w:w="591" w:type="pct"/>
            <w:shd w:val="clear" w:color="auto" w:fill="auto"/>
          </w:tcPr>
          <w:p w14:paraId="388BF79B" w14:textId="77777777" w:rsidR="00441EA4" w:rsidRPr="00DB638E" w:rsidRDefault="00441EA4"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20</w:t>
            </w:r>
          </w:p>
        </w:tc>
        <w:tc>
          <w:tcPr>
            <w:tcW w:w="586" w:type="pct"/>
            <w:shd w:val="clear" w:color="auto" w:fill="auto"/>
          </w:tcPr>
          <w:p w14:paraId="6CA6D943" w14:textId="77777777" w:rsidR="00441EA4" w:rsidRPr="00DB638E" w:rsidRDefault="00441EA4"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6</w:t>
            </w:r>
          </w:p>
        </w:tc>
        <w:tc>
          <w:tcPr>
            <w:tcW w:w="586" w:type="pct"/>
            <w:shd w:val="clear" w:color="auto" w:fill="auto"/>
          </w:tcPr>
          <w:p w14:paraId="57E9C504" w14:textId="77777777" w:rsidR="00441EA4" w:rsidRPr="00DB638E" w:rsidRDefault="00441EA4"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w:t>
            </w:r>
          </w:p>
        </w:tc>
      </w:tr>
      <w:tr w:rsidR="00441EA4" w:rsidRPr="00DB638E" w14:paraId="712963E3" w14:textId="77777777" w:rsidTr="003C21BB">
        <w:tc>
          <w:tcPr>
            <w:tcW w:w="866" w:type="pct"/>
            <w:shd w:val="clear" w:color="auto" w:fill="auto"/>
          </w:tcPr>
          <w:p w14:paraId="08D82297" w14:textId="77777777" w:rsidR="00441EA4" w:rsidRPr="00DB638E" w:rsidRDefault="00441EA4"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Эверолимус</w:t>
            </w:r>
          </w:p>
        </w:tc>
        <w:tc>
          <w:tcPr>
            <w:tcW w:w="595" w:type="pct"/>
            <w:shd w:val="clear" w:color="auto" w:fill="auto"/>
          </w:tcPr>
          <w:p w14:paraId="66B3B36D" w14:textId="77777777" w:rsidR="00441EA4" w:rsidRPr="00DB638E" w:rsidRDefault="00441EA4"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188</w:t>
            </w:r>
          </w:p>
        </w:tc>
        <w:tc>
          <w:tcPr>
            <w:tcW w:w="595" w:type="pct"/>
            <w:shd w:val="clear" w:color="auto" w:fill="auto"/>
          </w:tcPr>
          <w:p w14:paraId="16F73BC2" w14:textId="77777777" w:rsidR="00441EA4"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99</w:t>
            </w:r>
          </w:p>
        </w:tc>
        <w:tc>
          <w:tcPr>
            <w:tcW w:w="591" w:type="pct"/>
            <w:shd w:val="clear" w:color="auto" w:fill="auto"/>
          </w:tcPr>
          <w:p w14:paraId="25BC4F2E" w14:textId="77777777" w:rsidR="00441EA4"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46</w:t>
            </w:r>
          </w:p>
        </w:tc>
        <w:tc>
          <w:tcPr>
            <w:tcW w:w="591" w:type="pct"/>
            <w:shd w:val="clear" w:color="auto" w:fill="auto"/>
          </w:tcPr>
          <w:p w14:paraId="4436590C" w14:textId="77777777" w:rsidR="00441EA4"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29</w:t>
            </w:r>
          </w:p>
        </w:tc>
        <w:tc>
          <w:tcPr>
            <w:tcW w:w="591" w:type="pct"/>
            <w:shd w:val="clear" w:color="auto" w:fill="auto"/>
          </w:tcPr>
          <w:p w14:paraId="74030A2E" w14:textId="77777777" w:rsidR="00441EA4"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10</w:t>
            </w:r>
          </w:p>
        </w:tc>
        <w:tc>
          <w:tcPr>
            <w:tcW w:w="586" w:type="pct"/>
            <w:shd w:val="clear" w:color="auto" w:fill="auto"/>
          </w:tcPr>
          <w:p w14:paraId="33AA8B56" w14:textId="77777777" w:rsidR="00441EA4"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w:t>
            </w:r>
          </w:p>
        </w:tc>
        <w:tc>
          <w:tcPr>
            <w:tcW w:w="586" w:type="pct"/>
            <w:shd w:val="clear" w:color="auto" w:fill="auto"/>
          </w:tcPr>
          <w:p w14:paraId="30B02933" w14:textId="77777777" w:rsidR="00441EA4"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0</w:t>
            </w:r>
          </w:p>
        </w:tc>
      </w:tr>
    </w:tbl>
    <w:p w14:paraId="5BE9FDEA" w14:textId="77777777" w:rsidR="00441EA4" w:rsidRPr="00DB638E" w:rsidRDefault="00441EA4" w:rsidP="00231A9A">
      <w:pPr>
        <w:tabs>
          <w:tab w:val="left" w:pos="5835"/>
        </w:tabs>
        <w:spacing w:after="0" w:line="240" w:lineRule="auto"/>
        <w:rPr>
          <w:rFonts w:ascii="Times New Roman" w:hAnsi="Times New Roman"/>
          <w:b/>
          <w:sz w:val="24"/>
          <w:szCs w:val="24"/>
        </w:rPr>
      </w:pPr>
    </w:p>
    <w:p w14:paraId="3ABEDCFD" w14:textId="737E1D34" w:rsidR="00231A9A" w:rsidRPr="00DB638E" w:rsidRDefault="00231A9A" w:rsidP="00343720">
      <w:pPr>
        <w:tabs>
          <w:tab w:val="left" w:pos="5835"/>
        </w:tabs>
        <w:spacing w:after="0" w:line="240" w:lineRule="auto"/>
        <w:jc w:val="both"/>
        <w:rPr>
          <w:rFonts w:ascii="Times New Roman" w:hAnsi="Times New Roman"/>
          <w:b/>
          <w:sz w:val="24"/>
          <w:szCs w:val="24"/>
        </w:rPr>
      </w:pPr>
      <w:r w:rsidRPr="00DB638E">
        <w:rPr>
          <w:rFonts w:ascii="Times New Roman" w:hAnsi="Times New Roman"/>
          <w:b/>
          <w:sz w:val="24"/>
          <w:szCs w:val="24"/>
        </w:rPr>
        <w:t xml:space="preserve">Таблица 4: Резюме результатов </w:t>
      </w:r>
      <w:r w:rsidR="00915BD5" w:rsidRPr="00DB638E">
        <w:rPr>
          <w:rFonts w:ascii="Times New Roman" w:hAnsi="Times New Roman"/>
          <w:b/>
          <w:sz w:val="24"/>
          <w:szCs w:val="24"/>
        </w:rPr>
        <w:t>ВБП</w:t>
      </w:r>
      <w:r w:rsidR="00284413" w:rsidRPr="00DB638E">
        <w:rPr>
          <w:rFonts w:ascii="Times New Roman" w:hAnsi="Times New Roman"/>
          <w:b/>
          <w:sz w:val="24"/>
          <w:szCs w:val="24"/>
        </w:rPr>
        <w:t>З</w:t>
      </w:r>
      <w:r w:rsidRPr="00DB638E">
        <w:rPr>
          <w:rFonts w:ascii="Times New Roman" w:hAnsi="Times New Roman"/>
          <w:b/>
          <w:sz w:val="24"/>
          <w:szCs w:val="24"/>
        </w:rPr>
        <w:t xml:space="preserve"> с помощью обзора независимого радиологического комитета</w:t>
      </w:r>
      <w:r w:rsidRPr="00DB638E">
        <w:rPr>
          <w:rFonts w:ascii="Times New Roman" w:hAnsi="Times New Roman"/>
          <w:bCs/>
          <w:sz w:val="24"/>
          <w:szCs w:val="24"/>
        </w:rPr>
        <w:t>, у пациентов с почечно-клеточным раком после предшествующей терапии эндотелиальным фактором роста сосудов (VEGF</w:t>
      </w:r>
      <w:r w:rsidR="00284413" w:rsidRPr="00DB638E">
        <w:rPr>
          <w:rFonts w:ascii="Times New Roman" w:hAnsi="Times New Roman"/>
          <w:bCs/>
          <w:sz w:val="24"/>
          <w:szCs w:val="24"/>
        </w:rPr>
        <w:t>) -</w:t>
      </w:r>
      <w:r w:rsidR="00284413" w:rsidRPr="00DB638E">
        <w:rPr>
          <w:rFonts w:ascii="Times New Roman" w:hAnsi="Times New Roman"/>
          <w:sz w:val="24"/>
          <w:szCs w:val="24"/>
        </w:rPr>
        <w:t xml:space="preserve"> таргетная терапия</w:t>
      </w:r>
      <w:r w:rsidRPr="00DB638E">
        <w:rPr>
          <w:rFonts w:ascii="Times New Roman" w:hAnsi="Times New Roman"/>
          <w:bCs/>
          <w:sz w:val="24"/>
          <w:szCs w:val="24"/>
        </w:rPr>
        <w:t xml:space="preserve"> </w:t>
      </w:r>
      <w:r w:rsidRPr="00DB638E">
        <w:rPr>
          <w:rFonts w:ascii="Times New Roman" w:hAnsi="Times New Roman"/>
          <w:b/>
          <w:sz w:val="24"/>
          <w:szCs w:val="24"/>
        </w:rPr>
        <w:t>(</w:t>
      </w:r>
      <w:bookmarkStart w:id="123" w:name="_Hlk75282090"/>
      <w:r w:rsidRPr="00DB638E">
        <w:rPr>
          <w:rFonts w:ascii="Times New Roman" w:hAnsi="Times New Roman"/>
          <w:b/>
          <w:sz w:val="24"/>
          <w:szCs w:val="24"/>
          <w:lang w:val="en-US"/>
        </w:rPr>
        <w:t>METEOR</w:t>
      </w:r>
      <w:r w:rsidRPr="00DB638E">
        <w:rPr>
          <w:rFonts w:ascii="Times New Roman" w:hAnsi="Times New Roman"/>
          <w:b/>
          <w:sz w:val="24"/>
          <w:szCs w:val="24"/>
        </w:rPr>
        <w:t>)</w:t>
      </w:r>
      <w:r w:rsidRPr="00DB638E">
        <w:rPr>
          <w:rFonts w:ascii="Times New Roman" w:hAnsi="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676"/>
        <w:gridCol w:w="1726"/>
        <w:gridCol w:w="1694"/>
        <w:gridCol w:w="1638"/>
      </w:tblGrid>
      <w:tr w:rsidR="00231A9A" w:rsidRPr="00DB638E" w14:paraId="45A234E0" w14:textId="77777777" w:rsidTr="005A79D5">
        <w:tc>
          <w:tcPr>
            <w:tcW w:w="2122" w:type="dxa"/>
            <w:shd w:val="clear" w:color="auto" w:fill="auto"/>
          </w:tcPr>
          <w:p w14:paraId="4730ADBA" w14:textId="77777777" w:rsidR="00231A9A" w:rsidRPr="00DB638E" w:rsidRDefault="00231A9A" w:rsidP="00231A9A">
            <w:pPr>
              <w:keepNext/>
              <w:tabs>
                <w:tab w:val="left" w:pos="567"/>
              </w:tabs>
              <w:spacing w:after="0" w:line="240" w:lineRule="auto"/>
              <w:rPr>
                <w:rFonts w:ascii="Times New Roman" w:eastAsia="Times New Roman" w:hAnsi="Times New Roman"/>
                <w:b/>
                <w:sz w:val="24"/>
                <w:szCs w:val="24"/>
              </w:rPr>
            </w:pPr>
          </w:p>
        </w:tc>
        <w:tc>
          <w:tcPr>
            <w:tcW w:w="3402" w:type="dxa"/>
            <w:gridSpan w:val="2"/>
            <w:shd w:val="clear" w:color="auto" w:fill="auto"/>
          </w:tcPr>
          <w:p w14:paraId="31858DEA" w14:textId="4833422F" w:rsidR="00231A9A" w:rsidRPr="00DB638E" w:rsidRDefault="00231A9A" w:rsidP="00231A9A">
            <w:pPr>
              <w:keepNext/>
              <w:tabs>
                <w:tab w:val="left" w:pos="567"/>
              </w:tabs>
              <w:spacing w:after="0" w:line="240" w:lineRule="auto"/>
              <w:jc w:val="center"/>
              <w:rPr>
                <w:rFonts w:ascii="Times New Roman" w:eastAsia="Times New Roman" w:hAnsi="Times New Roman"/>
                <w:b/>
                <w:sz w:val="24"/>
                <w:szCs w:val="24"/>
              </w:rPr>
            </w:pPr>
            <w:r w:rsidRPr="00DB638E">
              <w:rPr>
                <w:rFonts w:ascii="Times New Roman" w:eastAsia="Times New Roman" w:hAnsi="Times New Roman"/>
                <w:b/>
                <w:sz w:val="24"/>
                <w:szCs w:val="24"/>
              </w:rPr>
              <w:t>Первичный</w:t>
            </w:r>
            <w:r w:rsidRPr="00DB638E">
              <w:rPr>
                <w:rFonts w:ascii="Times New Roman" w:eastAsia="Times New Roman" w:hAnsi="Times New Roman"/>
                <w:b/>
                <w:sz w:val="24"/>
                <w:szCs w:val="24"/>
                <w:lang w:val="en-US"/>
              </w:rPr>
              <w:t xml:space="preserve"> </w:t>
            </w:r>
            <w:r w:rsidR="00915BD5" w:rsidRPr="00DB638E">
              <w:rPr>
                <w:rFonts w:ascii="Times New Roman" w:eastAsia="Times New Roman" w:hAnsi="Times New Roman"/>
                <w:b/>
                <w:sz w:val="24"/>
                <w:szCs w:val="24"/>
              </w:rPr>
              <w:t>ВБП</w:t>
            </w:r>
            <w:r w:rsidR="00284413" w:rsidRPr="00DB638E">
              <w:rPr>
                <w:rFonts w:ascii="Times New Roman" w:eastAsia="Times New Roman" w:hAnsi="Times New Roman"/>
                <w:b/>
                <w:sz w:val="24"/>
                <w:szCs w:val="24"/>
              </w:rPr>
              <w:t>З</w:t>
            </w:r>
            <w:r w:rsidRPr="00DB638E">
              <w:rPr>
                <w:rFonts w:ascii="Times New Roman" w:eastAsia="Times New Roman" w:hAnsi="Times New Roman"/>
                <w:b/>
                <w:sz w:val="24"/>
                <w:szCs w:val="24"/>
                <w:lang w:val="en-US"/>
              </w:rPr>
              <w:t xml:space="preserve"> </w:t>
            </w:r>
            <w:r w:rsidRPr="00DB638E">
              <w:rPr>
                <w:rFonts w:ascii="Times New Roman" w:eastAsia="Times New Roman" w:hAnsi="Times New Roman"/>
                <w:b/>
                <w:sz w:val="24"/>
                <w:szCs w:val="24"/>
              </w:rPr>
              <w:t>анализ популяции</w:t>
            </w:r>
          </w:p>
        </w:tc>
        <w:tc>
          <w:tcPr>
            <w:tcW w:w="3332" w:type="dxa"/>
            <w:gridSpan w:val="2"/>
            <w:shd w:val="clear" w:color="auto" w:fill="auto"/>
          </w:tcPr>
          <w:p w14:paraId="6BA21F93" w14:textId="77777777" w:rsidR="00231A9A" w:rsidRPr="00DB638E" w:rsidRDefault="00231A9A" w:rsidP="00231A9A">
            <w:pPr>
              <w:keepNext/>
              <w:tabs>
                <w:tab w:val="left" w:pos="567"/>
              </w:tabs>
              <w:spacing w:after="0" w:line="240" w:lineRule="auto"/>
              <w:jc w:val="center"/>
              <w:rPr>
                <w:rFonts w:ascii="Times New Roman" w:eastAsia="Times New Roman" w:hAnsi="Times New Roman"/>
                <w:b/>
                <w:sz w:val="24"/>
                <w:szCs w:val="24"/>
                <w:lang w:val="en-US"/>
              </w:rPr>
            </w:pPr>
            <w:r w:rsidRPr="00DB638E">
              <w:rPr>
                <w:rFonts w:ascii="Times New Roman" w:eastAsia="Times New Roman" w:hAnsi="Times New Roman"/>
                <w:b/>
                <w:sz w:val="24"/>
                <w:szCs w:val="24"/>
                <w:lang w:val="en-US"/>
              </w:rPr>
              <w:t>ITT-популяция</w:t>
            </w:r>
          </w:p>
        </w:tc>
      </w:tr>
      <w:tr w:rsidR="00231A9A" w:rsidRPr="00DB638E" w14:paraId="76BB974F" w14:textId="77777777" w:rsidTr="005A79D5">
        <w:tc>
          <w:tcPr>
            <w:tcW w:w="2122" w:type="dxa"/>
            <w:shd w:val="clear" w:color="auto" w:fill="auto"/>
          </w:tcPr>
          <w:p w14:paraId="7AD3538E" w14:textId="77777777" w:rsidR="00231A9A" w:rsidRPr="00DB638E" w:rsidRDefault="00231A9A" w:rsidP="00231A9A">
            <w:pPr>
              <w:keepNext/>
              <w:tabs>
                <w:tab w:val="left" w:pos="567"/>
              </w:tabs>
              <w:spacing w:after="0" w:line="240" w:lineRule="auto"/>
              <w:rPr>
                <w:rFonts w:ascii="Times New Roman" w:eastAsia="Times New Roman" w:hAnsi="Times New Roman"/>
                <w:b/>
                <w:sz w:val="24"/>
                <w:szCs w:val="24"/>
              </w:rPr>
            </w:pPr>
            <w:r w:rsidRPr="00DB638E">
              <w:rPr>
                <w:rFonts w:ascii="Times New Roman" w:eastAsia="Times New Roman" w:hAnsi="Times New Roman"/>
                <w:b/>
                <w:sz w:val="24"/>
                <w:szCs w:val="24"/>
              </w:rPr>
              <w:t>Конечная точка</w:t>
            </w:r>
          </w:p>
        </w:tc>
        <w:tc>
          <w:tcPr>
            <w:tcW w:w="1676" w:type="dxa"/>
            <w:shd w:val="clear" w:color="auto" w:fill="auto"/>
          </w:tcPr>
          <w:p w14:paraId="18397B27" w14:textId="77777777" w:rsidR="00231A9A" w:rsidRPr="00DB638E" w:rsidRDefault="00343720" w:rsidP="00231A9A">
            <w:pPr>
              <w:keepNext/>
              <w:tabs>
                <w:tab w:val="left" w:pos="567"/>
              </w:tabs>
              <w:spacing w:after="0" w:line="240" w:lineRule="auto"/>
              <w:ind w:right="-138"/>
              <w:rPr>
                <w:rFonts w:ascii="Times New Roman" w:eastAsia="Times New Roman" w:hAnsi="Times New Roman"/>
                <w:b/>
                <w:sz w:val="24"/>
                <w:szCs w:val="24"/>
              </w:rPr>
            </w:pPr>
            <w:r w:rsidRPr="00DB638E">
              <w:rPr>
                <w:rFonts w:ascii="Times New Roman" w:eastAsia="Times New Roman" w:hAnsi="Times New Roman"/>
                <w:b/>
                <w:sz w:val="24"/>
                <w:szCs w:val="24"/>
              </w:rPr>
              <w:t>Кабозантиниб</w:t>
            </w:r>
          </w:p>
        </w:tc>
        <w:tc>
          <w:tcPr>
            <w:tcW w:w="1726" w:type="dxa"/>
            <w:shd w:val="clear" w:color="auto" w:fill="auto"/>
          </w:tcPr>
          <w:p w14:paraId="703657B7" w14:textId="77777777" w:rsidR="00231A9A" w:rsidRPr="00DB638E" w:rsidRDefault="00231A9A" w:rsidP="00231A9A">
            <w:pPr>
              <w:keepNext/>
              <w:tabs>
                <w:tab w:val="left" w:pos="567"/>
              </w:tabs>
              <w:spacing w:after="0" w:line="240" w:lineRule="auto"/>
              <w:jc w:val="center"/>
              <w:rPr>
                <w:rFonts w:ascii="Times New Roman" w:eastAsia="Times New Roman" w:hAnsi="Times New Roman"/>
                <w:b/>
                <w:sz w:val="24"/>
                <w:szCs w:val="24"/>
              </w:rPr>
            </w:pPr>
            <w:r w:rsidRPr="00DB638E">
              <w:rPr>
                <w:rFonts w:ascii="Times New Roman" w:eastAsia="Times New Roman" w:hAnsi="Times New Roman"/>
                <w:b/>
                <w:sz w:val="24"/>
                <w:szCs w:val="24"/>
              </w:rPr>
              <w:t>Эверолимус</w:t>
            </w:r>
          </w:p>
        </w:tc>
        <w:tc>
          <w:tcPr>
            <w:tcW w:w="1694" w:type="dxa"/>
            <w:shd w:val="clear" w:color="auto" w:fill="auto"/>
          </w:tcPr>
          <w:p w14:paraId="6FCFEB6F" w14:textId="77777777" w:rsidR="00231A9A" w:rsidRPr="00DB638E" w:rsidRDefault="00343720" w:rsidP="00231A9A">
            <w:pPr>
              <w:keepNext/>
              <w:tabs>
                <w:tab w:val="left" w:pos="567"/>
              </w:tabs>
              <w:spacing w:after="0" w:line="240" w:lineRule="auto"/>
              <w:ind w:right="-120"/>
              <w:jc w:val="center"/>
              <w:rPr>
                <w:rFonts w:ascii="Times New Roman" w:eastAsia="Times New Roman" w:hAnsi="Times New Roman"/>
                <w:b/>
                <w:sz w:val="24"/>
                <w:szCs w:val="24"/>
              </w:rPr>
            </w:pPr>
            <w:r w:rsidRPr="00DB638E">
              <w:rPr>
                <w:rFonts w:ascii="Times New Roman" w:eastAsia="Times New Roman" w:hAnsi="Times New Roman"/>
                <w:b/>
                <w:sz w:val="24"/>
                <w:szCs w:val="24"/>
              </w:rPr>
              <w:t>Кабозантиниб</w:t>
            </w:r>
          </w:p>
        </w:tc>
        <w:tc>
          <w:tcPr>
            <w:tcW w:w="1638" w:type="dxa"/>
            <w:shd w:val="clear" w:color="auto" w:fill="auto"/>
          </w:tcPr>
          <w:p w14:paraId="1687E728" w14:textId="77777777" w:rsidR="00231A9A" w:rsidRPr="00DB638E" w:rsidRDefault="00231A9A" w:rsidP="00231A9A">
            <w:pPr>
              <w:keepNext/>
              <w:tabs>
                <w:tab w:val="left" w:pos="567"/>
              </w:tabs>
              <w:spacing w:after="0" w:line="240" w:lineRule="auto"/>
              <w:jc w:val="center"/>
              <w:rPr>
                <w:rFonts w:ascii="Times New Roman" w:eastAsia="Times New Roman" w:hAnsi="Times New Roman"/>
                <w:b/>
                <w:sz w:val="24"/>
                <w:szCs w:val="24"/>
              </w:rPr>
            </w:pPr>
            <w:r w:rsidRPr="00DB638E">
              <w:rPr>
                <w:rFonts w:ascii="Times New Roman" w:eastAsia="Times New Roman" w:hAnsi="Times New Roman"/>
                <w:b/>
                <w:sz w:val="24"/>
                <w:szCs w:val="24"/>
              </w:rPr>
              <w:t>Эверолимус</w:t>
            </w:r>
          </w:p>
        </w:tc>
      </w:tr>
      <w:tr w:rsidR="00231A9A" w:rsidRPr="00DB638E" w14:paraId="60D9A070" w14:textId="77777777" w:rsidTr="005A79D5">
        <w:tc>
          <w:tcPr>
            <w:tcW w:w="2122" w:type="dxa"/>
            <w:shd w:val="clear" w:color="auto" w:fill="auto"/>
          </w:tcPr>
          <w:p w14:paraId="15A8B13B" w14:textId="77777777" w:rsidR="00231A9A" w:rsidRPr="00DB638E" w:rsidRDefault="00231A9A" w:rsidP="00231A9A">
            <w:pPr>
              <w:keepNext/>
              <w:tabs>
                <w:tab w:val="left" w:pos="567"/>
              </w:tabs>
              <w:spacing w:after="0" w:line="240" w:lineRule="auto"/>
              <w:rPr>
                <w:rFonts w:ascii="Times New Roman" w:eastAsia="Times New Roman" w:hAnsi="Times New Roman"/>
                <w:b/>
                <w:sz w:val="24"/>
                <w:szCs w:val="24"/>
                <w:lang w:val="en-US"/>
              </w:rPr>
            </w:pPr>
          </w:p>
        </w:tc>
        <w:tc>
          <w:tcPr>
            <w:tcW w:w="1676" w:type="dxa"/>
            <w:shd w:val="clear" w:color="auto" w:fill="auto"/>
          </w:tcPr>
          <w:p w14:paraId="03A3DDE8" w14:textId="77777777" w:rsidR="00231A9A" w:rsidRPr="00DB638E"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N = 187</w:t>
            </w:r>
          </w:p>
        </w:tc>
        <w:tc>
          <w:tcPr>
            <w:tcW w:w="1726" w:type="dxa"/>
            <w:shd w:val="clear" w:color="auto" w:fill="auto"/>
          </w:tcPr>
          <w:p w14:paraId="4084CCF8" w14:textId="77777777" w:rsidR="00231A9A" w:rsidRPr="00DB638E"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N = 188</w:t>
            </w:r>
          </w:p>
        </w:tc>
        <w:tc>
          <w:tcPr>
            <w:tcW w:w="1694" w:type="dxa"/>
            <w:shd w:val="clear" w:color="auto" w:fill="auto"/>
          </w:tcPr>
          <w:p w14:paraId="41B82F12" w14:textId="77777777" w:rsidR="00231A9A" w:rsidRPr="00DB638E"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N = 330</w:t>
            </w:r>
          </w:p>
        </w:tc>
        <w:tc>
          <w:tcPr>
            <w:tcW w:w="1638" w:type="dxa"/>
            <w:shd w:val="clear" w:color="auto" w:fill="auto"/>
          </w:tcPr>
          <w:p w14:paraId="51F28B5F" w14:textId="77777777" w:rsidR="00231A9A" w:rsidRPr="00DB638E"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N = 328</w:t>
            </w:r>
          </w:p>
        </w:tc>
      </w:tr>
      <w:tr w:rsidR="00231A9A" w:rsidRPr="00DB638E" w14:paraId="622FB4C3" w14:textId="77777777" w:rsidTr="005A79D5">
        <w:tc>
          <w:tcPr>
            <w:tcW w:w="2122" w:type="dxa"/>
            <w:shd w:val="clear" w:color="auto" w:fill="auto"/>
          </w:tcPr>
          <w:p w14:paraId="17ECDC3B" w14:textId="3469BFC2" w:rsidR="00231A9A" w:rsidRPr="00DB638E" w:rsidRDefault="00231A9A" w:rsidP="00231A9A">
            <w:pPr>
              <w:keepNext/>
              <w:tabs>
                <w:tab w:val="left" w:pos="567"/>
              </w:tabs>
              <w:spacing w:after="0" w:line="240" w:lineRule="auto"/>
              <w:rPr>
                <w:rFonts w:ascii="Times New Roman" w:eastAsia="Times New Roman" w:hAnsi="Times New Roman"/>
                <w:sz w:val="24"/>
                <w:szCs w:val="24"/>
              </w:rPr>
            </w:pPr>
            <w:r w:rsidRPr="00DB638E">
              <w:rPr>
                <w:rFonts w:ascii="Times New Roman" w:eastAsia="Times New Roman" w:hAnsi="Times New Roman"/>
                <w:sz w:val="24"/>
                <w:szCs w:val="24"/>
              </w:rPr>
              <w:t>Медиана</w:t>
            </w:r>
            <w:r w:rsidRPr="00DB638E">
              <w:rPr>
                <w:rFonts w:ascii="Times New Roman" w:eastAsia="Times New Roman" w:hAnsi="Times New Roman"/>
                <w:sz w:val="24"/>
                <w:szCs w:val="24"/>
                <w:lang w:val="en-US"/>
              </w:rPr>
              <w:t xml:space="preserve"> </w:t>
            </w:r>
            <w:r w:rsidR="00915BD5" w:rsidRPr="00DB638E">
              <w:rPr>
                <w:rFonts w:ascii="Times New Roman" w:eastAsia="Times New Roman" w:hAnsi="Times New Roman"/>
                <w:sz w:val="24"/>
                <w:szCs w:val="24"/>
              </w:rPr>
              <w:t>ВБП</w:t>
            </w:r>
            <w:r w:rsidR="00284413" w:rsidRPr="00DB638E">
              <w:rPr>
                <w:rFonts w:ascii="Times New Roman" w:eastAsia="Times New Roman" w:hAnsi="Times New Roman"/>
                <w:sz w:val="24"/>
                <w:szCs w:val="24"/>
              </w:rPr>
              <w:t>З</w:t>
            </w:r>
            <w:r w:rsidRPr="00DB638E">
              <w:rPr>
                <w:rFonts w:ascii="Times New Roman" w:eastAsia="Times New Roman" w:hAnsi="Times New Roman"/>
                <w:sz w:val="24"/>
                <w:szCs w:val="24"/>
                <w:lang w:val="en-US"/>
              </w:rPr>
              <w:t xml:space="preserve"> (95% ДИ), </w:t>
            </w:r>
            <w:r w:rsidRPr="00DB638E">
              <w:rPr>
                <w:rFonts w:ascii="Times New Roman" w:eastAsia="Times New Roman" w:hAnsi="Times New Roman"/>
                <w:sz w:val="24"/>
                <w:szCs w:val="24"/>
              </w:rPr>
              <w:t>месяцы</w:t>
            </w:r>
          </w:p>
        </w:tc>
        <w:tc>
          <w:tcPr>
            <w:tcW w:w="1676" w:type="dxa"/>
            <w:shd w:val="clear" w:color="auto" w:fill="auto"/>
          </w:tcPr>
          <w:p w14:paraId="74C97A5A" w14:textId="77777777" w:rsidR="00231A9A" w:rsidRPr="00DB638E"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7.4 (5.6, 9.1)</w:t>
            </w:r>
          </w:p>
        </w:tc>
        <w:tc>
          <w:tcPr>
            <w:tcW w:w="1726" w:type="dxa"/>
            <w:shd w:val="clear" w:color="auto" w:fill="auto"/>
          </w:tcPr>
          <w:p w14:paraId="7067D45D" w14:textId="77777777" w:rsidR="00231A9A" w:rsidRPr="00DB638E"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3.8 (3.7, 5.4)</w:t>
            </w:r>
          </w:p>
        </w:tc>
        <w:tc>
          <w:tcPr>
            <w:tcW w:w="1694" w:type="dxa"/>
            <w:shd w:val="clear" w:color="auto" w:fill="auto"/>
          </w:tcPr>
          <w:p w14:paraId="5A4AF5C9" w14:textId="77777777" w:rsidR="00231A9A" w:rsidRPr="00DB638E"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7.4 (6.6, 9.1)</w:t>
            </w:r>
          </w:p>
        </w:tc>
        <w:tc>
          <w:tcPr>
            <w:tcW w:w="1638" w:type="dxa"/>
            <w:shd w:val="clear" w:color="auto" w:fill="auto"/>
          </w:tcPr>
          <w:p w14:paraId="08C3FF8F" w14:textId="77777777" w:rsidR="00231A9A" w:rsidRPr="00DB638E"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3.9 (3.7, 5.1)</w:t>
            </w:r>
          </w:p>
        </w:tc>
      </w:tr>
      <w:tr w:rsidR="00231A9A" w:rsidRPr="00DB638E" w14:paraId="142BB292" w14:textId="77777777" w:rsidTr="005A79D5">
        <w:tc>
          <w:tcPr>
            <w:tcW w:w="2122" w:type="dxa"/>
            <w:shd w:val="clear" w:color="auto" w:fill="auto"/>
          </w:tcPr>
          <w:p w14:paraId="5B36964C" w14:textId="77777777" w:rsidR="00231A9A" w:rsidRPr="00DB638E" w:rsidRDefault="00915BD5" w:rsidP="00231A9A">
            <w:pPr>
              <w:keepNext/>
              <w:tabs>
                <w:tab w:val="left" w:pos="567"/>
              </w:tabs>
              <w:spacing w:after="0" w:line="240" w:lineRule="auto"/>
              <w:rPr>
                <w:rFonts w:ascii="Times New Roman" w:eastAsia="Times New Roman" w:hAnsi="Times New Roman"/>
                <w:sz w:val="24"/>
                <w:szCs w:val="24"/>
              </w:rPr>
            </w:pPr>
            <w:r w:rsidRPr="00DB638E">
              <w:rPr>
                <w:rFonts w:ascii="Times New Roman" w:eastAsia="Times New Roman" w:hAnsi="Times New Roman"/>
                <w:sz w:val="24"/>
                <w:szCs w:val="24"/>
              </w:rPr>
              <w:t>Соотношение рисков</w:t>
            </w:r>
            <w:r w:rsidR="00231A9A" w:rsidRPr="00DB638E">
              <w:rPr>
                <w:rFonts w:ascii="Times New Roman" w:eastAsia="Times New Roman" w:hAnsi="Times New Roman"/>
                <w:sz w:val="24"/>
                <w:szCs w:val="24"/>
              </w:rPr>
              <w:t xml:space="preserve"> (95% ДИ), </w:t>
            </w:r>
            <w:r w:rsidR="00231A9A" w:rsidRPr="00DB638E">
              <w:rPr>
                <w:rFonts w:ascii="Times New Roman" w:eastAsia="Times New Roman" w:hAnsi="Times New Roman"/>
                <w:sz w:val="24"/>
                <w:szCs w:val="24"/>
                <w:lang w:val="en-US"/>
              </w:rPr>
              <w:t>p</w:t>
            </w:r>
            <w:r w:rsidR="00231A9A" w:rsidRPr="00DB638E">
              <w:rPr>
                <w:rFonts w:ascii="Times New Roman" w:eastAsia="Times New Roman" w:hAnsi="Times New Roman"/>
                <w:sz w:val="24"/>
                <w:szCs w:val="24"/>
              </w:rPr>
              <w:noBreakHyphen/>
              <w:t>значение</w:t>
            </w:r>
            <w:r w:rsidR="00231A9A" w:rsidRPr="00DB638E">
              <w:rPr>
                <w:rFonts w:ascii="Times New Roman" w:eastAsia="Times New Roman" w:hAnsi="Times New Roman"/>
                <w:sz w:val="24"/>
                <w:szCs w:val="24"/>
                <w:vertAlign w:val="superscript"/>
              </w:rPr>
              <w:t>1</w:t>
            </w:r>
          </w:p>
        </w:tc>
        <w:tc>
          <w:tcPr>
            <w:tcW w:w="3402" w:type="dxa"/>
            <w:gridSpan w:val="2"/>
            <w:shd w:val="clear" w:color="auto" w:fill="auto"/>
          </w:tcPr>
          <w:p w14:paraId="5830CC4E" w14:textId="77777777" w:rsidR="00231A9A" w:rsidRPr="00DB638E"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0.58 (0.45, 0.74), p&lt;0.0001</w:t>
            </w:r>
          </w:p>
        </w:tc>
        <w:tc>
          <w:tcPr>
            <w:tcW w:w="3332" w:type="dxa"/>
            <w:gridSpan w:val="2"/>
            <w:shd w:val="clear" w:color="auto" w:fill="auto"/>
          </w:tcPr>
          <w:p w14:paraId="631ABF59" w14:textId="77777777" w:rsidR="00231A9A" w:rsidRPr="00DB638E"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0.51 (0.41, 0.62), p&lt;0.0001</w:t>
            </w:r>
          </w:p>
        </w:tc>
      </w:tr>
    </w:tbl>
    <w:p w14:paraId="6B6E3A77" w14:textId="77777777" w:rsidR="00231A9A" w:rsidRPr="00DB638E" w:rsidRDefault="00231A9A" w:rsidP="00231A9A">
      <w:pPr>
        <w:tabs>
          <w:tab w:val="left" w:pos="5835"/>
        </w:tabs>
        <w:spacing w:after="0" w:line="240" w:lineRule="auto"/>
        <w:rPr>
          <w:rFonts w:ascii="Times New Roman" w:hAnsi="Times New Roman"/>
          <w:sz w:val="24"/>
          <w:szCs w:val="24"/>
        </w:rPr>
      </w:pPr>
      <w:bookmarkStart w:id="124" w:name="_Hlk75282282"/>
      <w:bookmarkEnd w:id="123"/>
      <w:r w:rsidRPr="00DB638E">
        <w:rPr>
          <w:rFonts w:ascii="Times New Roman" w:hAnsi="Times New Roman"/>
          <w:sz w:val="24"/>
          <w:szCs w:val="24"/>
          <w:vertAlign w:val="superscript"/>
        </w:rPr>
        <w:t>1</w:t>
      </w:r>
      <w:r w:rsidRPr="00DB638E">
        <w:rPr>
          <w:rFonts w:ascii="Times New Roman" w:hAnsi="Times New Roman"/>
          <w:sz w:val="24"/>
          <w:szCs w:val="24"/>
        </w:rPr>
        <w:t xml:space="preserve"> - стратифицированный лог-ранговый критерий</w:t>
      </w:r>
    </w:p>
    <w:p w14:paraId="7EC5E69B" w14:textId="77777777" w:rsidR="00231A9A" w:rsidRPr="00DB638E" w:rsidRDefault="00231A9A" w:rsidP="00231A9A">
      <w:pPr>
        <w:spacing w:after="0" w:line="240" w:lineRule="auto"/>
        <w:rPr>
          <w:rFonts w:ascii="Times New Roman" w:hAnsi="Times New Roman"/>
          <w:b/>
          <w:sz w:val="24"/>
          <w:szCs w:val="24"/>
        </w:rPr>
      </w:pPr>
      <w:bookmarkStart w:id="125" w:name="_Hlk517956552"/>
      <w:bookmarkEnd w:id="124"/>
    </w:p>
    <w:p w14:paraId="092CC06C" w14:textId="7AB8B97D" w:rsidR="00231A9A" w:rsidRPr="00DB638E" w:rsidRDefault="00231A9A" w:rsidP="00343720">
      <w:pPr>
        <w:spacing w:after="0" w:line="240" w:lineRule="auto"/>
        <w:jc w:val="both"/>
        <w:rPr>
          <w:rFonts w:ascii="Times New Roman" w:hAnsi="Times New Roman"/>
          <w:b/>
          <w:sz w:val="24"/>
          <w:szCs w:val="24"/>
        </w:rPr>
      </w:pPr>
      <w:r w:rsidRPr="00DB638E">
        <w:rPr>
          <w:rFonts w:ascii="Times New Roman" w:hAnsi="Times New Roman"/>
          <w:b/>
          <w:sz w:val="24"/>
          <w:szCs w:val="24"/>
        </w:rPr>
        <w:t>Рис. 2: Кривая Каплана Мейера общей выживаемости у пациентов с почечно-клеточным раком после предшествующей терапии эндотелиальным фактором роста сосудов (VEGF)</w:t>
      </w:r>
      <w:r w:rsidR="00284413" w:rsidRPr="00DB638E">
        <w:rPr>
          <w:rFonts w:ascii="Times New Roman" w:hAnsi="Times New Roman"/>
          <w:b/>
          <w:sz w:val="24"/>
          <w:szCs w:val="24"/>
        </w:rPr>
        <w:t xml:space="preserve"> -</w:t>
      </w:r>
      <w:r w:rsidR="00284413" w:rsidRPr="00DB638E">
        <w:rPr>
          <w:rFonts w:ascii="Times New Roman" w:hAnsi="Times New Roman"/>
          <w:sz w:val="24"/>
          <w:szCs w:val="24"/>
        </w:rPr>
        <w:t xml:space="preserve"> таргетная терапия</w:t>
      </w:r>
      <w:r w:rsidRPr="00DB638E">
        <w:rPr>
          <w:rFonts w:ascii="Times New Roman" w:hAnsi="Times New Roman"/>
          <w:b/>
          <w:sz w:val="24"/>
          <w:szCs w:val="24"/>
        </w:rPr>
        <w:t xml:space="preserve"> (</w:t>
      </w:r>
      <w:r w:rsidRPr="00DB638E">
        <w:rPr>
          <w:rFonts w:ascii="Times New Roman" w:hAnsi="Times New Roman"/>
          <w:b/>
          <w:sz w:val="24"/>
          <w:szCs w:val="24"/>
          <w:lang w:val="en-US"/>
        </w:rPr>
        <w:t>METEOR</w:t>
      </w:r>
      <w:r w:rsidRPr="00DB638E">
        <w:rPr>
          <w:rFonts w:ascii="Times New Roman" w:hAnsi="Times New Roman"/>
          <w:b/>
          <w:sz w:val="24"/>
          <w:szCs w:val="24"/>
        </w:rPr>
        <w:t>)</w:t>
      </w:r>
    </w:p>
    <w:bookmarkEnd w:id="125"/>
    <w:p w14:paraId="14DEA94F" w14:textId="77777777" w:rsidR="00343720" w:rsidRPr="00DB638E" w:rsidRDefault="00343720" w:rsidP="00231A9A">
      <w:pPr>
        <w:tabs>
          <w:tab w:val="left" w:pos="5835"/>
        </w:tabs>
        <w:spacing w:after="0" w:line="240" w:lineRule="auto"/>
        <w:rPr>
          <w:noProof/>
          <w:sz w:val="24"/>
          <w:szCs w:val="24"/>
          <w:lang w:eastAsia="ru-RU"/>
        </w:rPr>
      </w:pPr>
    </w:p>
    <w:p w14:paraId="3D11E669" w14:textId="4DA619F4" w:rsidR="00231A9A" w:rsidRPr="00DB638E" w:rsidRDefault="00BA3091" w:rsidP="00231A9A">
      <w:pPr>
        <w:tabs>
          <w:tab w:val="left" w:pos="5835"/>
        </w:tabs>
        <w:spacing w:after="0" w:line="240" w:lineRule="auto"/>
        <w:rPr>
          <w:rFonts w:ascii="Times New Roman" w:hAnsi="Times New Roman"/>
          <w:sz w:val="24"/>
          <w:szCs w:val="24"/>
        </w:rPr>
      </w:pPr>
      <w:r w:rsidRPr="00DB638E">
        <w:rPr>
          <w:noProof/>
          <w:sz w:val="24"/>
          <w:szCs w:val="24"/>
        </w:rPr>
        <w:lastRenderedPageBreak/>
        <mc:AlternateContent>
          <mc:Choice Requires="wps">
            <w:drawing>
              <wp:anchor distT="0" distB="0" distL="114300" distR="114300" simplePos="0" relativeHeight="251650048" behindDoc="0" locked="0" layoutInCell="1" allowOverlap="1" wp14:anchorId="131C2CF3" wp14:editId="7922F88C">
                <wp:simplePos x="0" y="0"/>
                <wp:positionH relativeFrom="column">
                  <wp:posOffset>-1068705</wp:posOffset>
                </wp:positionH>
                <wp:positionV relativeFrom="paragraph">
                  <wp:posOffset>1532255</wp:posOffset>
                </wp:positionV>
                <wp:extent cx="2674620" cy="261620"/>
                <wp:effectExtent l="0" t="0" r="0" b="3810"/>
                <wp:wrapNone/>
                <wp:docPr id="20"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B70C8" w14:textId="77777777" w:rsidR="00231A9A" w:rsidRPr="00A4242D" w:rsidRDefault="00231A9A" w:rsidP="00231A9A">
                            <w:pPr>
                              <w:jc w:val="center"/>
                              <w:rPr>
                                <w:rFonts w:ascii="Arial" w:hAnsi="Arial" w:cs="Arial"/>
                                <w:b/>
                                <w:sz w:val="20"/>
                              </w:rPr>
                            </w:pPr>
                            <w:r>
                              <w:rPr>
                                <w:rFonts w:ascii="Arial" w:hAnsi="Arial" w:cs="Arial"/>
                                <w:b/>
                                <w:sz w:val="20"/>
                              </w:rPr>
                              <w:t xml:space="preserve">Вероятность общей выживаемости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2CF3" id="Надпись 18" o:spid="_x0000_s1028" type="#_x0000_t202" style="position:absolute;margin-left:-84.15pt;margin-top:120.65pt;width:210.6pt;height:20.6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" filled="f" stroked="f">
                <v:textbox style="layout-flow:vertical;mso-layout-flow-alt:bottom-to-top">
                  <w:txbxContent>
                    <w:p w14:paraId="469B70C8" w14:textId="77777777" w:rsidR="00231A9A" w:rsidRPr="00A4242D" w:rsidRDefault="00231A9A" w:rsidP="00231A9A">
                      <w:pPr>
                        <w:jc w:val="center"/>
                        <w:rPr>
                          <w:rFonts w:ascii="Arial" w:hAnsi="Arial" w:cs="Arial"/>
                          <w:b/>
                          <w:sz w:val="20"/>
                        </w:rPr>
                      </w:pPr>
                      <w:r>
                        <w:rPr>
                          <w:rFonts w:ascii="Arial" w:hAnsi="Arial" w:cs="Arial"/>
                          <w:b/>
                          <w:sz w:val="20"/>
                        </w:rPr>
                        <w:t xml:space="preserve">Вероятность общей выживаемости </w:t>
                      </w:r>
                    </w:p>
                  </w:txbxContent>
                </v:textbox>
              </v:shape>
            </w:pict>
          </mc:Fallback>
        </mc:AlternateContent>
      </w:r>
      <w:r w:rsidRPr="00DB638E">
        <w:rPr>
          <w:noProof/>
          <w:sz w:val="24"/>
          <w:szCs w:val="24"/>
        </w:rPr>
        <mc:AlternateContent>
          <mc:Choice Requires="wps">
            <w:drawing>
              <wp:anchor distT="0" distB="0" distL="114300" distR="114300" simplePos="0" relativeHeight="251649024" behindDoc="0" locked="0" layoutInCell="1" allowOverlap="1" wp14:anchorId="3AF522D2" wp14:editId="712F914A">
                <wp:simplePos x="0" y="0"/>
                <wp:positionH relativeFrom="column">
                  <wp:posOffset>1272540</wp:posOffset>
                </wp:positionH>
                <wp:positionV relativeFrom="paragraph">
                  <wp:posOffset>2146300</wp:posOffset>
                </wp:positionV>
                <wp:extent cx="990600" cy="520700"/>
                <wp:effectExtent l="0" t="0" r="0" b="0"/>
                <wp:wrapNone/>
                <wp:docPr id="19"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20700"/>
                        </a:xfrm>
                        <a:prstGeom prst="rect">
                          <a:avLst/>
                        </a:prstGeom>
                        <a:noFill/>
                        <a:ln>
                          <a:noFill/>
                        </a:ln>
                      </wps:spPr>
                      <wps:txbx>
                        <w:txbxContent>
                          <w:p w14:paraId="14396EF8" w14:textId="77777777" w:rsidR="00231A9A" w:rsidRPr="00DD6F2B" w:rsidRDefault="00DD6F2B" w:rsidP="00231A9A">
                            <w:pPr>
                              <w:spacing w:after="100"/>
                              <w:rPr>
                                <w:rFonts w:ascii="Times New Roman" w:hAnsi="Times New Roman"/>
                                <w:sz w:val="18"/>
                              </w:rPr>
                            </w:pPr>
                            <w:r w:rsidRPr="00DD6F2B">
                              <w:rPr>
                                <w:rFonts w:ascii="Times New Roman" w:hAnsi="Times New Roman"/>
                                <w:sz w:val="18"/>
                              </w:rPr>
                              <w:t>Кабозантиниб</w:t>
                            </w:r>
                          </w:p>
                          <w:p w14:paraId="7A62E88C" w14:textId="77777777" w:rsidR="00231A9A" w:rsidRPr="00DD6F2B" w:rsidRDefault="00231A9A" w:rsidP="00231A9A">
                            <w:pPr>
                              <w:spacing w:after="100"/>
                              <w:rPr>
                                <w:rFonts w:ascii="Times New Roman" w:hAnsi="Times New Roman"/>
                                <w:sz w:val="18"/>
                              </w:rPr>
                            </w:pPr>
                            <w:r w:rsidRPr="00DD6F2B">
                              <w:rPr>
                                <w:rFonts w:ascii="Times New Roman" w:hAnsi="Times New Roman"/>
                                <w:sz w:val="18"/>
                              </w:rPr>
                              <w:t>Эверолимус</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F522D2" id="Надпись 16" o:spid="_x0000_s1029" type="#_x0000_t202" style="position:absolute;margin-left:100.2pt;margin-top:169pt;width:78pt;height:4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" filled="f" stroked="f">
                <v:textbox style="mso-fit-shape-to-text:t">
                  <w:txbxContent>
                    <w:p w14:paraId="14396EF8" w14:textId="77777777" w:rsidR="00231A9A" w:rsidRPr="00DD6F2B" w:rsidRDefault="00DD6F2B" w:rsidP="00231A9A">
                      <w:pPr>
                        <w:spacing w:after="100"/>
                        <w:rPr>
                          <w:rFonts w:ascii="Times New Roman" w:hAnsi="Times New Roman"/>
                          <w:sz w:val="18"/>
                        </w:rPr>
                      </w:pPr>
                      <w:r w:rsidRPr="00DD6F2B">
                        <w:rPr>
                          <w:rFonts w:ascii="Times New Roman" w:hAnsi="Times New Roman"/>
                          <w:sz w:val="18"/>
                        </w:rPr>
                        <w:t>Кабозантиниб</w:t>
                      </w:r>
                    </w:p>
                    <w:p w14:paraId="7A62E88C" w14:textId="77777777" w:rsidR="00231A9A" w:rsidRPr="00DD6F2B" w:rsidRDefault="00231A9A" w:rsidP="00231A9A">
                      <w:pPr>
                        <w:spacing w:after="100"/>
                        <w:rPr>
                          <w:rFonts w:ascii="Times New Roman" w:hAnsi="Times New Roman"/>
                          <w:sz w:val="18"/>
                        </w:rPr>
                      </w:pPr>
                      <w:r w:rsidRPr="00DD6F2B">
                        <w:rPr>
                          <w:rFonts w:ascii="Times New Roman" w:hAnsi="Times New Roman"/>
                          <w:sz w:val="18"/>
                        </w:rPr>
                        <w:t>Эверолимус</w:t>
                      </w:r>
                    </w:p>
                  </w:txbxContent>
                </v:textbox>
              </v:shape>
            </w:pict>
          </mc:Fallback>
        </mc:AlternateContent>
      </w:r>
      <w:r w:rsidRPr="00DB638E">
        <w:rPr>
          <w:noProof/>
          <w:sz w:val="24"/>
          <w:szCs w:val="24"/>
          <w:lang w:eastAsia="ru-RU"/>
        </w:rPr>
        <w:drawing>
          <wp:inline distT="0" distB="0" distL="0" distR="0" wp14:anchorId="118763ED" wp14:editId="4B87E5C0">
            <wp:extent cx="5943600" cy="3169920"/>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b="14754"/>
                    <a:stretch>
                      <a:fillRect/>
                    </a:stretch>
                  </pic:blipFill>
                  <pic:spPr bwMode="auto">
                    <a:xfrm>
                      <a:off x="0" y="0"/>
                      <a:ext cx="5943600" cy="3169920"/>
                    </a:xfrm>
                    <a:prstGeom prst="rect">
                      <a:avLst/>
                    </a:prstGeom>
                    <a:noFill/>
                    <a:ln>
                      <a:noFill/>
                    </a:ln>
                  </pic:spPr>
                </pic:pic>
              </a:graphicData>
            </a:graphic>
          </wp:inline>
        </w:drawing>
      </w:r>
    </w:p>
    <w:p w14:paraId="72C11226" w14:textId="77777777" w:rsidR="00343720" w:rsidRPr="00DB638E" w:rsidRDefault="00343720" w:rsidP="00343720">
      <w:pPr>
        <w:tabs>
          <w:tab w:val="left" w:pos="5835"/>
        </w:tabs>
        <w:spacing w:after="0" w:line="240" w:lineRule="auto"/>
        <w:jc w:val="center"/>
        <w:rPr>
          <w:rFonts w:ascii="Times New Roman" w:hAnsi="Times New Roman"/>
          <w:b/>
          <w:sz w:val="20"/>
          <w:szCs w:val="20"/>
        </w:rPr>
      </w:pPr>
      <w:r w:rsidRPr="00DB638E">
        <w:rPr>
          <w:rFonts w:ascii="Times New Roman" w:hAnsi="Times New Roman"/>
          <w:b/>
          <w:sz w:val="20"/>
          <w:szCs w:val="20"/>
        </w:rPr>
        <w:t>Месяцы</w:t>
      </w:r>
    </w:p>
    <w:p w14:paraId="73E22AFF" w14:textId="77777777" w:rsidR="00343720" w:rsidRPr="00DB638E" w:rsidRDefault="00343720" w:rsidP="00343720">
      <w:pPr>
        <w:tabs>
          <w:tab w:val="left" w:pos="5835"/>
        </w:tabs>
        <w:spacing w:after="0" w:line="240" w:lineRule="auto"/>
        <w:rPr>
          <w:rFonts w:ascii="Times New Roman" w:hAnsi="Times New Roman"/>
          <w:b/>
          <w:sz w:val="20"/>
          <w:szCs w:val="20"/>
        </w:rPr>
      </w:pPr>
      <w:r w:rsidRPr="00DB638E">
        <w:rPr>
          <w:rFonts w:ascii="Times New Roman" w:hAnsi="Times New Roman"/>
          <w:b/>
          <w:sz w:val="20"/>
          <w:szCs w:val="20"/>
        </w:rPr>
        <w:t>Число в риске</w:t>
      </w:r>
    </w:p>
    <w:tbl>
      <w:tblPr>
        <w:tblW w:w="4905" w:type="pct"/>
        <w:tblLayout w:type="fixed"/>
        <w:tblLook w:val="04A0" w:firstRow="1" w:lastRow="0" w:firstColumn="1" w:lastColumn="0" w:noHBand="0" w:noVBand="1"/>
      </w:tblPr>
      <w:tblGrid>
        <w:gridCol w:w="993"/>
        <w:gridCol w:w="705"/>
        <w:gridCol w:w="710"/>
        <w:gridCol w:w="710"/>
        <w:gridCol w:w="708"/>
        <w:gridCol w:w="708"/>
        <w:gridCol w:w="853"/>
        <w:gridCol w:w="710"/>
        <w:gridCol w:w="851"/>
        <w:gridCol w:w="712"/>
        <w:gridCol w:w="712"/>
        <w:gridCol w:w="527"/>
      </w:tblGrid>
      <w:tr w:rsidR="00284413" w:rsidRPr="00DB638E" w14:paraId="5BE27CF6" w14:textId="77777777" w:rsidTr="005A79D5">
        <w:trPr>
          <w:trHeight w:val="207"/>
        </w:trPr>
        <w:tc>
          <w:tcPr>
            <w:tcW w:w="558" w:type="pct"/>
            <w:shd w:val="clear" w:color="auto" w:fill="auto"/>
          </w:tcPr>
          <w:p w14:paraId="469867C1"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Кабозантиниб</w:t>
            </w:r>
          </w:p>
        </w:tc>
        <w:tc>
          <w:tcPr>
            <w:tcW w:w="396" w:type="pct"/>
            <w:shd w:val="clear" w:color="auto" w:fill="auto"/>
          </w:tcPr>
          <w:p w14:paraId="5FD13F56"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330</w:t>
            </w:r>
          </w:p>
        </w:tc>
        <w:tc>
          <w:tcPr>
            <w:tcW w:w="399" w:type="pct"/>
            <w:shd w:val="clear" w:color="auto" w:fill="auto"/>
          </w:tcPr>
          <w:p w14:paraId="7977B97B"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318</w:t>
            </w:r>
          </w:p>
        </w:tc>
        <w:tc>
          <w:tcPr>
            <w:tcW w:w="399" w:type="pct"/>
            <w:shd w:val="clear" w:color="auto" w:fill="auto"/>
          </w:tcPr>
          <w:p w14:paraId="01138B77"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296</w:t>
            </w:r>
          </w:p>
        </w:tc>
        <w:tc>
          <w:tcPr>
            <w:tcW w:w="398" w:type="pct"/>
            <w:shd w:val="clear" w:color="auto" w:fill="auto"/>
          </w:tcPr>
          <w:p w14:paraId="65D9F75F"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264</w:t>
            </w:r>
          </w:p>
        </w:tc>
        <w:tc>
          <w:tcPr>
            <w:tcW w:w="398" w:type="pct"/>
            <w:shd w:val="clear" w:color="auto" w:fill="auto"/>
          </w:tcPr>
          <w:p w14:paraId="75F3D89E"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239</w:t>
            </w:r>
          </w:p>
        </w:tc>
        <w:tc>
          <w:tcPr>
            <w:tcW w:w="479" w:type="pct"/>
            <w:shd w:val="clear" w:color="auto" w:fill="auto"/>
          </w:tcPr>
          <w:p w14:paraId="26CA1A4A"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178</w:t>
            </w:r>
          </w:p>
        </w:tc>
        <w:tc>
          <w:tcPr>
            <w:tcW w:w="399" w:type="pct"/>
            <w:shd w:val="clear" w:color="auto" w:fill="auto"/>
          </w:tcPr>
          <w:p w14:paraId="325F4A26"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105</w:t>
            </w:r>
          </w:p>
        </w:tc>
        <w:tc>
          <w:tcPr>
            <w:tcW w:w="478" w:type="pct"/>
            <w:shd w:val="clear" w:color="auto" w:fill="auto"/>
          </w:tcPr>
          <w:p w14:paraId="0CAC4F4D"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41</w:t>
            </w:r>
          </w:p>
        </w:tc>
        <w:tc>
          <w:tcPr>
            <w:tcW w:w="400" w:type="pct"/>
            <w:shd w:val="clear" w:color="auto" w:fill="auto"/>
          </w:tcPr>
          <w:p w14:paraId="496AF8FD"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6</w:t>
            </w:r>
          </w:p>
        </w:tc>
        <w:tc>
          <w:tcPr>
            <w:tcW w:w="400" w:type="pct"/>
            <w:shd w:val="clear" w:color="auto" w:fill="auto"/>
          </w:tcPr>
          <w:p w14:paraId="27DEEEB5"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3</w:t>
            </w:r>
          </w:p>
        </w:tc>
        <w:tc>
          <w:tcPr>
            <w:tcW w:w="296" w:type="pct"/>
            <w:shd w:val="clear" w:color="auto" w:fill="auto"/>
          </w:tcPr>
          <w:p w14:paraId="2E7865B4"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0</w:t>
            </w:r>
          </w:p>
        </w:tc>
      </w:tr>
      <w:tr w:rsidR="00284413" w:rsidRPr="00DB638E" w14:paraId="617E7CC4" w14:textId="77777777" w:rsidTr="005A79D5">
        <w:trPr>
          <w:trHeight w:val="207"/>
        </w:trPr>
        <w:tc>
          <w:tcPr>
            <w:tcW w:w="558" w:type="pct"/>
            <w:shd w:val="clear" w:color="auto" w:fill="auto"/>
          </w:tcPr>
          <w:p w14:paraId="1AE0C9A7"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Эверолимус</w:t>
            </w:r>
          </w:p>
        </w:tc>
        <w:tc>
          <w:tcPr>
            <w:tcW w:w="396" w:type="pct"/>
            <w:shd w:val="clear" w:color="auto" w:fill="auto"/>
          </w:tcPr>
          <w:p w14:paraId="3CA4CECE"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328</w:t>
            </w:r>
          </w:p>
        </w:tc>
        <w:tc>
          <w:tcPr>
            <w:tcW w:w="399" w:type="pct"/>
            <w:shd w:val="clear" w:color="auto" w:fill="auto"/>
          </w:tcPr>
          <w:p w14:paraId="199E8516"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307</w:t>
            </w:r>
          </w:p>
        </w:tc>
        <w:tc>
          <w:tcPr>
            <w:tcW w:w="399" w:type="pct"/>
            <w:shd w:val="clear" w:color="auto" w:fill="auto"/>
          </w:tcPr>
          <w:p w14:paraId="71646512"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262</w:t>
            </w:r>
          </w:p>
        </w:tc>
        <w:tc>
          <w:tcPr>
            <w:tcW w:w="398" w:type="pct"/>
            <w:shd w:val="clear" w:color="auto" w:fill="auto"/>
          </w:tcPr>
          <w:p w14:paraId="338659B4"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229</w:t>
            </w:r>
          </w:p>
        </w:tc>
        <w:tc>
          <w:tcPr>
            <w:tcW w:w="398" w:type="pct"/>
            <w:shd w:val="clear" w:color="auto" w:fill="auto"/>
          </w:tcPr>
          <w:p w14:paraId="442C131A"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202</w:t>
            </w:r>
          </w:p>
        </w:tc>
        <w:tc>
          <w:tcPr>
            <w:tcW w:w="479" w:type="pct"/>
            <w:shd w:val="clear" w:color="auto" w:fill="auto"/>
          </w:tcPr>
          <w:p w14:paraId="69E59593"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141</w:t>
            </w:r>
          </w:p>
        </w:tc>
        <w:tc>
          <w:tcPr>
            <w:tcW w:w="399" w:type="pct"/>
            <w:shd w:val="clear" w:color="auto" w:fill="auto"/>
          </w:tcPr>
          <w:p w14:paraId="27A80D08"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82</w:t>
            </w:r>
          </w:p>
        </w:tc>
        <w:tc>
          <w:tcPr>
            <w:tcW w:w="478" w:type="pct"/>
            <w:shd w:val="clear" w:color="auto" w:fill="auto"/>
          </w:tcPr>
          <w:p w14:paraId="7508C392"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32</w:t>
            </w:r>
          </w:p>
        </w:tc>
        <w:tc>
          <w:tcPr>
            <w:tcW w:w="400" w:type="pct"/>
            <w:shd w:val="clear" w:color="auto" w:fill="auto"/>
          </w:tcPr>
          <w:p w14:paraId="6C43A5CE"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8</w:t>
            </w:r>
          </w:p>
        </w:tc>
        <w:tc>
          <w:tcPr>
            <w:tcW w:w="400" w:type="pct"/>
            <w:shd w:val="clear" w:color="auto" w:fill="auto"/>
          </w:tcPr>
          <w:p w14:paraId="7A3CD415"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w:t>
            </w:r>
          </w:p>
        </w:tc>
        <w:tc>
          <w:tcPr>
            <w:tcW w:w="296" w:type="pct"/>
            <w:shd w:val="clear" w:color="auto" w:fill="auto"/>
          </w:tcPr>
          <w:p w14:paraId="0AA11A66"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0</w:t>
            </w:r>
          </w:p>
        </w:tc>
      </w:tr>
    </w:tbl>
    <w:p w14:paraId="4C855081" w14:textId="77777777" w:rsidR="00343720" w:rsidRPr="00DB638E" w:rsidRDefault="00343720" w:rsidP="00231A9A">
      <w:pPr>
        <w:tabs>
          <w:tab w:val="left" w:pos="5835"/>
        </w:tabs>
        <w:spacing w:after="0" w:line="240" w:lineRule="auto"/>
        <w:rPr>
          <w:rFonts w:ascii="Times New Roman" w:hAnsi="Times New Roman"/>
          <w:b/>
          <w:sz w:val="24"/>
          <w:szCs w:val="24"/>
        </w:rPr>
      </w:pPr>
    </w:p>
    <w:p w14:paraId="316E54E2" w14:textId="2F57BC4D" w:rsidR="00231A9A" w:rsidRPr="00DB638E" w:rsidRDefault="00231A9A" w:rsidP="00343720">
      <w:pPr>
        <w:tabs>
          <w:tab w:val="left" w:pos="5835"/>
        </w:tabs>
        <w:spacing w:after="0" w:line="240" w:lineRule="auto"/>
        <w:jc w:val="both"/>
        <w:rPr>
          <w:rFonts w:ascii="Times New Roman" w:hAnsi="Times New Roman"/>
          <w:b/>
          <w:sz w:val="24"/>
          <w:szCs w:val="24"/>
        </w:rPr>
      </w:pPr>
      <w:r w:rsidRPr="00DB638E">
        <w:rPr>
          <w:rFonts w:ascii="Times New Roman" w:hAnsi="Times New Roman"/>
          <w:b/>
          <w:sz w:val="24"/>
          <w:szCs w:val="24"/>
        </w:rPr>
        <w:t xml:space="preserve">Таблица 5: Резюме результатов </w:t>
      </w:r>
      <w:r w:rsidR="00915BD5" w:rsidRPr="00DB638E">
        <w:rPr>
          <w:rFonts w:ascii="Times New Roman" w:hAnsi="Times New Roman"/>
          <w:b/>
          <w:sz w:val="24"/>
          <w:szCs w:val="24"/>
        </w:rPr>
        <w:t>ЧОО</w:t>
      </w:r>
      <w:r w:rsidRPr="00DB638E">
        <w:rPr>
          <w:rFonts w:ascii="Times New Roman" w:hAnsi="Times New Roman"/>
          <w:b/>
          <w:sz w:val="24"/>
          <w:szCs w:val="24"/>
        </w:rPr>
        <w:t xml:space="preserve"> с помощью обзора независимого радиологического комитета (IRC) и обзора исследователя, у пациентов с почечно-клеточным раком после предшествующей терапии эндотелиальным фактором роста сосудов (VEGF)</w:t>
      </w:r>
      <w:r w:rsidR="00284413" w:rsidRPr="00DB638E">
        <w:rPr>
          <w:rFonts w:ascii="Times New Roman" w:hAnsi="Times New Roman"/>
          <w:sz w:val="24"/>
          <w:szCs w:val="24"/>
        </w:rPr>
        <w:t xml:space="preserve"> - таргетная терапия</w:t>
      </w:r>
    </w:p>
    <w:p w14:paraId="57651BD6" w14:textId="77777777" w:rsidR="00DD6F2B" w:rsidRPr="00DB638E" w:rsidRDefault="00DD6F2B" w:rsidP="00231A9A">
      <w:pPr>
        <w:tabs>
          <w:tab w:val="left" w:pos="5835"/>
        </w:tabs>
        <w:spacing w:after="0" w:line="240" w:lineRule="auto"/>
        <w:rPr>
          <w:rFonts w:ascii="Times New Roman" w:hAnsi="Times New Roman"/>
          <w:sz w:val="24"/>
          <w:szCs w:val="24"/>
        </w:rPr>
      </w:pPr>
      <w:bookmarkStart w:id="126" w:name="_Hlk75282509"/>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1560"/>
        <w:gridCol w:w="1842"/>
        <w:gridCol w:w="1814"/>
      </w:tblGrid>
      <w:tr w:rsidR="00915BD5" w:rsidRPr="00DB638E" w14:paraId="6957E5BE" w14:textId="77777777" w:rsidTr="002777B4">
        <w:tc>
          <w:tcPr>
            <w:tcW w:w="2122" w:type="dxa"/>
            <w:tcBorders>
              <w:top w:val="single" w:sz="4" w:space="0" w:color="auto"/>
              <w:left w:val="single" w:sz="4" w:space="0" w:color="auto"/>
              <w:bottom w:val="single" w:sz="4" w:space="0" w:color="auto"/>
              <w:right w:val="single" w:sz="4" w:space="0" w:color="auto"/>
            </w:tcBorders>
          </w:tcPr>
          <w:p w14:paraId="5CE9D135" w14:textId="77777777" w:rsidR="00915BD5" w:rsidRPr="00DB638E" w:rsidRDefault="00915BD5" w:rsidP="00664FB2">
            <w:pPr>
              <w:keepNext/>
              <w:tabs>
                <w:tab w:val="left" w:pos="567"/>
              </w:tabs>
              <w:spacing w:after="0" w:line="240" w:lineRule="auto"/>
              <w:rPr>
                <w:rFonts w:ascii="Times New Roman" w:eastAsia="Times New Roman" w:hAnsi="Times New Roman"/>
                <w:b/>
                <w:sz w:val="24"/>
                <w:szCs w:val="24"/>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110BD0BF" w14:textId="77777777" w:rsidR="00915BD5" w:rsidRPr="00DB638E" w:rsidRDefault="00915BD5" w:rsidP="00664FB2">
            <w:pPr>
              <w:keepNext/>
              <w:tabs>
                <w:tab w:val="left" w:pos="567"/>
              </w:tabs>
              <w:spacing w:after="0" w:line="240" w:lineRule="auto"/>
              <w:jc w:val="center"/>
              <w:rPr>
                <w:rFonts w:ascii="Times New Roman" w:eastAsia="Times New Roman" w:hAnsi="Times New Roman"/>
                <w:b/>
                <w:sz w:val="24"/>
                <w:szCs w:val="24"/>
              </w:rPr>
            </w:pPr>
            <w:r w:rsidRPr="00DB638E">
              <w:rPr>
                <w:rFonts w:ascii="Times New Roman" w:eastAsia="Times New Roman" w:hAnsi="Times New Roman"/>
                <w:b/>
                <w:sz w:val="24"/>
                <w:szCs w:val="24"/>
              </w:rPr>
              <w:t xml:space="preserve">Первичный анализ ЧОО </w:t>
            </w:r>
            <w:r w:rsidRPr="00DB638E">
              <w:rPr>
                <w:rFonts w:ascii="Times New Roman" w:eastAsia="Times New Roman" w:hAnsi="Times New Roman"/>
                <w:b/>
                <w:sz w:val="24"/>
                <w:szCs w:val="24"/>
                <w:lang w:val="en-US"/>
              </w:rPr>
              <w:t>ITT</w:t>
            </w:r>
            <w:r w:rsidRPr="00DB638E">
              <w:rPr>
                <w:rFonts w:ascii="Times New Roman" w:eastAsia="Times New Roman" w:hAnsi="Times New Roman"/>
                <w:b/>
                <w:sz w:val="24"/>
                <w:szCs w:val="24"/>
              </w:rPr>
              <w:t>-популяции (</w:t>
            </w:r>
            <w:r w:rsidRPr="00DB638E">
              <w:rPr>
                <w:rFonts w:ascii="Times New Roman" w:eastAsia="Times New Roman" w:hAnsi="Times New Roman"/>
                <w:b/>
                <w:sz w:val="24"/>
                <w:szCs w:val="24"/>
                <w:lang w:val="en-US"/>
              </w:rPr>
              <w:t>IRC</w:t>
            </w:r>
            <w:r w:rsidRPr="00DB638E">
              <w:rPr>
                <w:rFonts w:ascii="Times New Roman" w:eastAsia="Times New Roman" w:hAnsi="Times New Roman"/>
                <w:b/>
                <w:sz w:val="24"/>
                <w:szCs w:val="24"/>
              </w:rPr>
              <w:t>)</w:t>
            </w:r>
          </w:p>
        </w:tc>
        <w:tc>
          <w:tcPr>
            <w:tcW w:w="3656" w:type="dxa"/>
            <w:gridSpan w:val="2"/>
            <w:tcBorders>
              <w:top w:val="single" w:sz="4" w:space="0" w:color="auto"/>
              <w:left w:val="single" w:sz="4" w:space="0" w:color="auto"/>
              <w:bottom w:val="single" w:sz="4" w:space="0" w:color="auto"/>
              <w:right w:val="single" w:sz="4" w:space="0" w:color="auto"/>
            </w:tcBorders>
            <w:hideMark/>
          </w:tcPr>
          <w:p w14:paraId="0D53F7D9" w14:textId="77777777" w:rsidR="00915BD5" w:rsidRPr="00DB638E" w:rsidRDefault="00915BD5" w:rsidP="00664FB2">
            <w:pPr>
              <w:keepNext/>
              <w:tabs>
                <w:tab w:val="left" w:pos="567"/>
              </w:tabs>
              <w:spacing w:after="0" w:line="240" w:lineRule="auto"/>
              <w:jc w:val="center"/>
              <w:rPr>
                <w:rFonts w:ascii="Times New Roman" w:eastAsia="Times New Roman" w:hAnsi="Times New Roman"/>
                <w:b/>
                <w:sz w:val="24"/>
                <w:szCs w:val="24"/>
              </w:rPr>
            </w:pPr>
            <w:r w:rsidRPr="00DB638E">
              <w:rPr>
                <w:rFonts w:ascii="Times New Roman" w:eastAsia="Times New Roman" w:hAnsi="Times New Roman"/>
                <w:b/>
                <w:sz w:val="24"/>
                <w:szCs w:val="24"/>
              </w:rPr>
              <w:t xml:space="preserve">ЧОО на обзоре исследователя </w:t>
            </w:r>
            <w:r w:rsidRPr="00DB638E">
              <w:rPr>
                <w:rFonts w:ascii="Times New Roman" w:eastAsia="Times New Roman" w:hAnsi="Times New Roman"/>
                <w:b/>
                <w:sz w:val="24"/>
                <w:szCs w:val="24"/>
                <w:lang w:val="en-US"/>
              </w:rPr>
              <w:t>ITT</w:t>
            </w:r>
            <w:r w:rsidRPr="00DB638E">
              <w:rPr>
                <w:rFonts w:ascii="Times New Roman" w:eastAsia="Times New Roman" w:hAnsi="Times New Roman"/>
                <w:b/>
                <w:sz w:val="24"/>
                <w:szCs w:val="24"/>
              </w:rPr>
              <w:t>-популяции</w:t>
            </w:r>
          </w:p>
        </w:tc>
      </w:tr>
      <w:tr w:rsidR="00915BD5" w:rsidRPr="00DB638E" w14:paraId="41791F01" w14:textId="77777777" w:rsidTr="002777B4">
        <w:tc>
          <w:tcPr>
            <w:tcW w:w="2122" w:type="dxa"/>
            <w:tcBorders>
              <w:top w:val="single" w:sz="4" w:space="0" w:color="auto"/>
              <w:left w:val="single" w:sz="4" w:space="0" w:color="auto"/>
              <w:bottom w:val="single" w:sz="4" w:space="0" w:color="auto"/>
              <w:right w:val="single" w:sz="4" w:space="0" w:color="auto"/>
            </w:tcBorders>
            <w:hideMark/>
          </w:tcPr>
          <w:p w14:paraId="6C15A6C7" w14:textId="77777777" w:rsidR="00915BD5" w:rsidRPr="00DB638E" w:rsidRDefault="00915BD5" w:rsidP="00664FB2">
            <w:pPr>
              <w:keepNext/>
              <w:tabs>
                <w:tab w:val="left" w:pos="567"/>
              </w:tabs>
              <w:spacing w:after="0" w:line="240" w:lineRule="auto"/>
              <w:rPr>
                <w:rFonts w:ascii="Times New Roman" w:eastAsia="Times New Roman" w:hAnsi="Times New Roman"/>
                <w:b/>
                <w:sz w:val="24"/>
                <w:szCs w:val="24"/>
              </w:rPr>
            </w:pPr>
            <w:r w:rsidRPr="00DB638E">
              <w:rPr>
                <w:rFonts w:ascii="Times New Roman" w:eastAsia="Times New Roman" w:hAnsi="Times New Roman"/>
                <w:b/>
                <w:sz w:val="24"/>
                <w:szCs w:val="24"/>
              </w:rPr>
              <w:t>Конечная точа</w:t>
            </w:r>
          </w:p>
        </w:tc>
        <w:tc>
          <w:tcPr>
            <w:tcW w:w="1842" w:type="dxa"/>
            <w:shd w:val="clear" w:color="auto" w:fill="auto"/>
            <w:hideMark/>
          </w:tcPr>
          <w:p w14:paraId="15AC0AB2" w14:textId="77777777" w:rsidR="00915BD5" w:rsidRPr="00DB638E" w:rsidRDefault="00915BD5" w:rsidP="00664FB2">
            <w:pPr>
              <w:keepNext/>
              <w:tabs>
                <w:tab w:val="left" w:pos="567"/>
              </w:tabs>
              <w:spacing w:after="0" w:line="240" w:lineRule="auto"/>
              <w:jc w:val="center"/>
              <w:rPr>
                <w:rFonts w:ascii="Times New Roman" w:eastAsia="Times New Roman" w:hAnsi="Times New Roman"/>
                <w:b/>
                <w:sz w:val="24"/>
                <w:szCs w:val="24"/>
              </w:rPr>
            </w:pPr>
            <w:r w:rsidRPr="00DB638E">
              <w:rPr>
                <w:rFonts w:ascii="Times New Roman" w:eastAsia="Times New Roman" w:hAnsi="Times New Roman"/>
                <w:b/>
                <w:sz w:val="24"/>
                <w:szCs w:val="24"/>
              </w:rPr>
              <w:t>Кабозантиниб</w:t>
            </w:r>
          </w:p>
        </w:tc>
        <w:tc>
          <w:tcPr>
            <w:tcW w:w="1560" w:type="dxa"/>
            <w:shd w:val="clear" w:color="auto" w:fill="auto"/>
            <w:hideMark/>
          </w:tcPr>
          <w:p w14:paraId="0422FF72" w14:textId="77777777" w:rsidR="00915BD5" w:rsidRPr="00DB638E" w:rsidRDefault="00915BD5" w:rsidP="00664FB2">
            <w:pPr>
              <w:keepNext/>
              <w:tabs>
                <w:tab w:val="left" w:pos="567"/>
              </w:tabs>
              <w:spacing w:after="0" w:line="240" w:lineRule="auto"/>
              <w:jc w:val="center"/>
              <w:rPr>
                <w:rFonts w:ascii="Times New Roman" w:eastAsia="Times New Roman" w:hAnsi="Times New Roman"/>
                <w:b/>
                <w:sz w:val="24"/>
                <w:szCs w:val="24"/>
              </w:rPr>
            </w:pPr>
            <w:r w:rsidRPr="00DB638E">
              <w:rPr>
                <w:rFonts w:ascii="Times New Roman" w:eastAsia="Times New Roman" w:hAnsi="Times New Roman"/>
                <w:b/>
                <w:sz w:val="24"/>
                <w:szCs w:val="24"/>
              </w:rPr>
              <w:t>Эверолимус</w:t>
            </w:r>
          </w:p>
        </w:tc>
        <w:tc>
          <w:tcPr>
            <w:tcW w:w="1842" w:type="dxa"/>
            <w:shd w:val="clear" w:color="auto" w:fill="auto"/>
            <w:hideMark/>
          </w:tcPr>
          <w:p w14:paraId="4DAE7568" w14:textId="77777777" w:rsidR="00915BD5" w:rsidRPr="00DB638E" w:rsidRDefault="00915BD5" w:rsidP="00664FB2">
            <w:pPr>
              <w:keepNext/>
              <w:tabs>
                <w:tab w:val="left" w:pos="567"/>
              </w:tabs>
              <w:spacing w:after="0" w:line="240" w:lineRule="auto"/>
              <w:jc w:val="center"/>
              <w:rPr>
                <w:rFonts w:ascii="Times New Roman" w:eastAsia="Times New Roman" w:hAnsi="Times New Roman"/>
                <w:b/>
                <w:sz w:val="24"/>
                <w:szCs w:val="24"/>
              </w:rPr>
            </w:pPr>
            <w:r w:rsidRPr="00DB638E">
              <w:rPr>
                <w:rFonts w:ascii="Times New Roman" w:eastAsia="Times New Roman" w:hAnsi="Times New Roman"/>
                <w:b/>
                <w:sz w:val="24"/>
                <w:szCs w:val="24"/>
              </w:rPr>
              <w:t>Кабозантиниб</w:t>
            </w:r>
          </w:p>
        </w:tc>
        <w:tc>
          <w:tcPr>
            <w:tcW w:w="1814" w:type="dxa"/>
            <w:shd w:val="clear" w:color="auto" w:fill="auto"/>
            <w:hideMark/>
          </w:tcPr>
          <w:p w14:paraId="38DAEB14" w14:textId="77777777" w:rsidR="00915BD5" w:rsidRPr="00DB638E" w:rsidRDefault="00915BD5" w:rsidP="00664FB2">
            <w:pPr>
              <w:keepNext/>
              <w:tabs>
                <w:tab w:val="left" w:pos="567"/>
              </w:tabs>
              <w:spacing w:after="0" w:line="240" w:lineRule="auto"/>
              <w:jc w:val="center"/>
              <w:rPr>
                <w:rFonts w:ascii="Times New Roman" w:eastAsia="Times New Roman" w:hAnsi="Times New Roman"/>
                <w:b/>
                <w:sz w:val="24"/>
                <w:szCs w:val="24"/>
              </w:rPr>
            </w:pPr>
            <w:r w:rsidRPr="00DB638E">
              <w:rPr>
                <w:rFonts w:ascii="Times New Roman" w:eastAsia="Times New Roman" w:hAnsi="Times New Roman"/>
                <w:b/>
                <w:sz w:val="24"/>
                <w:szCs w:val="24"/>
              </w:rPr>
              <w:t>Эверолимус</w:t>
            </w:r>
          </w:p>
        </w:tc>
      </w:tr>
      <w:tr w:rsidR="00915BD5" w:rsidRPr="00DB638E" w14:paraId="281F1625" w14:textId="77777777" w:rsidTr="002777B4">
        <w:tc>
          <w:tcPr>
            <w:tcW w:w="2122" w:type="dxa"/>
            <w:tcBorders>
              <w:top w:val="single" w:sz="4" w:space="0" w:color="auto"/>
              <w:left w:val="single" w:sz="4" w:space="0" w:color="auto"/>
              <w:bottom w:val="single" w:sz="4" w:space="0" w:color="auto"/>
              <w:right w:val="single" w:sz="4" w:space="0" w:color="auto"/>
            </w:tcBorders>
          </w:tcPr>
          <w:p w14:paraId="5EA740CE" w14:textId="77777777" w:rsidR="00915BD5" w:rsidRPr="00DB638E" w:rsidRDefault="00915BD5" w:rsidP="00664FB2">
            <w:pPr>
              <w:keepNext/>
              <w:tabs>
                <w:tab w:val="left" w:pos="567"/>
              </w:tabs>
              <w:spacing w:after="0" w:line="240" w:lineRule="auto"/>
              <w:rPr>
                <w:rFonts w:ascii="Times New Roman" w:eastAsia="Times New Roman" w:hAnsi="Times New Roman"/>
                <w:b/>
                <w:sz w:val="24"/>
                <w:szCs w:val="24"/>
                <w:lang w:val="en-US"/>
              </w:rPr>
            </w:pPr>
          </w:p>
        </w:tc>
        <w:tc>
          <w:tcPr>
            <w:tcW w:w="1842" w:type="dxa"/>
            <w:tcBorders>
              <w:top w:val="single" w:sz="4" w:space="0" w:color="auto"/>
              <w:left w:val="single" w:sz="4" w:space="0" w:color="auto"/>
              <w:bottom w:val="single" w:sz="4" w:space="0" w:color="auto"/>
              <w:right w:val="single" w:sz="4" w:space="0" w:color="auto"/>
            </w:tcBorders>
            <w:hideMark/>
          </w:tcPr>
          <w:p w14:paraId="516DF7B3"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N = 330</w:t>
            </w:r>
          </w:p>
        </w:tc>
        <w:tc>
          <w:tcPr>
            <w:tcW w:w="1560" w:type="dxa"/>
            <w:tcBorders>
              <w:top w:val="single" w:sz="4" w:space="0" w:color="auto"/>
              <w:left w:val="single" w:sz="4" w:space="0" w:color="auto"/>
              <w:bottom w:val="single" w:sz="4" w:space="0" w:color="auto"/>
              <w:right w:val="single" w:sz="4" w:space="0" w:color="auto"/>
            </w:tcBorders>
            <w:hideMark/>
          </w:tcPr>
          <w:p w14:paraId="02C47834"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N = 328</w:t>
            </w:r>
          </w:p>
        </w:tc>
        <w:tc>
          <w:tcPr>
            <w:tcW w:w="1842" w:type="dxa"/>
            <w:tcBorders>
              <w:top w:val="single" w:sz="4" w:space="0" w:color="auto"/>
              <w:left w:val="single" w:sz="4" w:space="0" w:color="auto"/>
              <w:bottom w:val="single" w:sz="4" w:space="0" w:color="auto"/>
              <w:right w:val="single" w:sz="4" w:space="0" w:color="auto"/>
            </w:tcBorders>
            <w:hideMark/>
          </w:tcPr>
          <w:p w14:paraId="46442521"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N = 330</w:t>
            </w:r>
          </w:p>
        </w:tc>
        <w:tc>
          <w:tcPr>
            <w:tcW w:w="1814" w:type="dxa"/>
            <w:tcBorders>
              <w:top w:val="single" w:sz="4" w:space="0" w:color="auto"/>
              <w:left w:val="single" w:sz="4" w:space="0" w:color="auto"/>
              <w:bottom w:val="single" w:sz="4" w:space="0" w:color="auto"/>
              <w:right w:val="single" w:sz="4" w:space="0" w:color="auto"/>
            </w:tcBorders>
            <w:hideMark/>
          </w:tcPr>
          <w:p w14:paraId="3F512C59"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N = 328</w:t>
            </w:r>
          </w:p>
        </w:tc>
      </w:tr>
      <w:tr w:rsidR="00915BD5" w:rsidRPr="00DB638E" w14:paraId="13C96B23" w14:textId="77777777" w:rsidTr="002777B4">
        <w:tc>
          <w:tcPr>
            <w:tcW w:w="2122" w:type="dxa"/>
            <w:tcBorders>
              <w:top w:val="single" w:sz="4" w:space="0" w:color="auto"/>
              <w:left w:val="single" w:sz="4" w:space="0" w:color="auto"/>
              <w:bottom w:val="single" w:sz="4" w:space="0" w:color="auto"/>
              <w:right w:val="single" w:sz="4" w:space="0" w:color="auto"/>
            </w:tcBorders>
            <w:hideMark/>
          </w:tcPr>
          <w:p w14:paraId="4BA14BAD" w14:textId="77777777" w:rsidR="00915BD5" w:rsidRPr="00DB638E" w:rsidRDefault="00915BD5" w:rsidP="00664FB2">
            <w:pPr>
              <w:keepNext/>
              <w:tabs>
                <w:tab w:val="left" w:pos="567"/>
              </w:tabs>
              <w:spacing w:after="0" w:line="240" w:lineRule="auto"/>
              <w:rPr>
                <w:rFonts w:ascii="Times New Roman" w:eastAsia="Times New Roman" w:hAnsi="Times New Roman"/>
                <w:sz w:val="24"/>
                <w:szCs w:val="24"/>
              </w:rPr>
            </w:pPr>
            <w:r w:rsidRPr="00DB638E">
              <w:rPr>
                <w:rFonts w:ascii="Times New Roman" w:eastAsia="Times New Roman" w:hAnsi="Times New Roman"/>
                <w:sz w:val="24"/>
                <w:szCs w:val="24"/>
              </w:rPr>
              <w:t xml:space="preserve">ЧОО (только частичные </w:t>
            </w:r>
            <w:r w:rsidRPr="00DB638E">
              <w:rPr>
                <w:rFonts w:ascii="Times New Roman" w:eastAsia="Times New Roman" w:hAnsi="Times New Roman"/>
                <w:sz w:val="24"/>
                <w:szCs w:val="24"/>
                <w:lang w:val="kk-KZ"/>
              </w:rPr>
              <w:t>о</w:t>
            </w:r>
            <w:r w:rsidRPr="00DB638E">
              <w:rPr>
                <w:rFonts w:ascii="Times New Roman" w:eastAsia="Times New Roman" w:hAnsi="Times New Roman"/>
                <w:sz w:val="24"/>
                <w:szCs w:val="24"/>
              </w:rPr>
              <w:t>тветы) (95% ДИ)</w:t>
            </w:r>
          </w:p>
        </w:tc>
        <w:tc>
          <w:tcPr>
            <w:tcW w:w="1842" w:type="dxa"/>
            <w:tcBorders>
              <w:top w:val="single" w:sz="4" w:space="0" w:color="auto"/>
              <w:left w:val="single" w:sz="4" w:space="0" w:color="auto"/>
              <w:bottom w:val="single" w:sz="4" w:space="0" w:color="auto"/>
              <w:right w:val="single" w:sz="4" w:space="0" w:color="auto"/>
            </w:tcBorders>
            <w:hideMark/>
          </w:tcPr>
          <w:p w14:paraId="732251FD" w14:textId="77777777" w:rsidR="002777B4"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 xml:space="preserve">17% </w:t>
            </w:r>
          </w:p>
          <w:p w14:paraId="05E11B92" w14:textId="5DADE475"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(13%, 22%)</w:t>
            </w:r>
          </w:p>
        </w:tc>
        <w:tc>
          <w:tcPr>
            <w:tcW w:w="1560" w:type="dxa"/>
            <w:tcBorders>
              <w:top w:val="single" w:sz="4" w:space="0" w:color="auto"/>
              <w:left w:val="single" w:sz="4" w:space="0" w:color="auto"/>
              <w:bottom w:val="single" w:sz="4" w:space="0" w:color="auto"/>
              <w:right w:val="single" w:sz="4" w:space="0" w:color="auto"/>
            </w:tcBorders>
            <w:hideMark/>
          </w:tcPr>
          <w:p w14:paraId="4010CC85" w14:textId="77777777" w:rsidR="002777B4"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 xml:space="preserve">3% </w:t>
            </w:r>
          </w:p>
          <w:p w14:paraId="27EB5CD9" w14:textId="2D480C68"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(2%, 6%)</w:t>
            </w:r>
          </w:p>
        </w:tc>
        <w:tc>
          <w:tcPr>
            <w:tcW w:w="1842" w:type="dxa"/>
            <w:tcBorders>
              <w:top w:val="single" w:sz="4" w:space="0" w:color="auto"/>
              <w:left w:val="single" w:sz="4" w:space="0" w:color="auto"/>
              <w:bottom w:val="single" w:sz="4" w:space="0" w:color="auto"/>
              <w:right w:val="single" w:sz="4" w:space="0" w:color="auto"/>
            </w:tcBorders>
            <w:hideMark/>
          </w:tcPr>
          <w:p w14:paraId="36AE9DD6" w14:textId="77777777" w:rsidR="002777B4"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 xml:space="preserve">24% </w:t>
            </w:r>
          </w:p>
          <w:p w14:paraId="0B55BC23" w14:textId="06B05B63"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(19%, 29%)</w:t>
            </w:r>
          </w:p>
        </w:tc>
        <w:tc>
          <w:tcPr>
            <w:tcW w:w="1814" w:type="dxa"/>
            <w:tcBorders>
              <w:top w:val="single" w:sz="4" w:space="0" w:color="auto"/>
              <w:left w:val="single" w:sz="4" w:space="0" w:color="auto"/>
              <w:bottom w:val="single" w:sz="4" w:space="0" w:color="auto"/>
              <w:right w:val="single" w:sz="4" w:space="0" w:color="auto"/>
            </w:tcBorders>
            <w:hideMark/>
          </w:tcPr>
          <w:p w14:paraId="3B46C667" w14:textId="77777777" w:rsidR="002777B4"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 xml:space="preserve">4% </w:t>
            </w:r>
          </w:p>
          <w:p w14:paraId="731F533E" w14:textId="5F82E2E1"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(2%, 7%)</w:t>
            </w:r>
          </w:p>
        </w:tc>
      </w:tr>
      <w:tr w:rsidR="00915BD5" w:rsidRPr="00DB638E" w14:paraId="14CE4549" w14:textId="77777777" w:rsidTr="002777B4">
        <w:tc>
          <w:tcPr>
            <w:tcW w:w="2122" w:type="dxa"/>
            <w:tcBorders>
              <w:top w:val="single" w:sz="4" w:space="0" w:color="auto"/>
              <w:left w:val="single" w:sz="4" w:space="0" w:color="auto"/>
              <w:bottom w:val="single" w:sz="4" w:space="0" w:color="auto"/>
              <w:right w:val="single" w:sz="4" w:space="0" w:color="auto"/>
            </w:tcBorders>
            <w:hideMark/>
          </w:tcPr>
          <w:p w14:paraId="311FC9B3" w14:textId="77777777" w:rsidR="00915BD5" w:rsidRPr="00DB638E" w:rsidRDefault="00915BD5" w:rsidP="00664FB2">
            <w:pPr>
              <w:keepNext/>
              <w:tabs>
                <w:tab w:val="left" w:pos="567"/>
              </w:tabs>
              <w:spacing w:after="0" w:line="240" w:lineRule="auto"/>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p</w:t>
            </w:r>
            <w:r w:rsidRPr="00DB638E">
              <w:rPr>
                <w:rFonts w:ascii="Times New Roman" w:eastAsia="Times New Roman" w:hAnsi="Times New Roman"/>
                <w:sz w:val="24"/>
                <w:szCs w:val="24"/>
                <w:lang w:val="en-US"/>
              </w:rPr>
              <w:noBreakHyphen/>
              <w:t>значение</w:t>
            </w:r>
            <w:r w:rsidRPr="00DB638E">
              <w:rPr>
                <w:rFonts w:ascii="Times New Roman" w:eastAsia="Times New Roman" w:hAnsi="Times New Roman"/>
                <w:sz w:val="24"/>
                <w:szCs w:val="24"/>
                <w:vertAlign w:val="superscript"/>
                <w:lang w:val="en-US"/>
              </w:rPr>
              <w:t>1</w:t>
            </w:r>
          </w:p>
        </w:tc>
        <w:tc>
          <w:tcPr>
            <w:tcW w:w="3402" w:type="dxa"/>
            <w:gridSpan w:val="2"/>
            <w:tcBorders>
              <w:top w:val="single" w:sz="4" w:space="0" w:color="auto"/>
              <w:left w:val="single" w:sz="4" w:space="0" w:color="auto"/>
              <w:bottom w:val="single" w:sz="4" w:space="0" w:color="auto"/>
              <w:right w:val="single" w:sz="4" w:space="0" w:color="auto"/>
            </w:tcBorders>
            <w:hideMark/>
          </w:tcPr>
          <w:p w14:paraId="2B89A368"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p&lt;0.0001</w:t>
            </w:r>
          </w:p>
        </w:tc>
        <w:tc>
          <w:tcPr>
            <w:tcW w:w="3656" w:type="dxa"/>
            <w:gridSpan w:val="2"/>
            <w:tcBorders>
              <w:top w:val="single" w:sz="4" w:space="0" w:color="auto"/>
              <w:left w:val="single" w:sz="4" w:space="0" w:color="auto"/>
              <w:bottom w:val="single" w:sz="4" w:space="0" w:color="auto"/>
              <w:right w:val="single" w:sz="4" w:space="0" w:color="auto"/>
            </w:tcBorders>
            <w:hideMark/>
          </w:tcPr>
          <w:p w14:paraId="5A4E9C47"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p&lt; 0.0001</w:t>
            </w:r>
          </w:p>
        </w:tc>
      </w:tr>
      <w:tr w:rsidR="00915BD5" w:rsidRPr="00DB638E" w14:paraId="57DBB20F" w14:textId="77777777" w:rsidTr="002777B4">
        <w:tc>
          <w:tcPr>
            <w:tcW w:w="2122" w:type="dxa"/>
            <w:tcBorders>
              <w:top w:val="single" w:sz="4" w:space="0" w:color="auto"/>
              <w:left w:val="single" w:sz="4" w:space="0" w:color="auto"/>
              <w:bottom w:val="single" w:sz="4" w:space="0" w:color="auto"/>
              <w:right w:val="single" w:sz="4" w:space="0" w:color="auto"/>
            </w:tcBorders>
            <w:hideMark/>
          </w:tcPr>
          <w:p w14:paraId="4844ADCD" w14:textId="77777777" w:rsidR="00915BD5" w:rsidRPr="00DB638E" w:rsidRDefault="00915BD5" w:rsidP="00664FB2">
            <w:pPr>
              <w:keepNext/>
              <w:tabs>
                <w:tab w:val="left" w:pos="567"/>
              </w:tabs>
              <w:spacing w:after="0" w:line="240" w:lineRule="auto"/>
              <w:rPr>
                <w:rFonts w:ascii="Times New Roman" w:eastAsia="Times New Roman" w:hAnsi="Times New Roman"/>
                <w:sz w:val="24"/>
                <w:szCs w:val="24"/>
              </w:rPr>
            </w:pPr>
            <w:r w:rsidRPr="00DB638E">
              <w:rPr>
                <w:rFonts w:ascii="Times New Roman" w:eastAsia="Times New Roman" w:hAnsi="Times New Roman"/>
                <w:sz w:val="24"/>
                <w:szCs w:val="24"/>
              </w:rPr>
              <w:t>Частичные ответы</w:t>
            </w:r>
          </w:p>
        </w:tc>
        <w:tc>
          <w:tcPr>
            <w:tcW w:w="1842" w:type="dxa"/>
            <w:tcBorders>
              <w:top w:val="single" w:sz="4" w:space="0" w:color="auto"/>
              <w:left w:val="single" w:sz="4" w:space="0" w:color="auto"/>
              <w:bottom w:val="single" w:sz="4" w:space="0" w:color="auto"/>
              <w:right w:val="single" w:sz="4" w:space="0" w:color="auto"/>
            </w:tcBorders>
            <w:hideMark/>
          </w:tcPr>
          <w:p w14:paraId="0DCC78BA"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17%</w:t>
            </w:r>
          </w:p>
        </w:tc>
        <w:tc>
          <w:tcPr>
            <w:tcW w:w="1560" w:type="dxa"/>
            <w:tcBorders>
              <w:top w:val="single" w:sz="4" w:space="0" w:color="auto"/>
              <w:left w:val="single" w:sz="4" w:space="0" w:color="auto"/>
              <w:bottom w:val="single" w:sz="4" w:space="0" w:color="auto"/>
              <w:right w:val="single" w:sz="4" w:space="0" w:color="auto"/>
            </w:tcBorders>
            <w:hideMark/>
          </w:tcPr>
          <w:p w14:paraId="78403695"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3%</w:t>
            </w:r>
          </w:p>
        </w:tc>
        <w:tc>
          <w:tcPr>
            <w:tcW w:w="1842" w:type="dxa"/>
            <w:tcBorders>
              <w:top w:val="single" w:sz="4" w:space="0" w:color="auto"/>
              <w:left w:val="single" w:sz="4" w:space="0" w:color="auto"/>
              <w:bottom w:val="single" w:sz="4" w:space="0" w:color="auto"/>
              <w:right w:val="single" w:sz="4" w:space="0" w:color="auto"/>
            </w:tcBorders>
            <w:hideMark/>
          </w:tcPr>
          <w:p w14:paraId="527AE91D"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24%</w:t>
            </w:r>
          </w:p>
        </w:tc>
        <w:tc>
          <w:tcPr>
            <w:tcW w:w="1814" w:type="dxa"/>
            <w:tcBorders>
              <w:top w:val="single" w:sz="4" w:space="0" w:color="auto"/>
              <w:left w:val="single" w:sz="4" w:space="0" w:color="auto"/>
              <w:bottom w:val="single" w:sz="4" w:space="0" w:color="auto"/>
              <w:right w:val="single" w:sz="4" w:space="0" w:color="auto"/>
            </w:tcBorders>
            <w:hideMark/>
          </w:tcPr>
          <w:p w14:paraId="504DE875"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4%</w:t>
            </w:r>
          </w:p>
        </w:tc>
      </w:tr>
      <w:tr w:rsidR="00915BD5" w:rsidRPr="00DB638E" w14:paraId="5FBF7ABF" w14:textId="77777777" w:rsidTr="002777B4">
        <w:tc>
          <w:tcPr>
            <w:tcW w:w="2122" w:type="dxa"/>
            <w:tcBorders>
              <w:top w:val="single" w:sz="4" w:space="0" w:color="auto"/>
              <w:left w:val="single" w:sz="4" w:space="0" w:color="auto"/>
              <w:bottom w:val="single" w:sz="4" w:space="0" w:color="auto"/>
              <w:right w:val="single" w:sz="4" w:space="0" w:color="auto"/>
            </w:tcBorders>
            <w:hideMark/>
          </w:tcPr>
          <w:p w14:paraId="224AD652" w14:textId="77777777" w:rsidR="00915BD5" w:rsidRPr="00DB638E" w:rsidRDefault="00915BD5" w:rsidP="00664FB2">
            <w:pPr>
              <w:keepNext/>
              <w:tabs>
                <w:tab w:val="left" w:pos="567"/>
              </w:tabs>
              <w:spacing w:after="0" w:line="240" w:lineRule="auto"/>
              <w:rPr>
                <w:rFonts w:ascii="Times New Roman" w:eastAsia="Times New Roman" w:hAnsi="Times New Roman"/>
                <w:sz w:val="24"/>
                <w:szCs w:val="24"/>
              </w:rPr>
            </w:pPr>
            <w:r w:rsidRPr="00DB638E">
              <w:rPr>
                <w:rFonts w:ascii="Times New Roman" w:eastAsia="Times New Roman" w:hAnsi="Times New Roman"/>
                <w:sz w:val="24"/>
                <w:szCs w:val="24"/>
              </w:rPr>
              <w:t>Медиана времени до первого ответа, месяцы (95% ДИ)</w:t>
            </w:r>
          </w:p>
        </w:tc>
        <w:tc>
          <w:tcPr>
            <w:tcW w:w="1842" w:type="dxa"/>
            <w:tcBorders>
              <w:top w:val="single" w:sz="4" w:space="0" w:color="auto"/>
              <w:left w:val="single" w:sz="4" w:space="0" w:color="auto"/>
              <w:bottom w:val="single" w:sz="4" w:space="0" w:color="auto"/>
              <w:right w:val="single" w:sz="4" w:space="0" w:color="auto"/>
            </w:tcBorders>
            <w:hideMark/>
          </w:tcPr>
          <w:p w14:paraId="2AE19CF0" w14:textId="77777777" w:rsidR="002777B4"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 xml:space="preserve">1.91 </w:t>
            </w:r>
          </w:p>
          <w:p w14:paraId="2C0CDEB5" w14:textId="25363024"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(1.6, 11.0)</w:t>
            </w:r>
          </w:p>
        </w:tc>
        <w:tc>
          <w:tcPr>
            <w:tcW w:w="1560" w:type="dxa"/>
            <w:tcBorders>
              <w:top w:val="single" w:sz="4" w:space="0" w:color="auto"/>
              <w:left w:val="single" w:sz="4" w:space="0" w:color="auto"/>
              <w:bottom w:val="single" w:sz="4" w:space="0" w:color="auto"/>
              <w:right w:val="single" w:sz="4" w:space="0" w:color="auto"/>
            </w:tcBorders>
            <w:hideMark/>
          </w:tcPr>
          <w:p w14:paraId="209272BA" w14:textId="77777777" w:rsidR="002777B4"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 xml:space="preserve">2.14 </w:t>
            </w:r>
          </w:p>
          <w:p w14:paraId="04C89435" w14:textId="63E9EF69"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(1.9, 9.2)</w:t>
            </w:r>
          </w:p>
        </w:tc>
        <w:tc>
          <w:tcPr>
            <w:tcW w:w="1842" w:type="dxa"/>
            <w:tcBorders>
              <w:top w:val="single" w:sz="4" w:space="0" w:color="auto"/>
              <w:left w:val="single" w:sz="4" w:space="0" w:color="auto"/>
              <w:bottom w:val="single" w:sz="4" w:space="0" w:color="auto"/>
              <w:right w:val="single" w:sz="4" w:space="0" w:color="auto"/>
            </w:tcBorders>
          </w:tcPr>
          <w:p w14:paraId="557C1CA0" w14:textId="77777777" w:rsidR="002777B4"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 xml:space="preserve">1.91 </w:t>
            </w:r>
          </w:p>
          <w:p w14:paraId="1DEA6F8D" w14:textId="2C4E5E15"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(1.3, 9.8)</w:t>
            </w:r>
          </w:p>
        </w:tc>
        <w:tc>
          <w:tcPr>
            <w:tcW w:w="1814" w:type="dxa"/>
            <w:tcBorders>
              <w:top w:val="single" w:sz="4" w:space="0" w:color="auto"/>
              <w:left w:val="single" w:sz="4" w:space="0" w:color="auto"/>
              <w:bottom w:val="single" w:sz="4" w:space="0" w:color="auto"/>
              <w:right w:val="single" w:sz="4" w:space="0" w:color="auto"/>
            </w:tcBorders>
          </w:tcPr>
          <w:p w14:paraId="140AC0FF" w14:textId="77777777" w:rsidR="002777B4"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 xml:space="preserve">3.50 </w:t>
            </w:r>
          </w:p>
          <w:p w14:paraId="45C633D6" w14:textId="15630D8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(1.8, 5.6)</w:t>
            </w:r>
          </w:p>
        </w:tc>
      </w:tr>
      <w:tr w:rsidR="00915BD5" w:rsidRPr="00DB638E" w14:paraId="3DDD19A2" w14:textId="77777777" w:rsidTr="002777B4">
        <w:tc>
          <w:tcPr>
            <w:tcW w:w="2122" w:type="dxa"/>
            <w:tcBorders>
              <w:top w:val="single" w:sz="4" w:space="0" w:color="auto"/>
              <w:left w:val="single" w:sz="4" w:space="0" w:color="auto"/>
              <w:bottom w:val="single" w:sz="4" w:space="0" w:color="auto"/>
              <w:right w:val="single" w:sz="4" w:space="0" w:color="auto"/>
            </w:tcBorders>
            <w:hideMark/>
          </w:tcPr>
          <w:p w14:paraId="4FD4E1B4" w14:textId="77777777" w:rsidR="00915BD5" w:rsidRPr="00DB638E" w:rsidRDefault="00915BD5" w:rsidP="00664FB2">
            <w:pPr>
              <w:keepNext/>
              <w:tabs>
                <w:tab w:val="left" w:pos="567"/>
              </w:tabs>
              <w:spacing w:after="0" w:line="240" w:lineRule="auto"/>
              <w:rPr>
                <w:rFonts w:ascii="Times New Roman" w:eastAsia="Times New Roman" w:hAnsi="Times New Roman"/>
                <w:sz w:val="24"/>
                <w:szCs w:val="24"/>
              </w:rPr>
            </w:pPr>
            <w:r w:rsidRPr="00DB638E">
              <w:rPr>
                <w:rFonts w:ascii="Times New Roman" w:eastAsia="Times New Roman" w:hAnsi="Times New Roman"/>
                <w:sz w:val="24"/>
                <w:szCs w:val="24"/>
              </w:rPr>
              <w:t>Стабильное течение болезни, как лучший ответ</w:t>
            </w:r>
          </w:p>
        </w:tc>
        <w:tc>
          <w:tcPr>
            <w:tcW w:w="1842" w:type="dxa"/>
            <w:tcBorders>
              <w:top w:val="single" w:sz="4" w:space="0" w:color="auto"/>
              <w:left w:val="single" w:sz="4" w:space="0" w:color="auto"/>
              <w:bottom w:val="single" w:sz="4" w:space="0" w:color="auto"/>
              <w:right w:val="single" w:sz="4" w:space="0" w:color="auto"/>
            </w:tcBorders>
            <w:hideMark/>
          </w:tcPr>
          <w:p w14:paraId="34E39AF2"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65%</w:t>
            </w:r>
          </w:p>
        </w:tc>
        <w:tc>
          <w:tcPr>
            <w:tcW w:w="1560" w:type="dxa"/>
            <w:tcBorders>
              <w:top w:val="single" w:sz="4" w:space="0" w:color="auto"/>
              <w:left w:val="single" w:sz="4" w:space="0" w:color="auto"/>
              <w:bottom w:val="single" w:sz="4" w:space="0" w:color="auto"/>
              <w:right w:val="single" w:sz="4" w:space="0" w:color="auto"/>
            </w:tcBorders>
            <w:hideMark/>
          </w:tcPr>
          <w:p w14:paraId="1ABC069D"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62%</w:t>
            </w:r>
          </w:p>
        </w:tc>
        <w:tc>
          <w:tcPr>
            <w:tcW w:w="1842" w:type="dxa"/>
            <w:tcBorders>
              <w:top w:val="single" w:sz="4" w:space="0" w:color="auto"/>
              <w:left w:val="single" w:sz="4" w:space="0" w:color="auto"/>
              <w:bottom w:val="single" w:sz="4" w:space="0" w:color="auto"/>
              <w:right w:val="single" w:sz="4" w:space="0" w:color="auto"/>
            </w:tcBorders>
            <w:hideMark/>
          </w:tcPr>
          <w:p w14:paraId="3A568090"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63%</w:t>
            </w:r>
          </w:p>
        </w:tc>
        <w:tc>
          <w:tcPr>
            <w:tcW w:w="1814" w:type="dxa"/>
            <w:tcBorders>
              <w:top w:val="single" w:sz="4" w:space="0" w:color="auto"/>
              <w:left w:val="single" w:sz="4" w:space="0" w:color="auto"/>
              <w:bottom w:val="single" w:sz="4" w:space="0" w:color="auto"/>
              <w:right w:val="single" w:sz="4" w:space="0" w:color="auto"/>
            </w:tcBorders>
            <w:hideMark/>
          </w:tcPr>
          <w:p w14:paraId="238EF1C0"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63%</w:t>
            </w:r>
          </w:p>
        </w:tc>
      </w:tr>
      <w:tr w:rsidR="00915BD5" w:rsidRPr="00DB638E" w14:paraId="33DE95CE" w14:textId="77777777" w:rsidTr="002777B4">
        <w:tc>
          <w:tcPr>
            <w:tcW w:w="2122" w:type="dxa"/>
            <w:tcBorders>
              <w:top w:val="single" w:sz="4" w:space="0" w:color="auto"/>
              <w:left w:val="single" w:sz="4" w:space="0" w:color="auto"/>
              <w:bottom w:val="single" w:sz="4" w:space="0" w:color="auto"/>
              <w:right w:val="single" w:sz="4" w:space="0" w:color="auto"/>
            </w:tcBorders>
            <w:hideMark/>
          </w:tcPr>
          <w:p w14:paraId="662D2F3F" w14:textId="77777777" w:rsidR="00915BD5" w:rsidRPr="00DB638E" w:rsidRDefault="00915BD5" w:rsidP="00664FB2">
            <w:pPr>
              <w:keepNext/>
              <w:tabs>
                <w:tab w:val="left" w:pos="567"/>
              </w:tabs>
              <w:spacing w:after="0" w:line="240" w:lineRule="auto"/>
              <w:rPr>
                <w:rFonts w:ascii="Times New Roman" w:eastAsia="Times New Roman" w:hAnsi="Times New Roman"/>
                <w:sz w:val="24"/>
                <w:szCs w:val="24"/>
              </w:rPr>
            </w:pPr>
            <w:r w:rsidRPr="00DB638E">
              <w:rPr>
                <w:rFonts w:ascii="Times New Roman" w:eastAsia="Times New Roman" w:hAnsi="Times New Roman"/>
                <w:sz w:val="24"/>
                <w:szCs w:val="24"/>
              </w:rPr>
              <w:t>Прогрессирование заболевания как лучший ответ</w:t>
            </w:r>
          </w:p>
        </w:tc>
        <w:tc>
          <w:tcPr>
            <w:tcW w:w="1842" w:type="dxa"/>
            <w:tcBorders>
              <w:top w:val="single" w:sz="4" w:space="0" w:color="auto"/>
              <w:left w:val="single" w:sz="4" w:space="0" w:color="auto"/>
              <w:bottom w:val="single" w:sz="4" w:space="0" w:color="auto"/>
              <w:right w:val="single" w:sz="4" w:space="0" w:color="auto"/>
            </w:tcBorders>
            <w:hideMark/>
          </w:tcPr>
          <w:p w14:paraId="6E7A6418"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12%</w:t>
            </w:r>
          </w:p>
        </w:tc>
        <w:tc>
          <w:tcPr>
            <w:tcW w:w="1560" w:type="dxa"/>
            <w:tcBorders>
              <w:top w:val="single" w:sz="4" w:space="0" w:color="auto"/>
              <w:left w:val="single" w:sz="4" w:space="0" w:color="auto"/>
              <w:bottom w:val="single" w:sz="4" w:space="0" w:color="auto"/>
              <w:right w:val="single" w:sz="4" w:space="0" w:color="auto"/>
            </w:tcBorders>
            <w:hideMark/>
          </w:tcPr>
          <w:p w14:paraId="685ECF3F"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27%</w:t>
            </w:r>
          </w:p>
        </w:tc>
        <w:tc>
          <w:tcPr>
            <w:tcW w:w="1842" w:type="dxa"/>
            <w:tcBorders>
              <w:top w:val="single" w:sz="4" w:space="0" w:color="auto"/>
              <w:left w:val="single" w:sz="4" w:space="0" w:color="auto"/>
              <w:bottom w:val="single" w:sz="4" w:space="0" w:color="auto"/>
              <w:right w:val="single" w:sz="4" w:space="0" w:color="auto"/>
            </w:tcBorders>
            <w:hideMark/>
          </w:tcPr>
          <w:p w14:paraId="18419EB2"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9%</w:t>
            </w:r>
          </w:p>
        </w:tc>
        <w:tc>
          <w:tcPr>
            <w:tcW w:w="1814" w:type="dxa"/>
            <w:tcBorders>
              <w:top w:val="single" w:sz="4" w:space="0" w:color="auto"/>
              <w:left w:val="single" w:sz="4" w:space="0" w:color="auto"/>
              <w:bottom w:val="single" w:sz="4" w:space="0" w:color="auto"/>
              <w:right w:val="single" w:sz="4" w:space="0" w:color="auto"/>
            </w:tcBorders>
            <w:hideMark/>
          </w:tcPr>
          <w:p w14:paraId="2871E157" w14:textId="77777777" w:rsidR="00915BD5" w:rsidRPr="00DB638E"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DB638E">
              <w:rPr>
                <w:rFonts w:ascii="Times New Roman" w:eastAsia="Times New Roman" w:hAnsi="Times New Roman"/>
                <w:sz w:val="24"/>
                <w:szCs w:val="24"/>
                <w:lang w:val="en-US"/>
              </w:rPr>
              <w:t>27%</w:t>
            </w:r>
          </w:p>
        </w:tc>
      </w:tr>
    </w:tbl>
    <w:bookmarkEnd w:id="126"/>
    <w:p w14:paraId="198E049B" w14:textId="77777777" w:rsidR="007E4E5D" w:rsidRPr="00DB638E" w:rsidRDefault="007E4E5D" w:rsidP="007E4E5D">
      <w:pPr>
        <w:tabs>
          <w:tab w:val="left" w:pos="5835"/>
        </w:tabs>
        <w:spacing w:after="0" w:line="240" w:lineRule="auto"/>
        <w:rPr>
          <w:rFonts w:ascii="Times New Roman" w:hAnsi="Times New Roman"/>
          <w:sz w:val="24"/>
          <w:szCs w:val="24"/>
        </w:rPr>
      </w:pPr>
      <w:r w:rsidRPr="00DB638E">
        <w:rPr>
          <w:rFonts w:ascii="Times New Roman" w:hAnsi="Times New Roman"/>
          <w:sz w:val="24"/>
          <w:szCs w:val="24"/>
          <w:vertAlign w:val="superscript"/>
        </w:rPr>
        <w:t>1</w:t>
      </w:r>
      <w:r w:rsidRPr="00DB638E">
        <w:rPr>
          <w:rFonts w:ascii="Times New Roman" w:hAnsi="Times New Roman"/>
          <w:sz w:val="24"/>
          <w:szCs w:val="24"/>
        </w:rPr>
        <w:t xml:space="preserve"> – критерий согласия Пирсона</w:t>
      </w:r>
    </w:p>
    <w:p w14:paraId="01776D6F" w14:textId="77777777" w:rsidR="002777B4" w:rsidRPr="00DB638E" w:rsidRDefault="002777B4" w:rsidP="00231A9A">
      <w:pPr>
        <w:tabs>
          <w:tab w:val="left" w:pos="5835"/>
        </w:tabs>
        <w:spacing w:after="0" w:line="240" w:lineRule="auto"/>
        <w:jc w:val="both"/>
        <w:rPr>
          <w:rFonts w:ascii="Times New Roman" w:hAnsi="Times New Roman"/>
          <w:i/>
          <w:sz w:val="24"/>
          <w:szCs w:val="24"/>
          <w:u w:val="single"/>
        </w:rPr>
      </w:pPr>
    </w:p>
    <w:p w14:paraId="3013F3E9" w14:textId="365F4F71" w:rsidR="00231A9A" w:rsidRPr="00DB638E" w:rsidRDefault="00231A9A" w:rsidP="00231A9A">
      <w:pPr>
        <w:tabs>
          <w:tab w:val="left" w:pos="5835"/>
        </w:tabs>
        <w:spacing w:after="0" w:line="240" w:lineRule="auto"/>
        <w:jc w:val="both"/>
        <w:rPr>
          <w:rFonts w:ascii="Times New Roman" w:hAnsi="Times New Roman"/>
          <w:i/>
          <w:sz w:val="24"/>
          <w:szCs w:val="24"/>
          <w:u w:val="single"/>
          <w:lang w:val="kk-KZ"/>
        </w:rPr>
      </w:pPr>
      <w:r w:rsidRPr="00DB638E">
        <w:rPr>
          <w:rFonts w:ascii="Times New Roman" w:hAnsi="Times New Roman"/>
          <w:i/>
          <w:sz w:val="24"/>
          <w:szCs w:val="24"/>
          <w:u w:val="single"/>
        </w:rPr>
        <w:t xml:space="preserve">Клинические данные у пациентов с почечно-клеточным раком, не получавших предварительного лечения </w:t>
      </w:r>
      <w:bookmarkStart w:id="127" w:name="_Hlk75282709"/>
      <w:r w:rsidRPr="00DB638E">
        <w:rPr>
          <w:rFonts w:ascii="Times New Roman" w:hAnsi="Times New Roman"/>
          <w:i/>
          <w:sz w:val="24"/>
          <w:szCs w:val="24"/>
          <w:u w:val="single"/>
        </w:rPr>
        <w:t>(</w:t>
      </w:r>
      <w:r w:rsidRPr="00DB638E">
        <w:rPr>
          <w:rFonts w:ascii="Times New Roman" w:hAnsi="Times New Roman"/>
          <w:i/>
          <w:sz w:val="24"/>
          <w:szCs w:val="24"/>
          <w:u w:val="single"/>
          <w:lang w:val="en-US"/>
        </w:rPr>
        <w:t>CABOSUN</w:t>
      </w:r>
      <w:r w:rsidRPr="00DB638E">
        <w:rPr>
          <w:rFonts w:ascii="Times New Roman" w:hAnsi="Times New Roman"/>
          <w:i/>
          <w:sz w:val="24"/>
          <w:szCs w:val="24"/>
          <w:u w:val="single"/>
        </w:rPr>
        <w:t>)</w:t>
      </w:r>
    </w:p>
    <w:p w14:paraId="0880F11D" w14:textId="0DE72C1D" w:rsidR="00231A9A" w:rsidRPr="00DB638E" w:rsidRDefault="00231A9A" w:rsidP="00231A9A">
      <w:pPr>
        <w:tabs>
          <w:tab w:val="left" w:pos="5835"/>
        </w:tabs>
        <w:spacing w:after="0" w:line="240" w:lineRule="auto"/>
        <w:jc w:val="both"/>
        <w:rPr>
          <w:rFonts w:ascii="Times New Roman" w:hAnsi="Times New Roman"/>
          <w:sz w:val="24"/>
          <w:szCs w:val="24"/>
        </w:rPr>
      </w:pPr>
      <w:bookmarkStart w:id="128" w:name="_Hlk12612872"/>
      <w:bookmarkEnd w:id="127"/>
      <w:r w:rsidRPr="00DB638E">
        <w:rPr>
          <w:rFonts w:ascii="Times New Roman" w:hAnsi="Times New Roman"/>
          <w:sz w:val="24"/>
          <w:szCs w:val="24"/>
        </w:rPr>
        <w:lastRenderedPageBreak/>
        <w:t xml:space="preserve">Безопасность и эффективность </w:t>
      </w:r>
      <w:bookmarkEnd w:id="128"/>
      <w:r w:rsidR="00343720" w:rsidRPr="00DB638E">
        <w:rPr>
          <w:rFonts w:ascii="Times New Roman" w:hAnsi="Times New Roman"/>
          <w:sz w:val="24"/>
          <w:szCs w:val="24"/>
        </w:rPr>
        <w:t xml:space="preserve">кабозантиниба </w:t>
      </w:r>
      <w:r w:rsidRPr="00DB638E">
        <w:rPr>
          <w:rFonts w:ascii="Times New Roman" w:hAnsi="Times New Roman"/>
          <w:sz w:val="24"/>
          <w:szCs w:val="24"/>
        </w:rPr>
        <w:t>для лечения почечно-к</w:t>
      </w:r>
      <w:r w:rsidR="00F159EB" w:rsidRPr="00DB638E">
        <w:rPr>
          <w:rFonts w:ascii="Times New Roman" w:hAnsi="Times New Roman"/>
          <w:sz w:val="24"/>
          <w:szCs w:val="24"/>
        </w:rPr>
        <w:t>л</w:t>
      </w:r>
      <w:r w:rsidRPr="00DB638E">
        <w:rPr>
          <w:rFonts w:ascii="Times New Roman" w:hAnsi="Times New Roman"/>
          <w:sz w:val="24"/>
          <w:szCs w:val="24"/>
        </w:rPr>
        <w:t xml:space="preserve">еточного рака без предшествующей терапии оценивали в рандомизированном открытом многоцентровом исследовании (CABOSUN). Пациенты (N = 157) с ранее не леченным, локально распространенным или метастатическим печеночно-клеточным раком с компонентом паренхиматозной клетки новообразований были рандомизированы (1:1), чтобы получать </w:t>
      </w:r>
      <w:r w:rsidR="00F159EB" w:rsidRPr="00DB638E">
        <w:rPr>
          <w:rFonts w:ascii="Times New Roman" w:hAnsi="Times New Roman"/>
          <w:sz w:val="24"/>
          <w:szCs w:val="24"/>
        </w:rPr>
        <w:t>кабозантиниб</w:t>
      </w:r>
      <w:r w:rsidRPr="00DB638E">
        <w:rPr>
          <w:rFonts w:ascii="Times New Roman" w:hAnsi="Times New Roman"/>
          <w:sz w:val="24"/>
          <w:szCs w:val="24"/>
        </w:rPr>
        <w:t xml:space="preserve"> (N = 79) или сунитиниб (N = 78). Пациенты должны были иметь промежуточный или высокий риск заболевания, как это определено в категориях групп риска Международной метастатической баз данных (IMDC) при почечно-клеточном раке. Пациенты были стратифицированы с помощью группы риска IMDC и наличием метастазов в кости (да/нет). Приблизительно 75% пациентов имели нефрэктомию до начала лечения.</w:t>
      </w:r>
    </w:p>
    <w:p w14:paraId="55AE933E" w14:textId="3B217180" w:rsidR="00231A9A" w:rsidRPr="00DB638E" w:rsidRDefault="00231A9A" w:rsidP="00231A9A">
      <w:pPr>
        <w:tabs>
          <w:tab w:val="left" w:pos="5835"/>
        </w:tabs>
        <w:spacing w:after="0" w:line="240" w:lineRule="auto"/>
        <w:jc w:val="both"/>
        <w:rPr>
          <w:rFonts w:ascii="Times New Roman" w:hAnsi="Times New Roman"/>
          <w:sz w:val="24"/>
          <w:szCs w:val="24"/>
        </w:rPr>
      </w:pPr>
      <w:r w:rsidRPr="00DB638E">
        <w:rPr>
          <w:rFonts w:ascii="Times New Roman" w:hAnsi="Times New Roman"/>
          <w:sz w:val="24"/>
          <w:szCs w:val="24"/>
        </w:rPr>
        <w:t xml:space="preserve">Для промежуточного риска заболевания были выполнены один или два из следующих факторов риска, в то время как при высоком риске были удовлетворены три или более фактора: время от постановки диагноза почечно-клеточный рак до системного лечения &lt;1 год, </w:t>
      </w:r>
      <w:r w:rsidR="005A79D5" w:rsidRPr="00DB638E">
        <w:rPr>
          <w:rFonts w:ascii="Times New Roman" w:hAnsi="Times New Roman"/>
          <w:sz w:val="24"/>
          <w:szCs w:val="24"/>
        </w:rPr>
        <w:t>Гемоглобин (</w:t>
      </w:r>
      <w:r w:rsidRPr="00DB638E">
        <w:rPr>
          <w:rFonts w:ascii="Times New Roman" w:hAnsi="Times New Roman"/>
          <w:sz w:val="24"/>
          <w:szCs w:val="24"/>
        </w:rPr>
        <w:t>Hgb</w:t>
      </w:r>
      <w:r w:rsidR="005A79D5" w:rsidRPr="00DB638E">
        <w:rPr>
          <w:rFonts w:ascii="Times New Roman" w:hAnsi="Times New Roman"/>
          <w:sz w:val="24"/>
          <w:szCs w:val="24"/>
        </w:rPr>
        <w:t>)</w:t>
      </w:r>
      <w:r w:rsidRPr="00DB638E">
        <w:rPr>
          <w:rFonts w:ascii="Times New Roman" w:hAnsi="Times New Roman"/>
          <w:sz w:val="24"/>
          <w:szCs w:val="24"/>
        </w:rPr>
        <w:t xml:space="preserve"> &lt;</w:t>
      </w:r>
      <w:r w:rsidR="005A79D5" w:rsidRPr="00DB638E">
        <w:t xml:space="preserve"> </w:t>
      </w:r>
      <w:r w:rsidR="005A79D5" w:rsidRPr="00DB638E">
        <w:rPr>
          <w:rFonts w:ascii="Times New Roman" w:hAnsi="Times New Roman"/>
          <w:sz w:val="24"/>
          <w:szCs w:val="24"/>
        </w:rPr>
        <w:t>нижней границы нормы (</w:t>
      </w:r>
      <w:r w:rsidRPr="00DB638E">
        <w:rPr>
          <w:rFonts w:ascii="Times New Roman" w:hAnsi="Times New Roman"/>
          <w:sz w:val="24"/>
          <w:szCs w:val="24"/>
        </w:rPr>
        <w:t>LLN</w:t>
      </w:r>
      <w:r w:rsidR="005A79D5" w:rsidRPr="00DB638E">
        <w:rPr>
          <w:rFonts w:ascii="Times New Roman" w:hAnsi="Times New Roman"/>
          <w:sz w:val="24"/>
          <w:szCs w:val="24"/>
        </w:rPr>
        <w:t>)</w:t>
      </w:r>
      <w:r w:rsidRPr="00DB638E">
        <w:rPr>
          <w:rFonts w:ascii="Times New Roman" w:hAnsi="Times New Roman"/>
          <w:sz w:val="24"/>
          <w:szCs w:val="24"/>
        </w:rPr>
        <w:t xml:space="preserve">, исправленный кальций&gt; </w:t>
      </w:r>
      <w:r w:rsidR="005A79D5" w:rsidRPr="00DB638E">
        <w:rPr>
          <w:rFonts w:ascii="Times New Roman" w:hAnsi="Times New Roman"/>
          <w:sz w:val="24"/>
          <w:szCs w:val="24"/>
        </w:rPr>
        <w:t>верхней границы нормы (</w:t>
      </w:r>
      <w:r w:rsidRPr="00DB638E">
        <w:rPr>
          <w:rFonts w:ascii="Times New Roman" w:hAnsi="Times New Roman"/>
          <w:sz w:val="24"/>
          <w:szCs w:val="24"/>
        </w:rPr>
        <w:t>ULN</w:t>
      </w:r>
      <w:r w:rsidR="005A79D5" w:rsidRPr="00DB638E">
        <w:rPr>
          <w:rFonts w:ascii="Times New Roman" w:hAnsi="Times New Roman"/>
          <w:sz w:val="24"/>
          <w:szCs w:val="24"/>
        </w:rPr>
        <w:t>)</w:t>
      </w:r>
      <w:r w:rsidRPr="00DB638E">
        <w:rPr>
          <w:rFonts w:ascii="Times New Roman" w:hAnsi="Times New Roman"/>
          <w:sz w:val="24"/>
          <w:szCs w:val="24"/>
        </w:rPr>
        <w:t>, KPS &lt;80%, количество нейтрофилов&gt; ULN и количество тромбоцитов&gt; ULN.</w:t>
      </w:r>
    </w:p>
    <w:p w14:paraId="255383B9" w14:textId="4CAA2472" w:rsidR="00231A9A" w:rsidRPr="00DB638E" w:rsidRDefault="00231A9A" w:rsidP="00231A9A">
      <w:pPr>
        <w:tabs>
          <w:tab w:val="left" w:pos="5835"/>
        </w:tabs>
        <w:spacing w:after="0" w:line="240" w:lineRule="auto"/>
        <w:jc w:val="both"/>
        <w:rPr>
          <w:rFonts w:ascii="Times New Roman" w:hAnsi="Times New Roman"/>
          <w:sz w:val="24"/>
          <w:szCs w:val="24"/>
        </w:rPr>
      </w:pPr>
      <w:r w:rsidRPr="00DB638E">
        <w:rPr>
          <w:rFonts w:ascii="Times New Roman" w:hAnsi="Times New Roman"/>
          <w:sz w:val="24"/>
          <w:szCs w:val="24"/>
        </w:rPr>
        <w:t xml:space="preserve">Первичной конечной точкой была </w:t>
      </w:r>
      <w:r w:rsidR="00F159EB" w:rsidRPr="00DB638E">
        <w:rPr>
          <w:rFonts w:ascii="Times New Roman" w:hAnsi="Times New Roman"/>
          <w:sz w:val="24"/>
          <w:szCs w:val="24"/>
        </w:rPr>
        <w:t>ВБП</w:t>
      </w:r>
      <w:r w:rsidR="00650B25" w:rsidRPr="00DB638E">
        <w:rPr>
          <w:rFonts w:ascii="Times New Roman" w:hAnsi="Times New Roman"/>
          <w:sz w:val="24"/>
          <w:szCs w:val="24"/>
        </w:rPr>
        <w:t>З</w:t>
      </w:r>
      <w:r w:rsidRPr="00DB638E">
        <w:rPr>
          <w:rFonts w:ascii="Times New Roman" w:hAnsi="Times New Roman"/>
          <w:sz w:val="24"/>
          <w:szCs w:val="24"/>
        </w:rPr>
        <w:t>. Вторичными конечными точками эффективности были частота объективного ответа (</w:t>
      </w:r>
      <w:r w:rsidR="00F159EB" w:rsidRPr="00DB638E">
        <w:rPr>
          <w:rFonts w:ascii="Times New Roman" w:hAnsi="Times New Roman"/>
          <w:sz w:val="24"/>
          <w:szCs w:val="24"/>
        </w:rPr>
        <w:t>ЧОО</w:t>
      </w:r>
      <w:r w:rsidRPr="00DB638E">
        <w:rPr>
          <w:rFonts w:ascii="Times New Roman" w:hAnsi="Times New Roman"/>
          <w:sz w:val="24"/>
          <w:szCs w:val="24"/>
        </w:rPr>
        <w:t>) и общая выживаемость (</w:t>
      </w:r>
      <w:r w:rsidR="00F159EB" w:rsidRPr="00DB638E">
        <w:rPr>
          <w:rFonts w:ascii="Times New Roman" w:hAnsi="Times New Roman"/>
          <w:sz w:val="24"/>
          <w:szCs w:val="24"/>
        </w:rPr>
        <w:t>ОВ</w:t>
      </w:r>
      <w:r w:rsidRPr="00DB638E">
        <w:rPr>
          <w:rFonts w:ascii="Times New Roman" w:hAnsi="Times New Roman"/>
          <w:sz w:val="24"/>
          <w:szCs w:val="24"/>
        </w:rPr>
        <w:t>). Оценки опухоли проводились каждые 12 недель.</w:t>
      </w:r>
    </w:p>
    <w:p w14:paraId="0FF10DA7" w14:textId="77777777" w:rsidR="00231A9A" w:rsidRPr="00DB638E" w:rsidRDefault="00231A9A" w:rsidP="00231A9A">
      <w:pPr>
        <w:tabs>
          <w:tab w:val="left" w:pos="5835"/>
        </w:tabs>
        <w:spacing w:after="0" w:line="240" w:lineRule="auto"/>
        <w:jc w:val="both"/>
        <w:rPr>
          <w:rFonts w:ascii="Times New Roman" w:hAnsi="Times New Roman"/>
          <w:sz w:val="24"/>
          <w:szCs w:val="24"/>
        </w:rPr>
      </w:pPr>
      <w:r w:rsidRPr="00DB638E">
        <w:rPr>
          <w:rFonts w:ascii="Times New Roman" w:hAnsi="Times New Roman"/>
          <w:sz w:val="24"/>
          <w:szCs w:val="24"/>
        </w:rPr>
        <w:t xml:space="preserve">Базовые демографические характеристики и характеристики заболевания были схожими между </w:t>
      </w:r>
      <w:r w:rsidR="00915BD5" w:rsidRPr="00DB638E">
        <w:rPr>
          <w:rFonts w:ascii="Times New Roman" w:hAnsi="Times New Roman"/>
          <w:sz w:val="24"/>
          <w:szCs w:val="24"/>
        </w:rPr>
        <w:t>кабозантинибом</w:t>
      </w:r>
      <w:r w:rsidRPr="00DB638E">
        <w:rPr>
          <w:rFonts w:ascii="Times New Roman" w:hAnsi="Times New Roman"/>
          <w:sz w:val="24"/>
          <w:szCs w:val="24"/>
        </w:rPr>
        <w:t xml:space="preserve"> и сунитинибом. Большинство пациентов были мужчинами (78%) со средним возрастом 62 года. Распределение пациентов по группам риска IMDC составляло 81% промежуточного (1-2 фактора риска) и 19% - высокого (≥3 фактора риска). Большинство пациентов (87%) имели статус работоспособности ECOG 0 или 1; 13% имели статус эффективности ECOG 2. У тридцати шести (36%) пациентов были метастазы в кости.</w:t>
      </w:r>
    </w:p>
    <w:p w14:paraId="2DA5710C" w14:textId="3A2EC306" w:rsidR="00231A9A" w:rsidRPr="00DB638E" w:rsidRDefault="00231A9A" w:rsidP="00231A9A">
      <w:pPr>
        <w:tabs>
          <w:tab w:val="left" w:pos="5835"/>
        </w:tabs>
        <w:spacing w:after="0" w:line="240" w:lineRule="auto"/>
        <w:jc w:val="both"/>
        <w:rPr>
          <w:rFonts w:ascii="Times New Roman" w:hAnsi="Times New Roman"/>
          <w:sz w:val="24"/>
          <w:szCs w:val="24"/>
        </w:rPr>
      </w:pPr>
      <w:r w:rsidRPr="00DB638E">
        <w:rPr>
          <w:rFonts w:ascii="Times New Roman" w:hAnsi="Times New Roman"/>
          <w:sz w:val="24"/>
          <w:szCs w:val="24"/>
        </w:rPr>
        <w:t xml:space="preserve">Статистически значимое улучшение </w:t>
      </w:r>
      <w:r w:rsidR="004D4EDC" w:rsidRPr="00DB638E">
        <w:rPr>
          <w:rFonts w:ascii="Times New Roman" w:hAnsi="Times New Roman"/>
          <w:sz w:val="24"/>
          <w:szCs w:val="24"/>
        </w:rPr>
        <w:t>ВБП</w:t>
      </w:r>
      <w:r w:rsidR="00650B25" w:rsidRPr="00DB638E">
        <w:rPr>
          <w:rFonts w:ascii="Times New Roman" w:hAnsi="Times New Roman"/>
          <w:sz w:val="24"/>
          <w:szCs w:val="24"/>
        </w:rPr>
        <w:t>З</w:t>
      </w:r>
      <w:r w:rsidRPr="00DB638E">
        <w:rPr>
          <w:rFonts w:ascii="Times New Roman" w:hAnsi="Times New Roman"/>
          <w:sz w:val="24"/>
          <w:szCs w:val="24"/>
        </w:rPr>
        <w:t xml:space="preserve">, ретроспективно оцениваемое слепым </w:t>
      </w:r>
      <w:r w:rsidR="00280352" w:rsidRPr="00DB638E">
        <w:rPr>
          <w:rFonts w:ascii="Times New Roman" w:hAnsi="Times New Roman"/>
          <w:sz w:val="24"/>
          <w:szCs w:val="24"/>
        </w:rPr>
        <w:t xml:space="preserve">независимым </w:t>
      </w:r>
      <w:r w:rsidRPr="00DB638E">
        <w:rPr>
          <w:rFonts w:ascii="Times New Roman" w:hAnsi="Times New Roman"/>
          <w:sz w:val="24"/>
          <w:szCs w:val="24"/>
        </w:rPr>
        <w:t xml:space="preserve">радиологическим комитетом (IRC), было продемонстрировано для </w:t>
      </w:r>
      <w:r w:rsidR="004D4EDC" w:rsidRPr="00DB638E">
        <w:rPr>
          <w:rFonts w:ascii="Times New Roman" w:hAnsi="Times New Roman"/>
          <w:sz w:val="24"/>
          <w:szCs w:val="24"/>
        </w:rPr>
        <w:t>кабозантиниба</w:t>
      </w:r>
      <w:r w:rsidRPr="00DB638E">
        <w:rPr>
          <w:rFonts w:ascii="Times New Roman" w:hAnsi="Times New Roman"/>
          <w:sz w:val="24"/>
          <w:szCs w:val="24"/>
        </w:rPr>
        <w:t xml:space="preserve"> по сравнению с сунитинибом (Рис. 3 и Таблица </w:t>
      </w:r>
      <w:r w:rsidR="005E7582" w:rsidRPr="00DB638E">
        <w:rPr>
          <w:rFonts w:ascii="Times New Roman" w:hAnsi="Times New Roman"/>
          <w:sz w:val="24"/>
          <w:szCs w:val="24"/>
        </w:rPr>
        <w:t>6</w:t>
      </w:r>
      <w:r w:rsidRPr="00DB638E">
        <w:rPr>
          <w:rFonts w:ascii="Times New Roman" w:hAnsi="Times New Roman"/>
          <w:sz w:val="24"/>
          <w:szCs w:val="24"/>
        </w:rPr>
        <w:t xml:space="preserve">). </w:t>
      </w:r>
      <w:r w:rsidR="00662BAC" w:rsidRPr="00DB638E">
        <w:rPr>
          <w:rFonts w:ascii="Times New Roman" w:hAnsi="Times New Roman"/>
          <w:sz w:val="24"/>
          <w:szCs w:val="24"/>
        </w:rPr>
        <w:t>Результаты анализа ВБПЗ, определенного исследователем, и анализа ВБПЗ, определенного IRC, были согласованы.</w:t>
      </w:r>
    </w:p>
    <w:p w14:paraId="3EEEA7BC" w14:textId="77777777" w:rsidR="00231A9A" w:rsidRPr="00DB638E" w:rsidRDefault="00231A9A" w:rsidP="00231A9A">
      <w:pPr>
        <w:tabs>
          <w:tab w:val="left" w:pos="5835"/>
        </w:tabs>
        <w:spacing w:after="0" w:line="240" w:lineRule="auto"/>
        <w:jc w:val="both"/>
        <w:rPr>
          <w:rFonts w:ascii="Times New Roman" w:hAnsi="Times New Roman"/>
          <w:sz w:val="24"/>
          <w:szCs w:val="24"/>
        </w:rPr>
      </w:pPr>
      <w:r w:rsidRPr="00DB638E">
        <w:rPr>
          <w:rFonts w:ascii="Times New Roman" w:hAnsi="Times New Roman"/>
          <w:sz w:val="24"/>
          <w:szCs w:val="24"/>
        </w:rPr>
        <w:t>Пациенты с положительным и отрицательным статусом МЕТ по</w:t>
      </w:r>
      <w:r w:rsidR="004D4EDC" w:rsidRPr="00DB638E">
        <w:rPr>
          <w:rFonts w:ascii="Times New Roman" w:hAnsi="Times New Roman"/>
          <w:sz w:val="24"/>
          <w:szCs w:val="24"/>
        </w:rPr>
        <w:t>к</w:t>
      </w:r>
      <w:r w:rsidRPr="00DB638E">
        <w:rPr>
          <w:rFonts w:ascii="Times New Roman" w:hAnsi="Times New Roman"/>
          <w:sz w:val="24"/>
          <w:szCs w:val="24"/>
        </w:rPr>
        <w:t xml:space="preserve">азали благоприятный эффект с </w:t>
      </w:r>
      <w:r w:rsidR="004D4EDC" w:rsidRPr="00DB638E">
        <w:rPr>
          <w:rFonts w:ascii="Times New Roman" w:hAnsi="Times New Roman"/>
          <w:sz w:val="24"/>
          <w:szCs w:val="24"/>
        </w:rPr>
        <w:t>кабозантинибом</w:t>
      </w:r>
      <w:r w:rsidRPr="00DB638E">
        <w:rPr>
          <w:rFonts w:ascii="Times New Roman" w:hAnsi="Times New Roman"/>
          <w:sz w:val="24"/>
          <w:szCs w:val="24"/>
        </w:rPr>
        <w:t xml:space="preserve"> по сравнению с сунитинибом с большей активностью у пациентов с положительным статусом МЕТ по сравнению с пациентами с отрицательным статусом МЕТ (</w:t>
      </w:r>
      <w:r w:rsidR="00915BD5" w:rsidRPr="00DB638E">
        <w:rPr>
          <w:rFonts w:ascii="Times New Roman" w:hAnsi="Times New Roman"/>
          <w:sz w:val="24"/>
          <w:szCs w:val="24"/>
        </w:rPr>
        <w:t>Соотношение рисков</w:t>
      </w:r>
      <w:r w:rsidRPr="00DB638E">
        <w:rPr>
          <w:rFonts w:ascii="Times New Roman" w:hAnsi="Times New Roman"/>
          <w:sz w:val="24"/>
          <w:szCs w:val="24"/>
        </w:rPr>
        <w:t xml:space="preserve"> = 0,32 (0,16, 0,63) против 0,67 (0,37, 1.23)) соответственно.</w:t>
      </w:r>
    </w:p>
    <w:p w14:paraId="64A5B0FC" w14:textId="195FD509" w:rsidR="00231A9A" w:rsidRPr="00DB638E" w:rsidRDefault="00231A9A" w:rsidP="00231A9A">
      <w:pPr>
        <w:tabs>
          <w:tab w:val="left" w:pos="5835"/>
        </w:tabs>
        <w:spacing w:after="0" w:line="240" w:lineRule="auto"/>
        <w:jc w:val="both"/>
        <w:rPr>
          <w:rFonts w:ascii="Times New Roman" w:hAnsi="Times New Roman"/>
          <w:sz w:val="24"/>
          <w:szCs w:val="24"/>
        </w:rPr>
      </w:pPr>
      <w:r w:rsidRPr="00DB638E">
        <w:rPr>
          <w:rFonts w:ascii="Times New Roman" w:hAnsi="Times New Roman"/>
          <w:sz w:val="24"/>
          <w:szCs w:val="24"/>
        </w:rPr>
        <w:t xml:space="preserve">Лечение </w:t>
      </w:r>
      <w:r w:rsidR="004D4EDC" w:rsidRPr="00DB638E">
        <w:rPr>
          <w:rFonts w:ascii="Times New Roman" w:hAnsi="Times New Roman"/>
          <w:sz w:val="24"/>
          <w:szCs w:val="24"/>
        </w:rPr>
        <w:t xml:space="preserve">кабозантинибом </w:t>
      </w:r>
      <w:r w:rsidRPr="00DB638E">
        <w:rPr>
          <w:rFonts w:ascii="Times New Roman" w:hAnsi="Times New Roman"/>
          <w:sz w:val="24"/>
          <w:szCs w:val="24"/>
        </w:rPr>
        <w:t xml:space="preserve">было связано с тенденцией к увеличению выживаемости по сравнению с сунитинибом (Таблица 6). Исследование не проводилось для анализа </w:t>
      </w:r>
      <w:r w:rsidR="002777B4" w:rsidRPr="00DB638E">
        <w:rPr>
          <w:rFonts w:ascii="Times New Roman" w:hAnsi="Times New Roman"/>
          <w:sz w:val="24"/>
          <w:szCs w:val="24"/>
        </w:rPr>
        <w:t>ОВ</w:t>
      </w:r>
      <w:r w:rsidRPr="00DB638E">
        <w:rPr>
          <w:rFonts w:ascii="Times New Roman" w:hAnsi="Times New Roman"/>
          <w:sz w:val="24"/>
          <w:szCs w:val="24"/>
        </w:rPr>
        <w:t>, а данные незрелые.</w:t>
      </w:r>
    </w:p>
    <w:p w14:paraId="43839DA5" w14:textId="654EC170" w:rsidR="00231A9A" w:rsidRPr="00DB638E" w:rsidRDefault="00231A9A" w:rsidP="00231A9A">
      <w:pPr>
        <w:tabs>
          <w:tab w:val="left" w:pos="5835"/>
        </w:tabs>
        <w:spacing w:after="0" w:line="240" w:lineRule="auto"/>
        <w:jc w:val="both"/>
        <w:rPr>
          <w:rFonts w:ascii="Times New Roman" w:hAnsi="Times New Roman"/>
          <w:sz w:val="24"/>
          <w:szCs w:val="24"/>
        </w:rPr>
      </w:pPr>
      <w:r w:rsidRPr="00DB638E">
        <w:rPr>
          <w:rFonts w:ascii="Times New Roman" w:hAnsi="Times New Roman"/>
          <w:sz w:val="24"/>
          <w:szCs w:val="24"/>
        </w:rPr>
        <w:t xml:space="preserve">Результаты оценки </w:t>
      </w:r>
      <w:r w:rsidR="003F387B" w:rsidRPr="00DB638E">
        <w:rPr>
          <w:rFonts w:ascii="Times New Roman" w:hAnsi="Times New Roman"/>
          <w:sz w:val="24"/>
          <w:szCs w:val="24"/>
        </w:rPr>
        <w:t xml:space="preserve">частоты </w:t>
      </w:r>
      <w:r w:rsidRPr="00DB638E">
        <w:rPr>
          <w:rFonts w:ascii="Times New Roman" w:hAnsi="Times New Roman"/>
          <w:sz w:val="24"/>
          <w:szCs w:val="24"/>
        </w:rPr>
        <w:t>объективного ответа (</w:t>
      </w:r>
      <w:r w:rsidR="00915BD5" w:rsidRPr="00DB638E">
        <w:rPr>
          <w:rFonts w:ascii="Times New Roman" w:hAnsi="Times New Roman"/>
          <w:sz w:val="24"/>
          <w:szCs w:val="24"/>
        </w:rPr>
        <w:t>ЧОО</w:t>
      </w:r>
      <w:r w:rsidRPr="00DB638E">
        <w:rPr>
          <w:rFonts w:ascii="Times New Roman" w:hAnsi="Times New Roman"/>
          <w:sz w:val="24"/>
          <w:szCs w:val="24"/>
        </w:rPr>
        <w:t>) приведены в Таблице 6.</w:t>
      </w:r>
    </w:p>
    <w:p w14:paraId="2B43A493" w14:textId="77777777" w:rsidR="00231A9A" w:rsidRPr="00DB638E" w:rsidRDefault="00231A9A" w:rsidP="00231A9A">
      <w:pPr>
        <w:tabs>
          <w:tab w:val="left" w:pos="5835"/>
        </w:tabs>
        <w:spacing w:after="0" w:line="240" w:lineRule="auto"/>
        <w:jc w:val="both"/>
        <w:rPr>
          <w:rFonts w:ascii="Times New Roman" w:hAnsi="Times New Roman"/>
          <w:sz w:val="24"/>
          <w:szCs w:val="24"/>
        </w:rPr>
      </w:pPr>
    </w:p>
    <w:p w14:paraId="5D0D68E0" w14:textId="40CBAC14" w:rsidR="00231A9A" w:rsidRPr="00DB638E" w:rsidRDefault="00231A9A" w:rsidP="00915BD5">
      <w:pPr>
        <w:spacing w:after="0" w:line="240" w:lineRule="auto"/>
        <w:jc w:val="both"/>
        <w:rPr>
          <w:rFonts w:ascii="Times New Roman" w:hAnsi="Times New Roman"/>
          <w:b/>
          <w:sz w:val="24"/>
          <w:szCs w:val="24"/>
        </w:rPr>
      </w:pPr>
      <w:r w:rsidRPr="00DB638E">
        <w:rPr>
          <w:rFonts w:ascii="Times New Roman" w:hAnsi="Times New Roman"/>
          <w:b/>
          <w:sz w:val="24"/>
          <w:szCs w:val="24"/>
        </w:rPr>
        <w:t xml:space="preserve">Рис. 3: Кривая Каплана Мейера для выживаемости без прогрессирования </w:t>
      </w:r>
      <w:r w:rsidR="003F387B" w:rsidRPr="00DB638E">
        <w:rPr>
          <w:rFonts w:ascii="Times New Roman" w:hAnsi="Times New Roman"/>
          <w:b/>
          <w:sz w:val="24"/>
          <w:szCs w:val="24"/>
        </w:rPr>
        <w:t xml:space="preserve">заболевания </w:t>
      </w:r>
      <w:r w:rsidRPr="00DB638E">
        <w:rPr>
          <w:rFonts w:ascii="Times New Roman" w:hAnsi="Times New Roman"/>
          <w:b/>
          <w:sz w:val="24"/>
          <w:szCs w:val="24"/>
        </w:rPr>
        <w:t xml:space="preserve">с помощью IRC у пациентов </w:t>
      </w:r>
      <w:r w:rsidR="00915BD5" w:rsidRPr="00DB638E">
        <w:rPr>
          <w:rFonts w:ascii="Times New Roman" w:hAnsi="Times New Roman"/>
          <w:b/>
          <w:sz w:val="24"/>
          <w:szCs w:val="24"/>
        </w:rPr>
        <w:t>с почечно-клеточным раком,</w:t>
      </w:r>
      <w:r w:rsidRPr="00DB638E">
        <w:rPr>
          <w:rFonts w:ascii="Times New Roman" w:hAnsi="Times New Roman"/>
          <w:b/>
          <w:sz w:val="24"/>
          <w:szCs w:val="24"/>
        </w:rPr>
        <w:t xml:space="preserve"> не получавших предварительного лечения</w:t>
      </w:r>
    </w:p>
    <w:p w14:paraId="667D5288" w14:textId="48162767" w:rsidR="00231A9A" w:rsidRPr="00DB638E" w:rsidRDefault="00BA3091" w:rsidP="00231A9A">
      <w:pPr>
        <w:spacing w:after="0" w:line="240" w:lineRule="auto"/>
        <w:rPr>
          <w:rFonts w:ascii="Times New Roman" w:hAnsi="Times New Roman"/>
          <w:sz w:val="24"/>
          <w:szCs w:val="24"/>
        </w:rPr>
      </w:pPr>
      <w:bookmarkStart w:id="129" w:name="_Hlk75282910"/>
      <w:r w:rsidRPr="00DB638E">
        <w:rPr>
          <w:noProof/>
          <w:sz w:val="24"/>
          <w:szCs w:val="24"/>
        </w:rPr>
        <w:lastRenderedPageBreak/>
        <mc:AlternateContent>
          <mc:Choice Requires="wps">
            <w:drawing>
              <wp:anchor distT="0" distB="0" distL="114300" distR="114300" simplePos="0" relativeHeight="251652096" behindDoc="0" locked="0" layoutInCell="1" allowOverlap="1" wp14:anchorId="6945A322" wp14:editId="632490A9">
                <wp:simplePos x="0" y="0"/>
                <wp:positionH relativeFrom="column">
                  <wp:posOffset>941070</wp:posOffset>
                </wp:positionH>
                <wp:positionV relativeFrom="paragraph">
                  <wp:posOffset>2261235</wp:posOffset>
                </wp:positionV>
                <wp:extent cx="990600" cy="482600"/>
                <wp:effectExtent l="1905" t="0" r="0" b="0"/>
                <wp:wrapNone/>
                <wp:docPr id="18"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1460B" w14:textId="77777777" w:rsidR="00020025" w:rsidRPr="004D4EDC" w:rsidRDefault="00020025" w:rsidP="00231A9A">
                            <w:pPr>
                              <w:spacing w:after="100"/>
                              <w:rPr>
                                <w:rFonts w:ascii="Times New Roman" w:hAnsi="Times New Roman"/>
                                <w:sz w:val="18"/>
                              </w:rPr>
                            </w:pPr>
                            <w:r w:rsidRPr="004D4EDC">
                              <w:rPr>
                                <w:rFonts w:ascii="Times New Roman" w:hAnsi="Times New Roman"/>
                                <w:sz w:val="18"/>
                              </w:rPr>
                              <w:t xml:space="preserve">Кабозантиниб </w:t>
                            </w:r>
                          </w:p>
                          <w:p w14:paraId="4438E5F8" w14:textId="77777777" w:rsidR="00231A9A" w:rsidRPr="004D4EDC" w:rsidRDefault="00231A9A" w:rsidP="00231A9A">
                            <w:pPr>
                              <w:spacing w:after="100"/>
                              <w:rPr>
                                <w:rFonts w:ascii="Times New Roman" w:hAnsi="Times New Roman"/>
                                <w:sz w:val="18"/>
                              </w:rPr>
                            </w:pPr>
                            <w:r w:rsidRPr="004D4EDC">
                              <w:rPr>
                                <w:rFonts w:ascii="Times New Roman" w:hAnsi="Times New Roman"/>
                                <w:sz w:val="18"/>
                                <w:lang w:val="en-US"/>
                              </w:rPr>
                              <w:t xml:space="preserve">Сунитиниб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5A322" id="Надпись 22" o:spid="_x0000_s1030" type="#_x0000_t202" style="position:absolute;margin-left:74.1pt;margin-top:178.05pt;width:78pt;height: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" filled="f" stroked="f">
                <v:textbox>
                  <w:txbxContent>
                    <w:p w14:paraId="3491460B" w14:textId="77777777" w:rsidR="00020025" w:rsidRPr="004D4EDC" w:rsidRDefault="00020025" w:rsidP="00231A9A">
                      <w:pPr>
                        <w:spacing w:after="100"/>
                        <w:rPr>
                          <w:rFonts w:ascii="Times New Roman" w:hAnsi="Times New Roman"/>
                          <w:sz w:val="18"/>
                        </w:rPr>
                      </w:pPr>
                      <w:r w:rsidRPr="004D4EDC">
                        <w:rPr>
                          <w:rFonts w:ascii="Times New Roman" w:hAnsi="Times New Roman"/>
                          <w:sz w:val="18"/>
                        </w:rPr>
                        <w:t xml:space="preserve">Кабозантиниб </w:t>
                      </w:r>
                    </w:p>
                    <w:p w14:paraId="4438E5F8" w14:textId="77777777" w:rsidR="00231A9A" w:rsidRPr="004D4EDC" w:rsidRDefault="00231A9A" w:rsidP="00231A9A">
                      <w:pPr>
                        <w:spacing w:after="100"/>
                        <w:rPr>
                          <w:rFonts w:ascii="Times New Roman" w:hAnsi="Times New Roman"/>
                          <w:sz w:val="18"/>
                        </w:rPr>
                      </w:pPr>
                      <w:r w:rsidRPr="004D4EDC">
                        <w:rPr>
                          <w:rFonts w:ascii="Times New Roman" w:hAnsi="Times New Roman"/>
                          <w:sz w:val="18"/>
                          <w:lang w:val="en-US"/>
                        </w:rPr>
                        <w:t xml:space="preserve">Сунитиниб </w:t>
                      </w:r>
                    </w:p>
                  </w:txbxContent>
                </v:textbox>
              </v:shape>
            </w:pict>
          </mc:Fallback>
        </mc:AlternateContent>
      </w:r>
      <w:r w:rsidRPr="00DB638E">
        <w:rPr>
          <w:noProof/>
          <w:sz w:val="24"/>
          <w:szCs w:val="24"/>
        </w:rPr>
        <mc:AlternateContent>
          <mc:Choice Requires="wps">
            <w:drawing>
              <wp:anchor distT="0" distB="0" distL="114300" distR="114300" simplePos="0" relativeHeight="251651072" behindDoc="0" locked="0" layoutInCell="1" allowOverlap="1" wp14:anchorId="2F904F2E" wp14:editId="63719B96">
                <wp:simplePos x="0" y="0"/>
                <wp:positionH relativeFrom="column">
                  <wp:posOffset>-1222375</wp:posOffset>
                </wp:positionH>
                <wp:positionV relativeFrom="paragraph">
                  <wp:posOffset>1221740</wp:posOffset>
                </wp:positionV>
                <wp:extent cx="2674620" cy="410845"/>
                <wp:effectExtent l="0" t="0" r="0" b="0"/>
                <wp:wrapNone/>
                <wp:docPr id="17"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6D960" w14:textId="77777777" w:rsidR="00231A9A" w:rsidRPr="004D4EDC" w:rsidRDefault="00231A9A" w:rsidP="00231A9A">
                            <w:pPr>
                              <w:jc w:val="center"/>
                              <w:rPr>
                                <w:rFonts w:ascii="Times New Roman" w:hAnsi="Times New Roman"/>
                                <w:b/>
                                <w:sz w:val="20"/>
                              </w:rPr>
                            </w:pPr>
                            <w:r w:rsidRPr="004D4EDC">
                              <w:rPr>
                                <w:rFonts w:ascii="Times New Roman" w:hAnsi="Times New Roman"/>
                                <w:b/>
                                <w:sz w:val="20"/>
                              </w:rPr>
                              <w:t>Вероятность выживаемости без прогрессирования заболевания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04F2E" id="Надпись 21" o:spid="_x0000_s1031" type="#_x0000_t202" style="position:absolute;margin-left:-96.25pt;margin-top:96.2pt;width:210.6pt;height:32.3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" filled="f" stroked="f">
                <v:textbox style="layout-flow:vertical;mso-layout-flow-alt:bottom-to-top">
                  <w:txbxContent>
                    <w:p w14:paraId="53E6D960" w14:textId="77777777" w:rsidR="00231A9A" w:rsidRPr="004D4EDC" w:rsidRDefault="00231A9A" w:rsidP="00231A9A">
                      <w:pPr>
                        <w:jc w:val="center"/>
                        <w:rPr>
                          <w:rFonts w:ascii="Times New Roman" w:hAnsi="Times New Roman"/>
                          <w:b/>
                          <w:sz w:val="20"/>
                        </w:rPr>
                      </w:pPr>
                      <w:r w:rsidRPr="004D4EDC">
                        <w:rPr>
                          <w:rFonts w:ascii="Times New Roman" w:hAnsi="Times New Roman"/>
                          <w:b/>
                          <w:sz w:val="20"/>
                        </w:rPr>
                        <w:t>Вероятность выживаемости без прогрессирования заболевания</w:t>
                      </w:r>
                    </w:p>
                  </w:txbxContent>
                </v:textbox>
              </v:shape>
            </w:pict>
          </mc:Fallback>
        </mc:AlternateContent>
      </w:r>
      <w:r w:rsidRPr="00DB638E">
        <w:rPr>
          <w:rFonts w:ascii="Times New Roman" w:eastAsia="MS Mincho" w:hAnsi="Times New Roman"/>
          <w:noProof/>
          <w:sz w:val="24"/>
          <w:szCs w:val="24"/>
          <w:lang w:eastAsia="ru-RU"/>
        </w:rPr>
        <w:drawing>
          <wp:inline distT="0" distB="0" distL="0" distR="0" wp14:anchorId="12114115" wp14:editId="59E74914">
            <wp:extent cx="5935980" cy="3017520"/>
            <wp:effectExtent l="0" t="0" r="0" b="0"/>
            <wp:docPr id="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1" cstate="print">
                      <a:extLst>
                        <a:ext uri="{28A0092B-C50C-407E-A947-70E740481C1C}">
                          <a14:useLocalDpi xmlns:a14="http://schemas.microsoft.com/office/drawing/2010/main" val="0"/>
                        </a:ext>
                      </a:extLst>
                    </a:blip>
                    <a:srcRect t="6667" b="20000"/>
                    <a:stretch>
                      <a:fillRect/>
                    </a:stretch>
                  </pic:blipFill>
                  <pic:spPr bwMode="auto">
                    <a:xfrm>
                      <a:off x="0" y="0"/>
                      <a:ext cx="5935980" cy="3017520"/>
                    </a:xfrm>
                    <a:prstGeom prst="rect">
                      <a:avLst/>
                    </a:prstGeom>
                    <a:noFill/>
                    <a:ln>
                      <a:noFill/>
                    </a:ln>
                  </pic:spPr>
                </pic:pic>
              </a:graphicData>
            </a:graphic>
          </wp:inline>
        </w:drawing>
      </w:r>
    </w:p>
    <w:bookmarkEnd w:id="129"/>
    <w:p w14:paraId="70D42097" w14:textId="4528547F" w:rsidR="00343720" w:rsidRPr="00DB638E" w:rsidRDefault="00343720" w:rsidP="00343720">
      <w:pPr>
        <w:spacing w:after="0" w:line="240" w:lineRule="auto"/>
        <w:jc w:val="center"/>
        <w:rPr>
          <w:rFonts w:ascii="Times New Roman" w:hAnsi="Times New Roman"/>
          <w:b/>
          <w:sz w:val="20"/>
          <w:szCs w:val="20"/>
        </w:rPr>
      </w:pPr>
      <w:r w:rsidRPr="00DB638E">
        <w:rPr>
          <w:rFonts w:ascii="Times New Roman" w:hAnsi="Times New Roman"/>
          <w:b/>
          <w:sz w:val="20"/>
          <w:szCs w:val="20"/>
        </w:rPr>
        <w:t>Месяцы</w:t>
      </w:r>
    </w:p>
    <w:p w14:paraId="14F3445C" w14:textId="09CC18E7" w:rsidR="00343720" w:rsidRPr="00DB638E" w:rsidRDefault="00343720" w:rsidP="00343720">
      <w:pPr>
        <w:tabs>
          <w:tab w:val="left" w:pos="5835"/>
        </w:tabs>
        <w:spacing w:after="0" w:line="240" w:lineRule="auto"/>
        <w:rPr>
          <w:rFonts w:ascii="Times New Roman" w:hAnsi="Times New Roman"/>
          <w:b/>
          <w:sz w:val="18"/>
          <w:szCs w:val="18"/>
        </w:rPr>
      </w:pPr>
      <w:r w:rsidRPr="00DB638E">
        <w:rPr>
          <w:rFonts w:ascii="Times New Roman" w:hAnsi="Times New Roman"/>
          <w:b/>
          <w:sz w:val="18"/>
          <w:szCs w:val="18"/>
        </w:rPr>
        <w:t>Число в риске</w:t>
      </w:r>
    </w:p>
    <w:tbl>
      <w:tblPr>
        <w:tblW w:w="4905" w:type="pct"/>
        <w:tblLayout w:type="fixed"/>
        <w:tblLook w:val="04A0" w:firstRow="1" w:lastRow="0" w:firstColumn="1" w:lastColumn="0" w:noHBand="0" w:noVBand="1"/>
      </w:tblPr>
      <w:tblGrid>
        <w:gridCol w:w="743"/>
        <w:gridCol w:w="743"/>
        <w:gridCol w:w="742"/>
        <w:gridCol w:w="742"/>
        <w:gridCol w:w="742"/>
        <w:gridCol w:w="742"/>
        <w:gridCol w:w="742"/>
        <w:gridCol w:w="742"/>
        <w:gridCol w:w="742"/>
        <w:gridCol w:w="742"/>
        <w:gridCol w:w="742"/>
        <w:gridCol w:w="735"/>
      </w:tblGrid>
      <w:tr w:rsidR="00343720" w:rsidRPr="00DB638E" w14:paraId="06213264" w14:textId="77777777" w:rsidTr="003C21BB">
        <w:trPr>
          <w:trHeight w:val="207"/>
        </w:trPr>
        <w:tc>
          <w:tcPr>
            <w:tcW w:w="417" w:type="pct"/>
            <w:shd w:val="clear" w:color="auto" w:fill="auto"/>
          </w:tcPr>
          <w:p w14:paraId="53922881"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Кабозантиниб</w:t>
            </w:r>
          </w:p>
        </w:tc>
        <w:tc>
          <w:tcPr>
            <w:tcW w:w="417" w:type="pct"/>
            <w:shd w:val="clear" w:color="auto" w:fill="auto"/>
          </w:tcPr>
          <w:p w14:paraId="2928C7B6"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79</w:t>
            </w:r>
          </w:p>
        </w:tc>
        <w:tc>
          <w:tcPr>
            <w:tcW w:w="417" w:type="pct"/>
            <w:shd w:val="clear" w:color="auto" w:fill="auto"/>
          </w:tcPr>
          <w:p w14:paraId="1C826BB5"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51</w:t>
            </w:r>
          </w:p>
        </w:tc>
        <w:tc>
          <w:tcPr>
            <w:tcW w:w="417" w:type="pct"/>
            <w:shd w:val="clear" w:color="auto" w:fill="auto"/>
          </w:tcPr>
          <w:p w14:paraId="526AC962"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37</w:t>
            </w:r>
          </w:p>
        </w:tc>
        <w:tc>
          <w:tcPr>
            <w:tcW w:w="417" w:type="pct"/>
            <w:shd w:val="clear" w:color="auto" w:fill="auto"/>
          </w:tcPr>
          <w:p w14:paraId="65BC8B24"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24</w:t>
            </w:r>
          </w:p>
        </w:tc>
        <w:tc>
          <w:tcPr>
            <w:tcW w:w="417" w:type="pct"/>
            <w:shd w:val="clear" w:color="auto" w:fill="auto"/>
          </w:tcPr>
          <w:p w14:paraId="0D32DC6B"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22</w:t>
            </w:r>
          </w:p>
        </w:tc>
        <w:tc>
          <w:tcPr>
            <w:tcW w:w="417" w:type="pct"/>
            <w:shd w:val="clear" w:color="auto" w:fill="auto"/>
          </w:tcPr>
          <w:p w14:paraId="733E9D68"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18</w:t>
            </w:r>
          </w:p>
        </w:tc>
        <w:tc>
          <w:tcPr>
            <w:tcW w:w="417" w:type="pct"/>
            <w:shd w:val="clear" w:color="auto" w:fill="auto"/>
          </w:tcPr>
          <w:p w14:paraId="442982E3"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12</w:t>
            </w:r>
          </w:p>
        </w:tc>
        <w:tc>
          <w:tcPr>
            <w:tcW w:w="417" w:type="pct"/>
            <w:shd w:val="clear" w:color="auto" w:fill="auto"/>
          </w:tcPr>
          <w:p w14:paraId="078F0BB8"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5</w:t>
            </w:r>
          </w:p>
        </w:tc>
        <w:tc>
          <w:tcPr>
            <w:tcW w:w="417" w:type="pct"/>
            <w:shd w:val="clear" w:color="auto" w:fill="auto"/>
          </w:tcPr>
          <w:p w14:paraId="15C14FBD"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w:t>
            </w:r>
          </w:p>
        </w:tc>
        <w:tc>
          <w:tcPr>
            <w:tcW w:w="417" w:type="pct"/>
            <w:shd w:val="clear" w:color="auto" w:fill="auto"/>
          </w:tcPr>
          <w:p w14:paraId="341CBA7C"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w:t>
            </w:r>
          </w:p>
        </w:tc>
        <w:tc>
          <w:tcPr>
            <w:tcW w:w="417" w:type="pct"/>
            <w:shd w:val="clear" w:color="auto" w:fill="auto"/>
          </w:tcPr>
          <w:p w14:paraId="4D2B030F"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0</w:t>
            </w:r>
          </w:p>
        </w:tc>
      </w:tr>
      <w:tr w:rsidR="00343720" w:rsidRPr="00DB638E" w14:paraId="1B6CF6B0" w14:textId="77777777" w:rsidTr="003C21BB">
        <w:trPr>
          <w:trHeight w:val="207"/>
        </w:trPr>
        <w:tc>
          <w:tcPr>
            <w:tcW w:w="417" w:type="pct"/>
            <w:shd w:val="clear" w:color="auto" w:fill="auto"/>
          </w:tcPr>
          <w:p w14:paraId="4296D4EF"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Эверолимус</w:t>
            </w:r>
          </w:p>
        </w:tc>
        <w:tc>
          <w:tcPr>
            <w:tcW w:w="417" w:type="pct"/>
            <w:shd w:val="clear" w:color="auto" w:fill="auto"/>
          </w:tcPr>
          <w:p w14:paraId="2F73ADEA"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78</w:t>
            </w:r>
          </w:p>
        </w:tc>
        <w:tc>
          <w:tcPr>
            <w:tcW w:w="417" w:type="pct"/>
            <w:shd w:val="clear" w:color="auto" w:fill="auto"/>
          </w:tcPr>
          <w:p w14:paraId="03E3C2BA"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36</w:t>
            </w:r>
          </w:p>
        </w:tc>
        <w:tc>
          <w:tcPr>
            <w:tcW w:w="417" w:type="pct"/>
            <w:shd w:val="clear" w:color="auto" w:fill="auto"/>
          </w:tcPr>
          <w:p w14:paraId="53B20F71"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21</w:t>
            </w:r>
          </w:p>
        </w:tc>
        <w:tc>
          <w:tcPr>
            <w:tcW w:w="417" w:type="pct"/>
            <w:shd w:val="clear" w:color="auto" w:fill="auto"/>
          </w:tcPr>
          <w:p w14:paraId="710752E4"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12</w:t>
            </w:r>
          </w:p>
        </w:tc>
        <w:tc>
          <w:tcPr>
            <w:tcW w:w="417" w:type="pct"/>
            <w:shd w:val="clear" w:color="auto" w:fill="auto"/>
          </w:tcPr>
          <w:p w14:paraId="4103E3CC"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9</w:t>
            </w:r>
          </w:p>
        </w:tc>
        <w:tc>
          <w:tcPr>
            <w:tcW w:w="417" w:type="pct"/>
            <w:shd w:val="clear" w:color="auto" w:fill="auto"/>
          </w:tcPr>
          <w:p w14:paraId="4D46E366"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5</w:t>
            </w:r>
          </w:p>
        </w:tc>
        <w:tc>
          <w:tcPr>
            <w:tcW w:w="417" w:type="pct"/>
            <w:shd w:val="clear" w:color="auto" w:fill="auto"/>
          </w:tcPr>
          <w:p w14:paraId="338E952D"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3</w:t>
            </w:r>
          </w:p>
        </w:tc>
        <w:tc>
          <w:tcPr>
            <w:tcW w:w="417" w:type="pct"/>
            <w:shd w:val="clear" w:color="auto" w:fill="auto"/>
          </w:tcPr>
          <w:p w14:paraId="7FFDA002"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2</w:t>
            </w:r>
          </w:p>
        </w:tc>
        <w:tc>
          <w:tcPr>
            <w:tcW w:w="417" w:type="pct"/>
            <w:shd w:val="clear" w:color="auto" w:fill="auto"/>
          </w:tcPr>
          <w:p w14:paraId="3FF06390"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1</w:t>
            </w:r>
          </w:p>
        </w:tc>
        <w:tc>
          <w:tcPr>
            <w:tcW w:w="417" w:type="pct"/>
            <w:shd w:val="clear" w:color="auto" w:fill="auto"/>
          </w:tcPr>
          <w:p w14:paraId="04286874" w14:textId="66F85DF3"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0</w:t>
            </w:r>
          </w:p>
        </w:tc>
        <w:tc>
          <w:tcPr>
            <w:tcW w:w="417" w:type="pct"/>
            <w:shd w:val="clear" w:color="auto" w:fill="auto"/>
          </w:tcPr>
          <w:p w14:paraId="1D3BD527" w14:textId="77777777" w:rsidR="00343720" w:rsidRPr="00DB638E" w:rsidRDefault="00343720" w:rsidP="003C21BB">
            <w:pPr>
              <w:tabs>
                <w:tab w:val="left" w:pos="5835"/>
              </w:tabs>
              <w:spacing w:after="0" w:line="240" w:lineRule="auto"/>
              <w:rPr>
                <w:rFonts w:ascii="Times New Roman" w:hAnsi="Times New Roman"/>
                <w:bCs/>
                <w:sz w:val="18"/>
                <w:szCs w:val="18"/>
              </w:rPr>
            </w:pPr>
            <w:r w:rsidRPr="00DB638E">
              <w:rPr>
                <w:rFonts w:ascii="Times New Roman" w:hAnsi="Times New Roman"/>
                <w:bCs/>
                <w:sz w:val="18"/>
                <w:szCs w:val="18"/>
              </w:rPr>
              <w:t>0</w:t>
            </w:r>
          </w:p>
        </w:tc>
      </w:tr>
    </w:tbl>
    <w:p w14:paraId="3E407649" w14:textId="17EE8090" w:rsidR="00343720" w:rsidRPr="00DB638E" w:rsidRDefault="00343720" w:rsidP="00231A9A">
      <w:pPr>
        <w:spacing w:after="0" w:line="240" w:lineRule="auto"/>
        <w:rPr>
          <w:rFonts w:ascii="Times New Roman" w:hAnsi="Times New Roman"/>
          <w:b/>
          <w:sz w:val="24"/>
          <w:szCs w:val="24"/>
        </w:rPr>
      </w:pPr>
    </w:p>
    <w:p w14:paraId="4A0698C6" w14:textId="77777777" w:rsidR="00231A9A" w:rsidRPr="00DB638E" w:rsidRDefault="00231A9A" w:rsidP="00020025">
      <w:pPr>
        <w:spacing w:after="0" w:line="240" w:lineRule="auto"/>
        <w:jc w:val="both"/>
        <w:rPr>
          <w:rFonts w:ascii="Times New Roman" w:hAnsi="Times New Roman"/>
          <w:b/>
          <w:sz w:val="24"/>
          <w:szCs w:val="24"/>
        </w:rPr>
      </w:pPr>
      <w:r w:rsidRPr="00DB638E">
        <w:rPr>
          <w:rFonts w:ascii="Times New Roman" w:hAnsi="Times New Roman"/>
          <w:b/>
          <w:sz w:val="24"/>
          <w:szCs w:val="24"/>
        </w:rPr>
        <w:t>Таблица 6: Результаты эффективности у пациентов с почечно-клеточным раком, не получавших предварительного лечения (ITT-популяция, CABOSUN)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8"/>
        <w:gridCol w:w="2262"/>
      </w:tblGrid>
      <w:tr w:rsidR="00231A9A" w:rsidRPr="00DB638E" w14:paraId="1980694F" w14:textId="77777777" w:rsidTr="00021C13">
        <w:tc>
          <w:tcPr>
            <w:tcW w:w="4531" w:type="dxa"/>
            <w:shd w:val="clear" w:color="auto" w:fill="auto"/>
          </w:tcPr>
          <w:p w14:paraId="7A1FBDFE"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bookmarkStart w:id="130" w:name="_Hlk56611248"/>
          </w:p>
        </w:tc>
        <w:tc>
          <w:tcPr>
            <w:tcW w:w="2268" w:type="dxa"/>
            <w:shd w:val="clear" w:color="auto" w:fill="auto"/>
          </w:tcPr>
          <w:p w14:paraId="2EC89FDA" w14:textId="055A145B" w:rsidR="00020025" w:rsidRPr="00DB638E" w:rsidRDefault="00020025" w:rsidP="00231A9A">
            <w:pPr>
              <w:suppressLineNumbers/>
              <w:tabs>
                <w:tab w:val="left" w:pos="567"/>
              </w:tabs>
              <w:spacing w:after="0" w:line="240" w:lineRule="auto"/>
              <w:jc w:val="center"/>
              <w:rPr>
                <w:rFonts w:ascii="Times New Roman" w:eastAsia="Times New Roman" w:hAnsi="Times New Roman"/>
                <w:b/>
                <w:bCs/>
                <w:iCs/>
                <w:sz w:val="24"/>
                <w:szCs w:val="24"/>
              </w:rPr>
            </w:pPr>
            <w:r w:rsidRPr="00DB638E">
              <w:rPr>
                <w:rFonts w:ascii="Times New Roman" w:eastAsia="Times New Roman" w:hAnsi="Times New Roman"/>
                <w:b/>
                <w:bCs/>
                <w:iCs/>
                <w:sz w:val="24"/>
                <w:szCs w:val="24"/>
              </w:rPr>
              <w:t xml:space="preserve">Кабозантиниб </w:t>
            </w:r>
          </w:p>
          <w:p w14:paraId="61A93B4B"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
                <w:bCs/>
                <w:iCs/>
                <w:sz w:val="24"/>
                <w:szCs w:val="24"/>
                <w:lang w:val="en-US"/>
              </w:rPr>
            </w:pPr>
            <w:r w:rsidRPr="00DB638E">
              <w:rPr>
                <w:rFonts w:ascii="Times New Roman" w:eastAsia="Times New Roman" w:hAnsi="Times New Roman"/>
                <w:b/>
                <w:bCs/>
                <w:iCs/>
                <w:sz w:val="24"/>
                <w:szCs w:val="24"/>
                <w:lang w:val="en-US"/>
              </w:rPr>
              <w:t>(N=79)</w:t>
            </w:r>
          </w:p>
        </w:tc>
        <w:tc>
          <w:tcPr>
            <w:tcW w:w="2262" w:type="dxa"/>
            <w:shd w:val="clear" w:color="auto" w:fill="auto"/>
          </w:tcPr>
          <w:p w14:paraId="3454A8EE"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
                <w:bCs/>
                <w:iCs/>
                <w:sz w:val="24"/>
                <w:szCs w:val="24"/>
              </w:rPr>
            </w:pPr>
            <w:r w:rsidRPr="00DB638E">
              <w:rPr>
                <w:rFonts w:ascii="Times New Roman" w:eastAsia="Times New Roman" w:hAnsi="Times New Roman"/>
                <w:b/>
                <w:bCs/>
                <w:iCs/>
                <w:sz w:val="24"/>
                <w:szCs w:val="24"/>
              </w:rPr>
              <w:t>Сунитиниб</w:t>
            </w:r>
          </w:p>
          <w:p w14:paraId="2EE16F87"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
                <w:bCs/>
                <w:iCs/>
                <w:sz w:val="24"/>
                <w:szCs w:val="24"/>
                <w:lang w:val="en-US"/>
              </w:rPr>
            </w:pPr>
            <w:r w:rsidRPr="00DB638E">
              <w:rPr>
                <w:rFonts w:ascii="Times New Roman" w:eastAsia="Times New Roman" w:hAnsi="Times New Roman"/>
                <w:b/>
                <w:bCs/>
                <w:iCs/>
                <w:sz w:val="24"/>
                <w:szCs w:val="24"/>
                <w:lang w:val="en-US"/>
              </w:rPr>
              <w:t>(N=78)</w:t>
            </w:r>
          </w:p>
        </w:tc>
      </w:tr>
      <w:tr w:rsidR="00231A9A" w:rsidRPr="00DB638E" w14:paraId="432FD33E" w14:textId="77777777" w:rsidTr="00021C13">
        <w:tc>
          <w:tcPr>
            <w:tcW w:w="9061" w:type="dxa"/>
            <w:gridSpan w:val="3"/>
            <w:shd w:val="clear" w:color="auto" w:fill="auto"/>
          </w:tcPr>
          <w:p w14:paraId="6E54B850" w14:textId="0C7C6A9A" w:rsidR="00231A9A" w:rsidRPr="00DB638E" w:rsidRDefault="00231A9A" w:rsidP="00231A9A">
            <w:pPr>
              <w:suppressLineNumbers/>
              <w:tabs>
                <w:tab w:val="left" w:pos="567"/>
              </w:tabs>
              <w:spacing w:after="0" w:line="240" w:lineRule="auto"/>
              <w:jc w:val="both"/>
              <w:rPr>
                <w:rFonts w:ascii="Times New Roman" w:eastAsia="Times New Roman" w:hAnsi="Times New Roman"/>
                <w:b/>
                <w:bCs/>
                <w:iCs/>
                <w:sz w:val="24"/>
                <w:szCs w:val="24"/>
              </w:rPr>
            </w:pPr>
            <w:r w:rsidRPr="00DB638E">
              <w:rPr>
                <w:rFonts w:ascii="Times New Roman" w:eastAsia="Times New Roman" w:hAnsi="Times New Roman"/>
                <w:b/>
                <w:bCs/>
                <w:iCs/>
                <w:sz w:val="24"/>
                <w:szCs w:val="24"/>
              </w:rPr>
              <w:t>Вероятность выживаемости без прогрессирования заболевания (</w:t>
            </w:r>
            <w:r w:rsidR="003F387B" w:rsidRPr="00DB638E">
              <w:rPr>
                <w:rFonts w:ascii="Times New Roman" w:eastAsia="Times New Roman" w:hAnsi="Times New Roman"/>
                <w:b/>
                <w:bCs/>
                <w:iCs/>
                <w:sz w:val="24"/>
                <w:szCs w:val="24"/>
              </w:rPr>
              <w:t>ВБПЗ</w:t>
            </w:r>
            <w:r w:rsidRPr="00DB638E">
              <w:rPr>
                <w:rFonts w:ascii="Times New Roman" w:eastAsia="Times New Roman" w:hAnsi="Times New Roman"/>
                <w:b/>
                <w:bCs/>
                <w:iCs/>
                <w:sz w:val="24"/>
                <w:szCs w:val="24"/>
              </w:rPr>
              <w:t xml:space="preserve">) с помощью </w:t>
            </w:r>
            <w:r w:rsidRPr="00DB638E">
              <w:rPr>
                <w:rFonts w:ascii="Times New Roman" w:eastAsia="Times New Roman" w:hAnsi="Times New Roman"/>
                <w:b/>
                <w:bCs/>
                <w:iCs/>
                <w:sz w:val="24"/>
                <w:szCs w:val="24"/>
                <w:lang w:val="en-GB"/>
              </w:rPr>
              <w:t>IRC</w:t>
            </w:r>
            <w:r w:rsidRPr="00DB638E">
              <w:rPr>
                <w:rFonts w:ascii="Times New Roman" w:eastAsia="Times New Roman" w:hAnsi="Times New Roman"/>
                <w:b/>
                <w:bCs/>
                <w:iCs/>
                <w:sz w:val="24"/>
                <w:szCs w:val="24"/>
                <w:vertAlign w:val="superscript"/>
                <w:lang w:val="en-GB"/>
              </w:rPr>
              <w:t>a</w:t>
            </w:r>
          </w:p>
        </w:tc>
      </w:tr>
      <w:tr w:rsidR="00231A9A" w:rsidRPr="00DB638E" w14:paraId="30B91040" w14:textId="77777777" w:rsidTr="00021C13">
        <w:tc>
          <w:tcPr>
            <w:tcW w:w="4531" w:type="dxa"/>
            <w:shd w:val="clear" w:color="auto" w:fill="auto"/>
          </w:tcPr>
          <w:p w14:paraId="1CC7C6DF" w14:textId="332B4DBF"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 xml:space="preserve">Медиана </w:t>
            </w:r>
            <w:r w:rsidR="004D4EDC" w:rsidRPr="00DB638E">
              <w:rPr>
                <w:rFonts w:ascii="Times New Roman" w:eastAsia="Times New Roman" w:hAnsi="Times New Roman"/>
                <w:bCs/>
                <w:iCs/>
                <w:sz w:val="24"/>
                <w:szCs w:val="24"/>
              </w:rPr>
              <w:t>ВБП</w:t>
            </w:r>
            <w:r w:rsidR="00021C13" w:rsidRPr="00DB638E">
              <w:rPr>
                <w:rFonts w:ascii="Times New Roman" w:eastAsia="Times New Roman" w:hAnsi="Times New Roman"/>
                <w:bCs/>
                <w:iCs/>
                <w:sz w:val="24"/>
                <w:szCs w:val="24"/>
              </w:rPr>
              <w:t>З</w:t>
            </w:r>
            <w:r w:rsidRPr="00DB638E">
              <w:rPr>
                <w:rFonts w:ascii="Times New Roman" w:eastAsia="Times New Roman" w:hAnsi="Times New Roman"/>
                <w:bCs/>
                <w:iCs/>
                <w:sz w:val="24"/>
                <w:szCs w:val="24"/>
              </w:rPr>
              <w:t xml:space="preserve"> в месяцах (95% ДИ)</w:t>
            </w:r>
          </w:p>
        </w:tc>
        <w:tc>
          <w:tcPr>
            <w:tcW w:w="2268" w:type="dxa"/>
            <w:shd w:val="clear" w:color="auto" w:fill="auto"/>
          </w:tcPr>
          <w:p w14:paraId="37250838"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8.6 (6.2, 14.0)</w:t>
            </w:r>
          </w:p>
        </w:tc>
        <w:tc>
          <w:tcPr>
            <w:tcW w:w="2262" w:type="dxa"/>
            <w:shd w:val="clear" w:color="auto" w:fill="auto"/>
          </w:tcPr>
          <w:p w14:paraId="22B91075"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5.3 (3.0, 8.2)</w:t>
            </w:r>
          </w:p>
        </w:tc>
      </w:tr>
      <w:tr w:rsidR="00231A9A" w:rsidRPr="00DB638E" w14:paraId="3B056B10" w14:textId="77777777" w:rsidTr="00021C13">
        <w:tc>
          <w:tcPr>
            <w:tcW w:w="4531" w:type="dxa"/>
            <w:shd w:val="clear" w:color="auto" w:fill="auto"/>
          </w:tcPr>
          <w:p w14:paraId="46B1467C" w14:textId="77777777" w:rsidR="00231A9A" w:rsidRPr="00DB638E" w:rsidRDefault="004D4EDC" w:rsidP="00231A9A">
            <w:pPr>
              <w:suppressLineNumbers/>
              <w:tabs>
                <w:tab w:val="left" w:pos="567"/>
              </w:tabs>
              <w:spacing w:after="0" w:line="240" w:lineRule="auto"/>
              <w:jc w:val="both"/>
              <w:rPr>
                <w:rFonts w:ascii="Times New Roman" w:eastAsia="Times New Roman" w:hAnsi="Times New Roman"/>
                <w:bCs/>
                <w:iCs/>
                <w:sz w:val="24"/>
                <w:szCs w:val="24"/>
                <w:lang w:val="fr-FR"/>
              </w:rPr>
            </w:pPr>
            <w:r w:rsidRPr="00DB638E">
              <w:rPr>
                <w:rFonts w:ascii="Times New Roman" w:eastAsia="Times New Roman" w:hAnsi="Times New Roman"/>
                <w:bCs/>
                <w:iCs/>
                <w:sz w:val="24"/>
                <w:szCs w:val="24"/>
              </w:rPr>
              <w:t>Соотношение рисков</w:t>
            </w:r>
            <w:r w:rsidR="00231A9A" w:rsidRPr="00DB638E">
              <w:rPr>
                <w:rFonts w:ascii="Times New Roman" w:eastAsia="Times New Roman" w:hAnsi="Times New Roman"/>
                <w:bCs/>
                <w:iCs/>
                <w:sz w:val="24"/>
                <w:szCs w:val="24"/>
                <w:lang w:val="fr-FR"/>
              </w:rPr>
              <w:t xml:space="preserve"> (95% ДИ); </w:t>
            </w:r>
            <w:r w:rsidR="00231A9A" w:rsidRPr="00DB638E">
              <w:rPr>
                <w:rFonts w:ascii="Times New Roman" w:eastAsia="Times New Roman" w:hAnsi="Times New Roman"/>
                <w:bCs/>
                <w:iCs/>
                <w:sz w:val="24"/>
                <w:szCs w:val="24"/>
              </w:rPr>
              <w:t>стратифицировано</w:t>
            </w:r>
            <w:r w:rsidR="00231A9A" w:rsidRPr="00DB638E">
              <w:rPr>
                <w:rFonts w:ascii="Times New Roman" w:eastAsia="Times New Roman" w:hAnsi="Times New Roman"/>
                <w:bCs/>
                <w:iCs/>
                <w:sz w:val="24"/>
                <w:szCs w:val="24"/>
                <w:lang w:val="fr-FR"/>
              </w:rPr>
              <w:t xml:space="preserve"> </w:t>
            </w:r>
            <w:r w:rsidR="00231A9A" w:rsidRPr="00DB638E">
              <w:rPr>
                <w:rFonts w:ascii="Times New Roman" w:eastAsia="Times New Roman" w:hAnsi="Times New Roman"/>
                <w:bCs/>
                <w:iCs/>
                <w:sz w:val="24"/>
                <w:szCs w:val="24"/>
                <w:vertAlign w:val="superscript"/>
                <w:lang w:val="fr-FR"/>
              </w:rPr>
              <w:t>b,c</w:t>
            </w:r>
          </w:p>
        </w:tc>
        <w:tc>
          <w:tcPr>
            <w:tcW w:w="4530" w:type="dxa"/>
            <w:gridSpan w:val="2"/>
            <w:shd w:val="clear" w:color="auto" w:fill="auto"/>
          </w:tcPr>
          <w:p w14:paraId="19E9D7B8"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0.48 (0.32, 0.73)</w:t>
            </w:r>
          </w:p>
        </w:tc>
      </w:tr>
      <w:tr w:rsidR="00231A9A" w:rsidRPr="00DB638E" w14:paraId="6CA6EC8F" w14:textId="77777777" w:rsidTr="00021C13">
        <w:tc>
          <w:tcPr>
            <w:tcW w:w="4531" w:type="dxa"/>
            <w:shd w:val="clear" w:color="auto" w:fill="auto"/>
          </w:tcPr>
          <w:p w14:paraId="59E907A6"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Двустороння логарифмическая категория р-значения: стратифицировано</w:t>
            </w:r>
            <w:r w:rsidRPr="00DB638E">
              <w:rPr>
                <w:rFonts w:ascii="Times New Roman" w:eastAsia="Times New Roman" w:hAnsi="Times New Roman"/>
                <w:bCs/>
                <w:iCs/>
                <w:sz w:val="24"/>
                <w:szCs w:val="24"/>
                <w:vertAlign w:val="superscript"/>
              </w:rPr>
              <w:t xml:space="preserve"> </w:t>
            </w:r>
            <w:r w:rsidRPr="00DB638E">
              <w:rPr>
                <w:rFonts w:ascii="Times New Roman" w:eastAsia="Times New Roman" w:hAnsi="Times New Roman"/>
                <w:bCs/>
                <w:iCs/>
                <w:sz w:val="24"/>
                <w:szCs w:val="24"/>
                <w:vertAlign w:val="superscript"/>
                <w:lang w:val="en-US"/>
              </w:rPr>
              <w:t>b</w:t>
            </w:r>
          </w:p>
        </w:tc>
        <w:tc>
          <w:tcPr>
            <w:tcW w:w="4530" w:type="dxa"/>
            <w:gridSpan w:val="2"/>
            <w:shd w:val="clear" w:color="auto" w:fill="auto"/>
          </w:tcPr>
          <w:p w14:paraId="5BD7460B" w14:textId="77777777" w:rsidR="00231A9A" w:rsidRPr="00DB638E" w:rsidRDefault="00231A9A" w:rsidP="00231A9A">
            <w:pPr>
              <w:suppressLineNumbers/>
              <w:tabs>
                <w:tab w:val="left" w:pos="567"/>
                <w:tab w:val="left" w:pos="3645"/>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p=0.0005</w:t>
            </w:r>
          </w:p>
        </w:tc>
      </w:tr>
      <w:tr w:rsidR="00231A9A" w:rsidRPr="00DB638E" w14:paraId="30793FD5" w14:textId="77777777" w:rsidTr="00021C13">
        <w:tc>
          <w:tcPr>
            <w:tcW w:w="9061" w:type="dxa"/>
            <w:gridSpan w:val="3"/>
            <w:shd w:val="clear" w:color="auto" w:fill="auto"/>
          </w:tcPr>
          <w:p w14:paraId="5ACE1E9C" w14:textId="1C124F7E" w:rsidR="00231A9A" w:rsidRPr="00DB638E" w:rsidRDefault="00231A9A" w:rsidP="00231A9A">
            <w:pPr>
              <w:suppressLineNumbers/>
              <w:tabs>
                <w:tab w:val="left" w:pos="567"/>
              </w:tabs>
              <w:spacing w:after="0" w:line="240" w:lineRule="auto"/>
              <w:jc w:val="both"/>
              <w:rPr>
                <w:rFonts w:ascii="Times New Roman" w:eastAsia="Times New Roman" w:hAnsi="Times New Roman"/>
                <w:b/>
                <w:bCs/>
                <w:iCs/>
                <w:sz w:val="24"/>
                <w:szCs w:val="24"/>
              </w:rPr>
            </w:pPr>
            <w:r w:rsidRPr="00DB638E">
              <w:rPr>
                <w:rFonts w:ascii="Times New Roman" w:eastAsia="Times New Roman" w:hAnsi="Times New Roman"/>
                <w:b/>
                <w:bCs/>
                <w:iCs/>
                <w:sz w:val="24"/>
                <w:szCs w:val="24"/>
              </w:rPr>
              <w:t>Вероятность выживаемости без прогрессирования заболевания (</w:t>
            </w:r>
            <w:r w:rsidR="00021C13" w:rsidRPr="00DB638E">
              <w:rPr>
                <w:rFonts w:ascii="Times New Roman" w:eastAsia="Times New Roman" w:hAnsi="Times New Roman"/>
                <w:b/>
                <w:bCs/>
                <w:iCs/>
                <w:sz w:val="24"/>
                <w:szCs w:val="24"/>
              </w:rPr>
              <w:t>ВБПЗ</w:t>
            </w:r>
            <w:r w:rsidRPr="00DB638E">
              <w:rPr>
                <w:rFonts w:ascii="Times New Roman" w:eastAsia="Times New Roman" w:hAnsi="Times New Roman"/>
                <w:b/>
                <w:bCs/>
                <w:iCs/>
                <w:sz w:val="24"/>
                <w:szCs w:val="24"/>
              </w:rPr>
              <w:t>) с помощью исследователя</w:t>
            </w:r>
          </w:p>
        </w:tc>
      </w:tr>
      <w:tr w:rsidR="00231A9A" w:rsidRPr="00DB638E" w14:paraId="5BCC36E3" w14:textId="77777777" w:rsidTr="00021C13">
        <w:tc>
          <w:tcPr>
            <w:tcW w:w="4531" w:type="dxa"/>
            <w:shd w:val="clear" w:color="auto" w:fill="auto"/>
          </w:tcPr>
          <w:p w14:paraId="36929D34" w14:textId="2FE74B42"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 xml:space="preserve">Медиана </w:t>
            </w:r>
            <w:r w:rsidR="004D4EDC" w:rsidRPr="00DB638E">
              <w:rPr>
                <w:rFonts w:ascii="Times New Roman" w:eastAsia="Times New Roman" w:hAnsi="Times New Roman"/>
                <w:bCs/>
                <w:iCs/>
                <w:sz w:val="24"/>
                <w:szCs w:val="24"/>
              </w:rPr>
              <w:t>ВБП</w:t>
            </w:r>
            <w:r w:rsidR="00021C13" w:rsidRPr="00DB638E">
              <w:rPr>
                <w:rFonts w:ascii="Times New Roman" w:eastAsia="Times New Roman" w:hAnsi="Times New Roman"/>
                <w:bCs/>
                <w:iCs/>
                <w:sz w:val="24"/>
                <w:szCs w:val="24"/>
              </w:rPr>
              <w:t>З</w:t>
            </w:r>
            <w:r w:rsidRPr="00DB638E">
              <w:rPr>
                <w:rFonts w:ascii="Times New Roman" w:eastAsia="Times New Roman" w:hAnsi="Times New Roman"/>
                <w:bCs/>
                <w:iCs/>
                <w:sz w:val="24"/>
                <w:szCs w:val="24"/>
              </w:rPr>
              <w:t xml:space="preserve"> в месяцах (95% ДИ)</w:t>
            </w:r>
          </w:p>
        </w:tc>
        <w:tc>
          <w:tcPr>
            <w:tcW w:w="2268" w:type="dxa"/>
            <w:shd w:val="clear" w:color="auto" w:fill="auto"/>
          </w:tcPr>
          <w:p w14:paraId="31A5B107"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8.3 (6.5, 12.4)</w:t>
            </w:r>
          </w:p>
        </w:tc>
        <w:tc>
          <w:tcPr>
            <w:tcW w:w="2262" w:type="dxa"/>
            <w:shd w:val="clear" w:color="auto" w:fill="auto"/>
          </w:tcPr>
          <w:p w14:paraId="3C852AEA"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5.4 (3.4, 8.2)</w:t>
            </w:r>
          </w:p>
        </w:tc>
      </w:tr>
      <w:tr w:rsidR="00231A9A" w:rsidRPr="00DB638E" w14:paraId="01009F03" w14:textId="77777777" w:rsidTr="00021C13">
        <w:tc>
          <w:tcPr>
            <w:tcW w:w="4531" w:type="dxa"/>
            <w:shd w:val="clear" w:color="auto" w:fill="auto"/>
          </w:tcPr>
          <w:p w14:paraId="4462812D" w14:textId="77777777" w:rsidR="00231A9A" w:rsidRPr="00DB638E" w:rsidRDefault="004D4EDC" w:rsidP="00231A9A">
            <w:pPr>
              <w:suppressLineNumbers/>
              <w:tabs>
                <w:tab w:val="left" w:pos="567"/>
              </w:tabs>
              <w:spacing w:after="0" w:line="240" w:lineRule="auto"/>
              <w:jc w:val="both"/>
              <w:rPr>
                <w:rFonts w:ascii="Times New Roman" w:eastAsia="Times New Roman" w:hAnsi="Times New Roman"/>
                <w:bCs/>
                <w:iCs/>
                <w:sz w:val="24"/>
                <w:szCs w:val="24"/>
                <w:vertAlign w:val="superscript"/>
                <w:lang w:val="fr-FR"/>
              </w:rPr>
            </w:pPr>
            <w:r w:rsidRPr="00DB638E">
              <w:rPr>
                <w:rFonts w:ascii="Times New Roman" w:eastAsia="Times New Roman" w:hAnsi="Times New Roman"/>
                <w:bCs/>
                <w:iCs/>
                <w:sz w:val="24"/>
                <w:szCs w:val="24"/>
              </w:rPr>
              <w:t>Соотношение рисков</w:t>
            </w:r>
            <w:r w:rsidR="00231A9A" w:rsidRPr="00DB638E">
              <w:rPr>
                <w:rFonts w:ascii="Times New Roman" w:eastAsia="Times New Roman" w:hAnsi="Times New Roman"/>
                <w:bCs/>
                <w:iCs/>
                <w:sz w:val="24"/>
                <w:szCs w:val="24"/>
                <w:lang w:val="fr-FR"/>
              </w:rPr>
              <w:t xml:space="preserve"> (95% ДИ); стратифицировано</w:t>
            </w:r>
            <w:r w:rsidR="00231A9A" w:rsidRPr="00DB638E">
              <w:rPr>
                <w:rFonts w:ascii="Times New Roman" w:eastAsia="Times New Roman" w:hAnsi="Times New Roman"/>
                <w:bCs/>
                <w:iCs/>
                <w:sz w:val="24"/>
                <w:szCs w:val="24"/>
                <w:vertAlign w:val="superscript"/>
                <w:lang w:val="fr-FR"/>
              </w:rPr>
              <w:t xml:space="preserve"> b,c</w:t>
            </w:r>
          </w:p>
        </w:tc>
        <w:tc>
          <w:tcPr>
            <w:tcW w:w="4530" w:type="dxa"/>
            <w:gridSpan w:val="2"/>
            <w:shd w:val="clear" w:color="auto" w:fill="auto"/>
          </w:tcPr>
          <w:p w14:paraId="1202659B"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u w:val="single"/>
                <w:lang w:val="en-US"/>
              </w:rPr>
            </w:pPr>
            <w:r w:rsidRPr="00DB638E">
              <w:rPr>
                <w:rFonts w:ascii="Times New Roman" w:eastAsia="Times New Roman" w:hAnsi="Times New Roman"/>
                <w:bCs/>
                <w:iCs/>
                <w:sz w:val="24"/>
                <w:szCs w:val="24"/>
                <w:lang w:val="en-US"/>
              </w:rPr>
              <w:t>0.56 (0.37, 0.83)</w:t>
            </w:r>
          </w:p>
        </w:tc>
      </w:tr>
      <w:tr w:rsidR="00231A9A" w:rsidRPr="00DB638E" w14:paraId="2CCD59A3" w14:textId="77777777" w:rsidTr="00021C13">
        <w:tc>
          <w:tcPr>
            <w:tcW w:w="4531" w:type="dxa"/>
            <w:shd w:val="clear" w:color="auto" w:fill="auto"/>
          </w:tcPr>
          <w:p w14:paraId="0FE0F64F"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 xml:space="preserve">Двустороння логарифмическая категория р-значения: стратифицировано </w:t>
            </w:r>
            <w:r w:rsidRPr="00DB638E">
              <w:rPr>
                <w:rFonts w:ascii="Times New Roman" w:eastAsia="Times New Roman" w:hAnsi="Times New Roman"/>
                <w:bCs/>
                <w:iCs/>
                <w:sz w:val="24"/>
                <w:szCs w:val="24"/>
                <w:vertAlign w:val="superscript"/>
                <w:lang w:val="en-US"/>
              </w:rPr>
              <w:t>b</w:t>
            </w:r>
          </w:p>
        </w:tc>
        <w:tc>
          <w:tcPr>
            <w:tcW w:w="4530" w:type="dxa"/>
            <w:gridSpan w:val="2"/>
            <w:shd w:val="clear" w:color="auto" w:fill="auto"/>
          </w:tcPr>
          <w:p w14:paraId="4455DB5D"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u w:val="single"/>
                <w:lang w:val="en-US"/>
              </w:rPr>
            </w:pPr>
            <w:r w:rsidRPr="00DB638E">
              <w:rPr>
                <w:rFonts w:ascii="Times New Roman" w:eastAsia="Times New Roman" w:hAnsi="Times New Roman"/>
                <w:bCs/>
                <w:iCs/>
                <w:sz w:val="24"/>
                <w:szCs w:val="24"/>
                <w:lang w:val="en-US"/>
              </w:rPr>
              <w:t>p=0.0042</w:t>
            </w:r>
          </w:p>
        </w:tc>
      </w:tr>
      <w:tr w:rsidR="00231A9A" w:rsidRPr="00DB638E" w14:paraId="2D9547F6" w14:textId="77777777" w:rsidTr="00021C13">
        <w:tc>
          <w:tcPr>
            <w:tcW w:w="9061" w:type="dxa"/>
            <w:gridSpan w:val="3"/>
            <w:shd w:val="clear" w:color="auto" w:fill="auto"/>
          </w:tcPr>
          <w:p w14:paraId="5CF49216"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
                <w:bCs/>
                <w:iCs/>
                <w:sz w:val="24"/>
                <w:szCs w:val="24"/>
              </w:rPr>
              <w:t>Общая выживаемость</w:t>
            </w:r>
          </w:p>
        </w:tc>
      </w:tr>
      <w:tr w:rsidR="00231A9A" w:rsidRPr="00DB638E" w14:paraId="10CDF36A" w14:textId="77777777" w:rsidTr="00021C13">
        <w:tc>
          <w:tcPr>
            <w:tcW w:w="4531" w:type="dxa"/>
            <w:shd w:val="clear" w:color="auto" w:fill="auto"/>
          </w:tcPr>
          <w:p w14:paraId="52F66668"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 xml:space="preserve">Медиана </w:t>
            </w:r>
            <w:r w:rsidR="004D4EDC" w:rsidRPr="00DB638E">
              <w:rPr>
                <w:rFonts w:ascii="Times New Roman" w:eastAsia="Times New Roman" w:hAnsi="Times New Roman"/>
                <w:bCs/>
                <w:iCs/>
                <w:sz w:val="24"/>
                <w:szCs w:val="24"/>
              </w:rPr>
              <w:t>ОВ</w:t>
            </w:r>
            <w:r w:rsidRPr="00DB638E">
              <w:rPr>
                <w:rFonts w:ascii="Times New Roman" w:eastAsia="Times New Roman" w:hAnsi="Times New Roman"/>
                <w:bCs/>
                <w:iCs/>
                <w:sz w:val="24"/>
                <w:szCs w:val="24"/>
              </w:rPr>
              <w:t xml:space="preserve"> в месяцах (95% ДИ)</w:t>
            </w:r>
          </w:p>
        </w:tc>
        <w:tc>
          <w:tcPr>
            <w:tcW w:w="2268" w:type="dxa"/>
            <w:shd w:val="clear" w:color="auto" w:fill="auto"/>
          </w:tcPr>
          <w:p w14:paraId="51C38CE8"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30.3 (14.6, NE)</w:t>
            </w:r>
          </w:p>
        </w:tc>
        <w:tc>
          <w:tcPr>
            <w:tcW w:w="2262" w:type="dxa"/>
            <w:shd w:val="clear" w:color="auto" w:fill="auto"/>
          </w:tcPr>
          <w:p w14:paraId="5601740D"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21.0 (16.3, 27.0)</w:t>
            </w:r>
          </w:p>
        </w:tc>
      </w:tr>
      <w:tr w:rsidR="00231A9A" w:rsidRPr="00DB638E" w14:paraId="1227561F" w14:textId="77777777" w:rsidTr="00021C13">
        <w:tc>
          <w:tcPr>
            <w:tcW w:w="4531" w:type="dxa"/>
            <w:shd w:val="clear" w:color="auto" w:fill="auto"/>
          </w:tcPr>
          <w:p w14:paraId="47FFD112" w14:textId="77777777" w:rsidR="00231A9A" w:rsidRPr="00DB638E" w:rsidRDefault="004D4EDC" w:rsidP="00231A9A">
            <w:pPr>
              <w:suppressLineNumbers/>
              <w:tabs>
                <w:tab w:val="left" w:pos="567"/>
              </w:tabs>
              <w:spacing w:after="0" w:line="240" w:lineRule="auto"/>
              <w:jc w:val="both"/>
              <w:rPr>
                <w:rFonts w:ascii="Times New Roman" w:eastAsia="Times New Roman" w:hAnsi="Times New Roman"/>
                <w:bCs/>
                <w:iCs/>
                <w:sz w:val="24"/>
                <w:szCs w:val="24"/>
                <w:u w:val="single"/>
                <w:lang w:val="fr-FR"/>
              </w:rPr>
            </w:pPr>
            <w:r w:rsidRPr="00DB638E">
              <w:rPr>
                <w:rFonts w:ascii="Times New Roman" w:eastAsia="Times New Roman" w:hAnsi="Times New Roman"/>
                <w:bCs/>
                <w:iCs/>
                <w:sz w:val="24"/>
                <w:szCs w:val="24"/>
              </w:rPr>
              <w:t>Соотношение рисков</w:t>
            </w:r>
            <w:r w:rsidRPr="00DB638E">
              <w:rPr>
                <w:rFonts w:ascii="Times New Roman" w:eastAsia="Times New Roman" w:hAnsi="Times New Roman"/>
                <w:bCs/>
                <w:iCs/>
                <w:sz w:val="24"/>
                <w:szCs w:val="24"/>
                <w:lang w:val="fr-FR"/>
              </w:rPr>
              <w:t xml:space="preserve"> </w:t>
            </w:r>
            <w:r w:rsidR="00231A9A" w:rsidRPr="00DB638E">
              <w:rPr>
                <w:rFonts w:ascii="Times New Roman" w:eastAsia="Times New Roman" w:hAnsi="Times New Roman"/>
                <w:bCs/>
                <w:iCs/>
                <w:sz w:val="24"/>
                <w:szCs w:val="24"/>
                <w:u w:val="single"/>
                <w:lang w:val="fr-FR"/>
              </w:rPr>
              <w:t xml:space="preserve">(95% ДИ); стратифицировано </w:t>
            </w:r>
            <w:r w:rsidR="00231A9A" w:rsidRPr="00DB638E">
              <w:rPr>
                <w:rFonts w:ascii="Times New Roman" w:eastAsia="Times New Roman" w:hAnsi="Times New Roman"/>
                <w:bCs/>
                <w:iCs/>
                <w:sz w:val="24"/>
                <w:szCs w:val="24"/>
                <w:u w:val="single"/>
                <w:vertAlign w:val="superscript"/>
                <w:lang w:val="fr-FR"/>
              </w:rPr>
              <w:t>b,c</w:t>
            </w:r>
          </w:p>
        </w:tc>
        <w:tc>
          <w:tcPr>
            <w:tcW w:w="4530" w:type="dxa"/>
            <w:gridSpan w:val="2"/>
            <w:shd w:val="clear" w:color="auto" w:fill="auto"/>
          </w:tcPr>
          <w:p w14:paraId="3C0475C8"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0.74 (0.47, 1.14)</w:t>
            </w:r>
          </w:p>
        </w:tc>
      </w:tr>
      <w:tr w:rsidR="00231A9A" w:rsidRPr="00DB638E" w14:paraId="79BB58C2" w14:textId="77777777" w:rsidTr="00021C13">
        <w:tc>
          <w:tcPr>
            <w:tcW w:w="9061" w:type="dxa"/>
            <w:gridSpan w:val="3"/>
            <w:shd w:val="clear" w:color="auto" w:fill="auto"/>
          </w:tcPr>
          <w:p w14:paraId="0A1F9C49"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u w:val="single"/>
                <w:lang w:val="en-US"/>
              </w:rPr>
            </w:pPr>
            <w:r w:rsidRPr="00DB638E">
              <w:rPr>
                <w:rFonts w:ascii="Times New Roman" w:eastAsia="Times New Roman" w:hAnsi="Times New Roman"/>
                <w:b/>
                <w:bCs/>
                <w:iCs/>
                <w:sz w:val="24"/>
                <w:szCs w:val="24"/>
              </w:rPr>
              <w:t xml:space="preserve">Частота объективного ответа </w:t>
            </w:r>
            <w:r w:rsidRPr="00DB638E">
              <w:rPr>
                <w:rFonts w:ascii="Times New Roman" w:eastAsia="Times New Roman" w:hAnsi="Times New Roman"/>
                <w:b/>
                <w:bCs/>
                <w:iCs/>
                <w:sz w:val="24"/>
                <w:szCs w:val="24"/>
                <w:lang w:val="en-GB"/>
              </w:rPr>
              <w:t>n</w:t>
            </w:r>
            <w:r w:rsidRPr="00DB638E">
              <w:rPr>
                <w:rFonts w:ascii="Times New Roman" w:eastAsia="Times New Roman" w:hAnsi="Times New Roman"/>
                <w:b/>
                <w:bCs/>
                <w:iCs/>
                <w:sz w:val="24"/>
                <w:szCs w:val="24"/>
              </w:rPr>
              <w:t xml:space="preserve"> (%) с помощью </w:t>
            </w:r>
            <w:r w:rsidRPr="00DB638E">
              <w:rPr>
                <w:rFonts w:ascii="Times New Roman" w:eastAsia="Times New Roman" w:hAnsi="Times New Roman"/>
                <w:b/>
                <w:bCs/>
                <w:iCs/>
                <w:sz w:val="24"/>
                <w:szCs w:val="24"/>
                <w:lang w:val="en-GB"/>
              </w:rPr>
              <w:t>IRC</w:t>
            </w:r>
          </w:p>
        </w:tc>
      </w:tr>
      <w:tr w:rsidR="00231A9A" w:rsidRPr="00DB638E" w14:paraId="3C990EF2" w14:textId="77777777" w:rsidTr="00021C13">
        <w:tc>
          <w:tcPr>
            <w:tcW w:w="4531" w:type="dxa"/>
            <w:shd w:val="clear" w:color="auto" w:fill="auto"/>
          </w:tcPr>
          <w:p w14:paraId="23490C2E"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Полный ответ</w:t>
            </w:r>
          </w:p>
        </w:tc>
        <w:tc>
          <w:tcPr>
            <w:tcW w:w="2268" w:type="dxa"/>
            <w:shd w:val="clear" w:color="auto" w:fill="auto"/>
          </w:tcPr>
          <w:p w14:paraId="4465045F"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0</w:t>
            </w:r>
          </w:p>
        </w:tc>
        <w:tc>
          <w:tcPr>
            <w:tcW w:w="2262" w:type="dxa"/>
            <w:shd w:val="clear" w:color="auto" w:fill="auto"/>
          </w:tcPr>
          <w:p w14:paraId="72658B2C"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0</w:t>
            </w:r>
          </w:p>
        </w:tc>
      </w:tr>
      <w:tr w:rsidR="00231A9A" w:rsidRPr="00DB638E" w14:paraId="59D4527F" w14:textId="77777777" w:rsidTr="00021C13">
        <w:tc>
          <w:tcPr>
            <w:tcW w:w="4531" w:type="dxa"/>
            <w:shd w:val="clear" w:color="auto" w:fill="auto"/>
          </w:tcPr>
          <w:p w14:paraId="56DF2C69"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Частичный ответ</w:t>
            </w:r>
          </w:p>
        </w:tc>
        <w:tc>
          <w:tcPr>
            <w:tcW w:w="2268" w:type="dxa"/>
            <w:shd w:val="clear" w:color="auto" w:fill="auto"/>
          </w:tcPr>
          <w:p w14:paraId="4AB79175"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16 (20)</w:t>
            </w:r>
          </w:p>
        </w:tc>
        <w:tc>
          <w:tcPr>
            <w:tcW w:w="2262" w:type="dxa"/>
            <w:shd w:val="clear" w:color="auto" w:fill="auto"/>
          </w:tcPr>
          <w:p w14:paraId="7F54231F"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7 (9)</w:t>
            </w:r>
          </w:p>
        </w:tc>
      </w:tr>
      <w:tr w:rsidR="00231A9A" w:rsidRPr="00DB638E" w14:paraId="6F50692D" w14:textId="77777777" w:rsidTr="00021C13">
        <w:tc>
          <w:tcPr>
            <w:tcW w:w="4531" w:type="dxa"/>
            <w:shd w:val="clear" w:color="auto" w:fill="auto"/>
          </w:tcPr>
          <w:p w14:paraId="416DC441" w14:textId="05805B6F" w:rsidR="00231A9A" w:rsidRPr="00DB638E" w:rsidRDefault="00021C13"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 xml:space="preserve">ЧОО </w:t>
            </w:r>
            <w:r w:rsidR="00231A9A" w:rsidRPr="00DB638E">
              <w:rPr>
                <w:rFonts w:ascii="Times New Roman" w:eastAsia="Times New Roman" w:hAnsi="Times New Roman"/>
                <w:bCs/>
                <w:iCs/>
                <w:sz w:val="24"/>
                <w:szCs w:val="24"/>
              </w:rPr>
              <w:t>(только частичные ответы)</w:t>
            </w:r>
          </w:p>
        </w:tc>
        <w:tc>
          <w:tcPr>
            <w:tcW w:w="2268" w:type="dxa"/>
            <w:shd w:val="clear" w:color="auto" w:fill="auto"/>
          </w:tcPr>
          <w:p w14:paraId="2B0EBD98"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16 (20)</w:t>
            </w:r>
          </w:p>
        </w:tc>
        <w:tc>
          <w:tcPr>
            <w:tcW w:w="2262" w:type="dxa"/>
            <w:shd w:val="clear" w:color="auto" w:fill="auto"/>
          </w:tcPr>
          <w:p w14:paraId="6F8C2ABC"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7 (9)</w:t>
            </w:r>
          </w:p>
        </w:tc>
      </w:tr>
      <w:tr w:rsidR="00231A9A" w:rsidRPr="00DB638E" w14:paraId="052193D7" w14:textId="77777777" w:rsidTr="00021C13">
        <w:tc>
          <w:tcPr>
            <w:tcW w:w="4531" w:type="dxa"/>
            <w:shd w:val="clear" w:color="auto" w:fill="auto"/>
          </w:tcPr>
          <w:p w14:paraId="7ADFDF5A"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Стабильное течение заболевания</w:t>
            </w:r>
          </w:p>
        </w:tc>
        <w:tc>
          <w:tcPr>
            <w:tcW w:w="2268" w:type="dxa"/>
            <w:shd w:val="clear" w:color="auto" w:fill="auto"/>
          </w:tcPr>
          <w:p w14:paraId="79887135"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43 (54)</w:t>
            </w:r>
          </w:p>
        </w:tc>
        <w:tc>
          <w:tcPr>
            <w:tcW w:w="2262" w:type="dxa"/>
            <w:shd w:val="clear" w:color="auto" w:fill="auto"/>
          </w:tcPr>
          <w:p w14:paraId="026C05A7"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30 (38)</w:t>
            </w:r>
          </w:p>
        </w:tc>
      </w:tr>
      <w:tr w:rsidR="00231A9A" w:rsidRPr="00DB638E" w14:paraId="70613CB1" w14:textId="77777777" w:rsidTr="00021C13">
        <w:tc>
          <w:tcPr>
            <w:tcW w:w="4531" w:type="dxa"/>
            <w:shd w:val="clear" w:color="auto" w:fill="auto"/>
          </w:tcPr>
          <w:p w14:paraId="74314D1C"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Прогрессирование заболевания</w:t>
            </w:r>
          </w:p>
        </w:tc>
        <w:tc>
          <w:tcPr>
            <w:tcW w:w="2268" w:type="dxa"/>
            <w:shd w:val="clear" w:color="auto" w:fill="auto"/>
          </w:tcPr>
          <w:p w14:paraId="2268303D"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 xml:space="preserve">14 (18) </w:t>
            </w:r>
          </w:p>
        </w:tc>
        <w:tc>
          <w:tcPr>
            <w:tcW w:w="2262" w:type="dxa"/>
            <w:shd w:val="clear" w:color="auto" w:fill="auto"/>
          </w:tcPr>
          <w:p w14:paraId="120F4F48"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23 (29)</w:t>
            </w:r>
          </w:p>
        </w:tc>
      </w:tr>
      <w:tr w:rsidR="00231A9A" w:rsidRPr="00DB638E" w14:paraId="2031EE8B" w14:textId="77777777" w:rsidTr="00021C13">
        <w:tc>
          <w:tcPr>
            <w:tcW w:w="9061" w:type="dxa"/>
            <w:gridSpan w:val="3"/>
            <w:shd w:val="clear" w:color="auto" w:fill="auto"/>
          </w:tcPr>
          <w:p w14:paraId="5D6253B3"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u w:val="single"/>
              </w:rPr>
            </w:pPr>
            <w:r w:rsidRPr="00DB638E">
              <w:rPr>
                <w:rFonts w:ascii="Times New Roman" w:eastAsia="Times New Roman" w:hAnsi="Times New Roman"/>
                <w:b/>
                <w:bCs/>
                <w:iCs/>
                <w:sz w:val="24"/>
                <w:szCs w:val="24"/>
              </w:rPr>
              <w:lastRenderedPageBreak/>
              <w:t xml:space="preserve">Частота объективного ответа </w:t>
            </w:r>
            <w:r w:rsidRPr="00DB638E">
              <w:rPr>
                <w:rFonts w:ascii="Times New Roman" w:eastAsia="Times New Roman" w:hAnsi="Times New Roman"/>
                <w:b/>
                <w:bCs/>
                <w:iCs/>
                <w:sz w:val="24"/>
                <w:szCs w:val="24"/>
                <w:lang w:val="en-GB"/>
              </w:rPr>
              <w:t>n</w:t>
            </w:r>
            <w:r w:rsidRPr="00DB638E">
              <w:rPr>
                <w:rFonts w:ascii="Times New Roman" w:eastAsia="Times New Roman" w:hAnsi="Times New Roman"/>
                <w:b/>
                <w:bCs/>
                <w:iCs/>
                <w:sz w:val="24"/>
                <w:szCs w:val="24"/>
              </w:rPr>
              <w:t xml:space="preserve"> (%) с помощью исследователя</w:t>
            </w:r>
          </w:p>
        </w:tc>
      </w:tr>
      <w:tr w:rsidR="00231A9A" w:rsidRPr="00DB638E" w14:paraId="67AC184D" w14:textId="77777777" w:rsidTr="00021C13">
        <w:tc>
          <w:tcPr>
            <w:tcW w:w="4531" w:type="dxa"/>
            <w:shd w:val="clear" w:color="auto" w:fill="auto"/>
          </w:tcPr>
          <w:p w14:paraId="36990F48"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Полный ответ</w:t>
            </w:r>
          </w:p>
        </w:tc>
        <w:tc>
          <w:tcPr>
            <w:tcW w:w="2268" w:type="dxa"/>
            <w:shd w:val="clear" w:color="auto" w:fill="auto"/>
          </w:tcPr>
          <w:p w14:paraId="28EC0D42"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sz w:val="24"/>
                <w:szCs w:val="24"/>
                <w:lang w:val="en-GB"/>
              </w:rPr>
              <w:t>1 (1)</w:t>
            </w:r>
          </w:p>
        </w:tc>
        <w:tc>
          <w:tcPr>
            <w:tcW w:w="2262" w:type="dxa"/>
            <w:shd w:val="clear" w:color="auto" w:fill="auto"/>
          </w:tcPr>
          <w:p w14:paraId="02C55720"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sz w:val="24"/>
                <w:szCs w:val="24"/>
                <w:lang w:val="en-GB"/>
              </w:rPr>
              <w:t>0</w:t>
            </w:r>
          </w:p>
        </w:tc>
      </w:tr>
      <w:tr w:rsidR="00231A9A" w:rsidRPr="00DB638E" w14:paraId="61F2DF93" w14:textId="77777777" w:rsidTr="00021C13">
        <w:tc>
          <w:tcPr>
            <w:tcW w:w="4531" w:type="dxa"/>
            <w:shd w:val="clear" w:color="auto" w:fill="auto"/>
          </w:tcPr>
          <w:p w14:paraId="502D2C39"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Частичный ответ</w:t>
            </w:r>
          </w:p>
        </w:tc>
        <w:tc>
          <w:tcPr>
            <w:tcW w:w="2268" w:type="dxa"/>
            <w:shd w:val="clear" w:color="auto" w:fill="auto"/>
          </w:tcPr>
          <w:p w14:paraId="700666EA"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sz w:val="24"/>
                <w:szCs w:val="24"/>
                <w:lang w:val="en-GB"/>
              </w:rPr>
              <w:t>25 (32)</w:t>
            </w:r>
          </w:p>
        </w:tc>
        <w:tc>
          <w:tcPr>
            <w:tcW w:w="2262" w:type="dxa"/>
            <w:shd w:val="clear" w:color="auto" w:fill="auto"/>
          </w:tcPr>
          <w:p w14:paraId="40A7018A"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sz w:val="24"/>
                <w:szCs w:val="24"/>
                <w:lang w:val="en-GB"/>
              </w:rPr>
              <w:t>9 (12)</w:t>
            </w:r>
          </w:p>
        </w:tc>
      </w:tr>
      <w:tr w:rsidR="00231A9A" w:rsidRPr="00DB638E" w14:paraId="6824DA6A" w14:textId="77777777" w:rsidTr="00021C13">
        <w:tc>
          <w:tcPr>
            <w:tcW w:w="4531" w:type="dxa"/>
            <w:shd w:val="clear" w:color="auto" w:fill="auto"/>
          </w:tcPr>
          <w:p w14:paraId="3D77FF71" w14:textId="28406FD1" w:rsidR="00231A9A" w:rsidRPr="00DB638E" w:rsidRDefault="00021C13"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 xml:space="preserve">ЧОО </w:t>
            </w:r>
            <w:r w:rsidR="00231A9A" w:rsidRPr="00DB638E">
              <w:rPr>
                <w:rFonts w:ascii="Times New Roman" w:eastAsia="Times New Roman" w:hAnsi="Times New Roman"/>
                <w:bCs/>
                <w:iCs/>
                <w:sz w:val="24"/>
                <w:szCs w:val="24"/>
              </w:rPr>
              <w:t>(только частичные ответы)</w:t>
            </w:r>
          </w:p>
        </w:tc>
        <w:tc>
          <w:tcPr>
            <w:tcW w:w="2268" w:type="dxa"/>
            <w:shd w:val="clear" w:color="auto" w:fill="auto"/>
          </w:tcPr>
          <w:p w14:paraId="3F8F6140"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sz w:val="24"/>
                <w:szCs w:val="24"/>
                <w:lang w:val="en-GB"/>
              </w:rPr>
              <w:t>26 (33)</w:t>
            </w:r>
          </w:p>
        </w:tc>
        <w:tc>
          <w:tcPr>
            <w:tcW w:w="2262" w:type="dxa"/>
            <w:shd w:val="clear" w:color="auto" w:fill="auto"/>
          </w:tcPr>
          <w:p w14:paraId="7A92ADDC"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sz w:val="24"/>
                <w:szCs w:val="24"/>
                <w:lang w:val="en-GB"/>
              </w:rPr>
              <w:t>9 (12)</w:t>
            </w:r>
          </w:p>
        </w:tc>
      </w:tr>
      <w:tr w:rsidR="00231A9A" w:rsidRPr="00DB638E" w14:paraId="63BB8BC7" w14:textId="77777777" w:rsidTr="00021C13">
        <w:tc>
          <w:tcPr>
            <w:tcW w:w="4531" w:type="dxa"/>
            <w:shd w:val="clear" w:color="auto" w:fill="auto"/>
          </w:tcPr>
          <w:p w14:paraId="68DBFA55"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Стабильное течение заболевания</w:t>
            </w:r>
          </w:p>
        </w:tc>
        <w:tc>
          <w:tcPr>
            <w:tcW w:w="2268" w:type="dxa"/>
            <w:shd w:val="clear" w:color="auto" w:fill="auto"/>
          </w:tcPr>
          <w:p w14:paraId="5A1F894F"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sz w:val="24"/>
                <w:szCs w:val="24"/>
                <w:lang w:val="en-GB"/>
              </w:rPr>
              <w:t>34 (43)</w:t>
            </w:r>
          </w:p>
        </w:tc>
        <w:tc>
          <w:tcPr>
            <w:tcW w:w="2262" w:type="dxa"/>
            <w:shd w:val="clear" w:color="auto" w:fill="auto"/>
          </w:tcPr>
          <w:p w14:paraId="06E39443"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sz w:val="24"/>
                <w:szCs w:val="24"/>
                <w:lang w:val="en-GB"/>
              </w:rPr>
              <w:t>29 (37)</w:t>
            </w:r>
          </w:p>
        </w:tc>
      </w:tr>
      <w:tr w:rsidR="00231A9A" w:rsidRPr="00DB638E" w14:paraId="29D44568" w14:textId="77777777" w:rsidTr="00021C13">
        <w:tc>
          <w:tcPr>
            <w:tcW w:w="4531" w:type="dxa"/>
            <w:shd w:val="clear" w:color="auto" w:fill="auto"/>
          </w:tcPr>
          <w:p w14:paraId="2CEE4F66" w14:textId="77777777" w:rsidR="00231A9A" w:rsidRPr="00DB638E" w:rsidRDefault="00231A9A" w:rsidP="00231A9A">
            <w:pPr>
              <w:suppressLineNumbers/>
              <w:tabs>
                <w:tab w:val="left" w:pos="567"/>
              </w:tabs>
              <w:spacing w:after="0" w:line="240" w:lineRule="auto"/>
              <w:jc w:val="both"/>
              <w:rPr>
                <w:rFonts w:ascii="Times New Roman" w:eastAsia="Times New Roman" w:hAnsi="Times New Roman"/>
                <w:bCs/>
                <w:iCs/>
                <w:sz w:val="24"/>
                <w:szCs w:val="24"/>
              </w:rPr>
            </w:pPr>
            <w:r w:rsidRPr="00DB638E">
              <w:rPr>
                <w:rFonts w:ascii="Times New Roman" w:eastAsia="Times New Roman" w:hAnsi="Times New Roman"/>
                <w:bCs/>
                <w:iCs/>
                <w:sz w:val="24"/>
                <w:szCs w:val="24"/>
              </w:rPr>
              <w:t>Прогрессирование заболевания</w:t>
            </w:r>
          </w:p>
        </w:tc>
        <w:tc>
          <w:tcPr>
            <w:tcW w:w="2268" w:type="dxa"/>
            <w:shd w:val="clear" w:color="auto" w:fill="auto"/>
          </w:tcPr>
          <w:p w14:paraId="4D68CA6E"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 xml:space="preserve">14 (18) </w:t>
            </w:r>
          </w:p>
        </w:tc>
        <w:tc>
          <w:tcPr>
            <w:tcW w:w="2262" w:type="dxa"/>
            <w:shd w:val="clear" w:color="auto" w:fill="auto"/>
          </w:tcPr>
          <w:p w14:paraId="482AB7A6" w14:textId="77777777" w:rsidR="00231A9A" w:rsidRPr="00DB638E"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DB638E">
              <w:rPr>
                <w:rFonts w:ascii="Times New Roman" w:eastAsia="Times New Roman" w:hAnsi="Times New Roman"/>
                <w:bCs/>
                <w:iCs/>
                <w:sz w:val="24"/>
                <w:szCs w:val="24"/>
                <w:lang w:val="en-US"/>
              </w:rPr>
              <w:t>19 (24)</w:t>
            </w:r>
          </w:p>
        </w:tc>
      </w:tr>
    </w:tbl>
    <w:bookmarkEnd w:id="130"/>
    <w:p w14:paraId="4F77620D" w14:textId="42D2D999" w:rsidR="00231A9A" w:rsidRPr="00DB638E" w:rsidRDefault="00231A9A" w:rsidP="00231A9A">
      <w:pPr>
        <w:spacing w:after="0" w:line="240" w:lineRule="auto"/>
        <w:rPr>
          <w:rFonts w:ascii="Times New Roman" w:hAnsi="Times New Roman"/>
          <w:sz w:val="20"/>
          <w:szCs w:val="20"/>
        </w:rPr>
      </w:pPr>
      <w:r w:rsidRPr="00DB638E">
        <w:rPr>
          <w:rFonts w:ascii="Times New Roman" w:hAnsi="Times New Roman"/>
          <w:sz w:val="20"/>
          <w:szCs w:val="20"/>
        </w:rPr>
        <w:t>а – согласно ЕС цензурированию</w:t>
      </w:r>
    </w:p>
    <w:p w14:paraId="31F95A33" w14:textId="77777777" w:rsidR="00231A9A" w:rsidRPr="00DB638E" w:rsidRDefault="00231A9A" w:rsidP="00231A9A">
      <w:pPr>
        <w:spacing w:after="0" w:line="240" w:lineRule="auto"/>
        <w:rPr>
          <w:rFonts w:ascii="Times New Roman" w:hAnsi="Times New Roman"/>
          <w:sz w:val="20"/>
          <w:szCs w:val="20"/>
        </w:rPr>
      </w:pPr>
      <w:r w:rsidRPr="00DB638E">
        <w:rPr>
          <w:rFonts w:ascii="Times New Roman" w:hAnsi="Times New Roman"/>
          <w:sz w:val="20"/>
          <w:szCs w:val="20"/>
          <w:lang w:val="en-US"/>
        </w:rPr>
        <w:t>b</w:t>
      </w:r>
      <w:r w:rsidRPr="00DB638E">
        <w:rPr>
          <w:rFonts w:ascii="Times New Roman" w:hAnsi="Times New Roman"/>
          <w:sz w:val="20"/>
          <w:szCs w:val="20"/>
        </w:rPr>
        <w:t xml:space="preserve"> - факторы стратификации на IxRS включающих категорию рисков IMDC (промежуточный риск, высокий риск и метастазирование кости (да, нет)</w:t>
      </w:r>
    </w:p>
    <w:p w14:paraId="46062953" w14:textId="77777777" w:rsidR="00231A9A" w:rsidRPr="00DB638E" w:rsidRDefault="00231A9A" w:rsidP="00231A9A">
      <w:pPr>
        <w:spacing w:after="0" w:line="240" w:lineRule="auto"/>
        <w:rPr>
          <w:rFonts w:ascii="Times New Roman" w:hAnsi="Times New Roman"/>
          <w:sz w:val="20"/>
          <w:szCs w:val="20"/>
        </w:rPr>
      </w:pPr>
      <w:r w:rsidRPr="00DB638E">
        <w:rPr>
          <w:rFonts w:ascii="Times New Roman" w:hAnsi="Times New Roman"/>
          <w:sz w:val="20"/>
          <w:szCs w:val="20"/>
        </w:rPr>
        <w:t>с - Оценивается с использованием модели пропорциональной опасности Кокса, скорректированной с учетом коэффициентов стратификации на IxRS. Коэффициент опасности &lt;1 указывает на выживаемость без прогрессирования в пользу кабозантиниба.</w:t>
      </w:r>
    </w:p>
    <w:p w14:paraId="756C23F9" w14:textId="77777777" w:rsidR="00304BDE" w:rsidRPr="00DB638E" w:rsidRDefault="00304BDE" w:rsidP="00231A9A">
      <w:pPr>
        <w:spacing w:after="0" w:line="240" w:lineRule="auto"/>
        <w:rPr>
          <w:rFonts w:ascii="Times New Roman" w:hAnsi="Times New Roman"/>
          <w:sz w:val="20"/>
          <w:szCs w:val="20"/>
        </w:rPr>
      </w:pPr>
      <w:r w:rsidRPr="00DB638E">
        <w:rPr>
          <w:rFonts w:ascii="Times New Roman" w:hAnsi="Times New Roman"/>
          <w:sz w:val="20"/>
          <w:szCs w:val="20"/>
          <w:lang w:val="en-US"/>
        </w:rPr>
        <w:t>NE</w:t>
      </w:r>
      <w:r w:rsidRPr="00DB638E">
        <w:rPr>
          <w:rFonts w:ascii="Times New Roman" w:hAnsi="Times New Roman"/>
          <w:sz w:val="20"/>
          <w:szCs w:val="20"/>
        </w:rPr>
        <w:t xml:space="preserve"> – без оценки.</w:t>
      </w:r>
    </w:p>
    <w:p w14:paraId="50AD0AF5" w14:textId="77777777" w:rsidR="00231A9A" w:rsidRPr="00DB638E" w:rsidRDefault="00231A9A" w:rsidP="00231A9A">
      <w:pPr>
        <w:spacing w:after="0" w:line="240" w:lineRule="auto"/>
        <w:rPr>
          <w:rFonts w:ascii="Times New Roman" w:hAnsi="Times New Roman"/>
          <w:sz w:val="24"/>
          <w:szCs w:val="24"/>
        </w:rPr>
      </w:pPr>
    </w:p>
    <w:p w14:paraId="198A2A74" w14:textId="77777777" w:rsidR="00231A9A" w:rsidRPr="00DB638E" w:rsidRDefault="00231A9A" w:rsidP="00231A9A">
      <w:pPr>
        <w:spacing w:after="0" w:line="240" w:lineRule="auto"/>
        <w:jc w:val="both"/>
        <w:rPr>
          <w:rFonts w:ascii="Times New Roman" w:hAnsi="Times New Roman"/>
          <w:i/>
          <w:iCs/>
          <w:sz w:val="24"/>
          <w:szCs w:val="24"/>
        </w:rPr>
      </w:pPr>
      <w:r w:rsidRPr="00DB638E">
        <w:rPr>
          <w:rFonts w:ascii="Times New Roman" w:hAnsi="Times New Roman"/>
          <w:i/>
          <w:iCs/>
          <w:sz w:val="24"/>
          <w:szCs w:val="24"/>
        </w:rPr>
        <w:t>Рандомизированное исследование фазы 3 кабозантиниба в комбинации с ниволумабом против сунитиниба (CA2099ER)</w:t>
      </w:r>
    </w:p>
    <w:p w14:paraId="648B68A0"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Безопасность и эффективность кабозантиниба 40 мг внутрь ежедневно в комбинации с ниволумабом 240 мг внутривенно каждые 2 недели в качестве первой линии лечения распространенного/метастатического</w:t>
      </w:r>
      <w:r w:rsidR="00304BDE" w:rsidRPr="00DB638E">
        <w:rPr>
          <w:rFonts w:ascii="Times New Roman" w:hAnsi="Times New Roman"/>
          <w:sz w:val="24"/>
          <w:szCs w:val="24"/>
        </w:rPr>
        <w:t xml:space="preserve"> </w:t>
      </w:r>
      <w:r w:rsidRPr="00DB638E">
        <w:rPr>
          <w:rFonts w:ascii="Times New Roman" w:hAnsi="Times New Roman"/>
          <w:sz w:val="24"/>
          <w:szCs w:val="24"/>
        </w:rPr>
        <w:t>почечно-клеточного рака оценивалась в рандомизированном открытом исследовании фазы 3 (CA2099ER). В исследование были включены пациенты (18 лет и старше) с распространенным или метастатическим почечно-клеточным раком со светлоклеточным компонентом, степенью оценки общего состояния пациента по шкале Карновского (KPS)&gt; 70% и поддающимся измерению заболеванием согласно RECIST v1.1, независимо от их статуса PD-L1 или группы риска IMDC. Из исследования были исключены пациенты с аутоиммунным заболеванием или другими заболеваниями, требующими системной иммуносупрессии, пациенты, которые ранее получали лечение антителами анти-PD-1, анти-PD-L1, анти-PD-L2, анти-CD137 или анти-CTLA-4, пациенты с плохо контролируемой гипертензией, несмотря на гипотензивную терапию, с активными метастазами в мозг и с неконтролируемой надпочечниковой недостаточностью. Пациенты были стратифицированы по прогностической шкале IMDC, экспрессии опухоли PD-L1 и региону.</w:t>
      </w:r>
    </w:p>
    <w:p w14:paraId="53399CB6" w14:textId="0D96728B"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В общей сложности 651 пациент был рандомизирован для приема кабозантиниба 40 мг один раз в день перорально в сочетании с ниволумабом 240 мг (n = 323), вводимого внутривенно каждые 2 недели, или сунитиниба (n = 328) 50 мг в день, вводимого перорально в течение 4 недель с последующим перерывом 2 недели. Лечение продолжалось до прогрессирования заболевания или возникновения неприемлемой токсичности при приеме ниволумаба до 24 месяцев. Лечение, выходящее за рамки установленного исследователем прогрессирования RECIST версии 1.1, разрешалось, если пациент имел клиническую пользу и переносил исследуемый препарат, как определил исследователь. Первую оценку опухоли после исходного уровня проводили через 12 недель (± 7 дней) после рандомизации. Последующие оценки опухоли проводились каждые 6 недель (± 7 дней) до 60 недели, затем каждые 12 недель (± 14 дней) до рентгенологического прогрессирования, подтвержденного слепым независимым центральным обзором (BICR). Первичным критерием оценки эффективности </w:t>
      </w:r>
      <w:r w:rsidR="00A37420" w:rsidRPr="00DB638E">
        <w:rPr>
          <w:rFonts w:ascii="Times New Roman" w:hAnsi="Times New Roman"/>
          <w:sz w:val="24"/>
          <w:szCs w:val="24"/>
        </w:rPr>
        <w:t xml:space="preserve">ВБПЗ </w:t>
      </w:r>
      <w:r w:rsidRPr="00DB638E">
        <w:rPr>
          <w:rFonts w:ascii="Times New Roman" w:hAnsi="Times New Roman"/>
          <w:sz w:val="24"/>
          <w:szCs w:val="24"/>
        </w:rPr>
        <w:t>была, определенная с помощью BICR. Дополнительные показатели эффективности включали общую выживаемость (</w:t>
      </w:r>
      <w:r w:rsidR="00C16994" w:rsidRPr="00DB638E">
        <w:rPr>
          <w:rFonts w:ascii="Times New Roman" w:hAnsi="Times New Roman"/>
          <w:sz w:val="24"/>
          <w:szCs w:val="24"/>
        </w:rPr>
        <w:t>ОВ</w:t>
      </w:r>
      <w:r w:rsidRPr="00DB638E">
        <w:rPr>
          <w:rFonts w:ascii="Times New Roman" w:hAnsi="Times New Roman"/>
          <w:sz w:val="24"/>
          <w:szCs w:val="24"/>
        </w:rPr>
        <w:t>) и частота объективного ответа (</w:t>
      </w:r>
      <w:r w:rsidR="00C16994" w:rsidRPr="00DB638E">
        <w:rPr>
          <w:rFonts w:ascii="Times New Roman" w:hAnsi="Times New Roman"/>
          <w:sz w:val="24"/>
          <w:szCs w:val="24"/>
        </w:rPr>
        <w:t>ЧОО</w:t>
      </w:r>
      <w:r w:rsidRPr="00DB638E">
        <w:rPr>
          <w:rFonts w:ascii="Times New Roman" w:hAnsi="Times New Roman"/>
          <w:sz w:val="24"/>
          <w:szCs w:val="24"/>
        </w:rPr>
        <w:t>) как ключевые вторичные конечные точки.</w:t>
      </w:r>
    </w:p>
    <w:p w14:paraId="643DE31B"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Исходные характеристики в целом были сбалансированы между двумя группами. Средний возраст составлял 61 год (диапазон: 28-90) с 38,4% ≥ 65 лет и 9,5% ≥ 75 лет. Большинство пациентов были мужчинами (73,9%) и белыми (81,9%). Восемь процентов пациентов были азиатами, 23,2% и 76,5% пациентов имели исходный KPS от 70 до 80% и от 90 до 100%, соответственно. Распределение пациентов по категориям риска IMDC было 22,6% благоприятным, 57,6% промежуточным и 19,7% плохим. Что касается </w:t>
      </w:r>
      <w:r w:rsidRPr="00DB638E">
        <w:rPr>
          <w:rFonts w:ascii="Times New Roman" w:hAnsi="Times New Roman"/>
          <w:sz w:val="24"/>
          <w:szCs w:val="24"/>
        </w:rPr>
        <w:lastRenderedPageBreak/>
        <w:t>экспрессии PD-L1 опухоли, 72,5% пациентов имели экспрессию PD-L1 &lt;1% или неопределенную, а 24,9% пациентов имели экспрессию PD-L1 ≥ 1%. У 11,5% пациентов были опухоли с саркоматоидными признаками. Средняя продолжительность лечения составляла 14,26 месяца (диапазон: 0,2–27,3 месяца) у пациентов, получавших кабозантиниб с ниволумабом, и 9,23 месяца (диапазон: 0,8–27,6 месяцев) у пациентов, принимавших сунитиниб.</w:t>
      </w:r>
    </w:p>
    <w:p w14:paraId="353E7FB7" w14:textId="17827D74"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Исследование продемонстрировало статистически значимое преимущество в отношении </w:t>
      </w:r>
      <w:r w:rsidR="004A4981" w:rsidRPr="00DB638E">
        <w:rPr>
          <w:rFonts w:ascii="Times New Roman" w:hAnsi="Times New Roman"/>
          <w:sz w:val="24"/>
          <w:szCs w:val="24"/>
        </w:rPr>
        <w:t>ВБП</w:t>
      </w:r>
      <w:r w:rsidR="00C16994" w:rsidRPr="00DB638E">
        <w:rPr>
          <w:rFonts w:ascii="Times New Roman" w:hAnsi="Times New Roman"/>
          <w:sz w:val="24"/>
          <w:szCs w:val="24"/>
        </w:rPr>
        <w:t>З</w:t>
      </w:r>
      <w:r w:rsidRPr="00DB638E">
        <w:rPr>
          <w:rFonts w:ascii="Times New Roman" w:hAnsi="Times New Roman"/>
          <w:sz w:val="24"/>
          <w:szCs w:val="24"/>
        </w:rPr>
        <w:t xml:space="preserve">, </w:t>
      </w:r>
      <w:r w:rsidR="004A4981" w:rsidRPr="00DB638E">
        <w:rPr>
          <w:rFonts w:ascii="Times New Roman" w:hAnsi="Times New Roman"/>
          <w:sz w:val="24"/>
          <w:szCs w:val="24"/>
        </w:rPr>
        <w:t>ОВ</w:t>
      </w:r>
      <w:r w:rsidRPr="00DB638E">
        <w:rPr>
          <w:rFonts w:ascii="Times New Roman" w:hAnsi="Times New Roman"/>
          <w:sz w:val="24"/>
          <w:szCs w:val="24"/>
        </w:rPr>
        <w:t xml:space="preserve"> и </w:t>
      </w:r>
      <w:r w:rsidR="004A4981" w:rsidRPr="00DB638E">
        <w:rPr>
          <w:rFonts w:ascii="Times New Roman" w:hAnsi="Times New Roman"/>
          <w:sz w:val="24"/>
          <w:szCs w:val="24"/>
        </w:rPr>
        <w:t>ЧОО</w:t>
      </w:r>
      <w:r w:rsidRPr="00DB638E">
        <w:rPr>
          <w:rFonts w:ascii="Times New Roman" w:hAnsi="Times New Roman"/>
          <w:sz w:val="24"/>
          <w:szCs w:val="24"/>
        </w:rPr>
        <w:t xml:space="preserve"> для пациентов, рандомизированных для лечения кабозантинибом в комбинации с ниволумабом по сравнению с сунитинибом.</w:t>
      </w:r>
    </w:p>
    <w:p w14:paraId="39B66174"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Результаты первичного анализа эффективности (минимальный период наблюдения 10,6, средний период наблюдения 18.1 месяцев) представлены в Таблице 7.</w:t>
      </w:r>
    </w:p>
    <w:p w14:paraId="24C56E0B"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sz w:val="24"/>
          <w:szCs w:val="24"/>
        </w:rPr>
        <w:t>Таблица 7: Результаты эффективности (CA2099ER)</w:t>
      </w:r>
      <w:bookmarkStart w:id="131" w:name="_Hlk752846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694"/>
        <w:gridCol w:w="2403"/>
      </w:tblGrid>
      <w:tr w:rsidR="00231A9A" w:rsidRPr="00DB638E" w14:paraId="184D211D" w14:textId="77777777" w:rsidTr="00FB0B73">
        <w:tc>
          <w:tcPr>
            <w:tcW w:w="3964" w:type="dxa"/>
            <w:shd w:val="clear" w:color="auto" w:fill="auto"/>
            <w:vAlign w:val="center"/>
          </w:tcPr>
          <w:p w14:paraId="451B59BD" w14:textId="77777777" w:rsidR="00231A9A" w:rsidRPr="00DB638E" w:rsidRDefault="00231A9A" w:rsidP="00FB0B73">
            <w:pPr>
              <w:spacing w:after="0" w:line="240" w:lineRule="auto"/>
              <w:jc w:val="center"/>
              <w:rPr>
                <w:rFonts w:ascii="Times New Roman" w:hAnsi="Times New Roman"/>
                <w:bCs/>
                <w:iCs/>
                <w:sz w:val="24"/>
                <w:szCs w:val="24"/>
              </w:rPr>
            </w:pPr>
          </w:p>
        </w:tc>
        <w:tc>
          <w:tcPr>
            <w:tcW w:w="2694" w:type="dxa"/>
            <w:shd w:val="clear" w:color="auto" w:fill="auto"/>
            <w:vAlign w:val="center"/>
          </w:tcPr>
          <w:p w14:paraId="454E74E9" w14:textId="77777777" w:rsidR="00231A9A" w:rsidRPr="00DB638E" w:rsidRDefault="00231A9A" w:rsidP="00FB0B73">
            <w:pPr>
              <w:spacing w:after="0" w:line="240" w:lineRule="auto"/>
              <w:jc w:val="center"/>
              <w:rPr>
                <w:rFonts w:ascii="Times New Roman" w:hAnsi="Times New Roman"/>
                <w:b/>
                <w:bCs/>
                <w:iCs/>
                <w:sz w:val="24"/>
                <w:szCs w:val="24"/>
                <w:lang w:val="en-US"/>
              </w:rPr>
            </w:pPr>
            <w:r w:rsidRPr="00DB638E">
              <w:rPr>
                <w:rFonts w:ascii="Times New Roman" w:hAnsi="Times New Roman"/>
                <w:b/>
                <w:bCs/>
                <w:iCs/>
                <w:sz w:val="24"/>
                <w:szCs w:val="24"/>
              </w:rPr>
              <w:t>ниволумаб + кабозантиниб</w:t>
            </w:r>
            <w:r w:rsidRPr="00DB638E">
              <w:rPr>
                <w:rFonts w:ascii="Times New Roman" w:hAnsi="Times New Roman"/>
                <w:b/>
                <w:bCs/>
                <w:iCs/>
                <w:sz w:val="24"/>
                <w:szCs w:val="24"/>
                <w:lang w:val="en-US"/>
              </w:rPr>
              <w:t xml:space="preserve"> (N=</w:t>
            </w:r>
            <w:r w:rsidRPr="00DB638E">
              <w:rPr>
                <w:rFonts w:ascii="Times New Roman" w:hAnsi="Times New Roman"/>
                <w:b/>
                <w:bCs/>
                <w:iCs/>
                <w:sz w:val="24"/>
                <w:szCs w:val="24"/>
              </w:rPr>
              <w:t>323</w:t>
            </w:r>
            <w:r w:rsidRPr="00DB638E">
              <w:rPr>
                <w:rFonts w:ascii="Times New Roman" w:hAnsi="Times New Roman"/>
                <w:b/>
                <w:bCs/>
                <w:iCs/>
                <w:sz w:val="24"/>
                <w:szCs w:val="24"/>
                <w:lang w:val="en-US"/>
              </w:rPr>
              <w:t>)</w:t>
            </w:r>
          </w:p>
        </w:tc>
        <w:tc>
          <w:tcPr>
            <w:tcW w:w="2403" w:type="dxa"/>
            <w:shd w:val="clear" w:color="auto" w:fill="auto"/>
            <w:vAlign w:val="center"/>
          </w:tcPr>
          <w:p w14:paraId="6DE7F2E5" w14:textId="77777777" w:rsidR="00231A9A" w:rsidRPr="00DB638E" w:rsidRDefault="00231A9A" w:rsidP="00FB0B73">
            <w:pPr>
              <w:spacing w:after="0" w:line="240" w:lineRule="auto"/>
              <w:jc w:val="center"/>
              <w:rPr>
                <w:rFonts w:ascii="Times New Roman" w:hAnsi="Times New Roman"/>
                <w:b/>
                <w:bCs/>
                <w:iCs/>
                <w:sz w:val="24"/>
                <w:szCs w:val="24"/>
              </w:rPr>
            </w:pPr>
            <w:r w:rsidRPr="00DB638E">
              <w:rPr>
                <w:rFonts w:ascii="Times New Roman" w:hAnsi="Times New Roman"/>
                <w:b/>
                <w:bCs/>
                <w:iCs/>
                <w:sz w:val="24"/>
                <w:szCs w:val="24"/>
              </w:rPr>
              <w:t>сунитиниб</w:t>
            </w:r>
          </w:p>
          <w:p w14:paraId="765E3CBD" w14:textId="77777777" w:rsidR="00231A9A" w:rsidRPr="00DB638E" w:rsidRDefault="00231A9A" w:rsidP="00FB0B73">
            <w:pPr>
              <w:spacing w:after="0" w:line="240" w:lineRule="auto"/>
              <w:jc w:val="center"/>
              <w:rPr>
                <w:rFonts w:ascii="Times New Roman" w:hAnsi="Times New Roman"/>
                <w:b/>
                <w:bCs/>
                <w:iCs/>
                <w:sz w:val="24"/>
                <w:szCs w:val="24"/>
                <w:lang w:val="en-US"/>
              </w:rPr>
            </w:pPr>
            <w:r w:rsidRPr="00DB638E">
              <w:rPr>
                <w:rFonts w:ascii="Times New Roman" w:hAnsi="Times New Roman"/>
                <w:b/>
                <w:bCs/>
                <w:iCs/>
                <w:sz w:val="24"/>
                <w:szCs w:val="24"/>
                <w:lang w:val="en-US"/>
              </w:rPr>
              <w:t>(N=</w:t>
            </w:r>
            <w:r w:rsidRPr="00DB638E">
              <w:rPr>
                <w:rFonts w:ascii="Times New Roman" w:hAnsi="Times New Roman"/>
                <w:b/>
                <w:bCs/>
                <w:iCs/>
                <w:sz w:val="24"/>
                <w:szCs w:val="24"/>
              </w:rPr>
              <w:t>32</w:t>
            </w:r>
            <w:r w:rsidRPr="00DB638E">
              <w:rPr>
                <w:rFonts w:ascii="Times New Roman" w:hAnsi="Times New Roman"/>
                <w:b/>
                <w:bCs/>
                <w:iCs/>
                <w:sz w:val="24"/>
                <w:szCs w:val="24"/>
                <w:lang w:val="en-US"/>
              </w:rPr>
              <w:t>8)</w:t>
            </w:r>
          </w:p>
        </w:tc>
      </w:tr>
      <w:tr w:rsidR="00231A9A" w:rsidRPr="00DB638E" w14:paraId="1E5139FC" w14:textId="77777777" w:rsidTr="00FB0B73">
        <w:tc>
          <w:tcPr>
            <w:tcW w:w="9061" w:type="dxa"/>
            <w:gridSpan w:val="3"/>
            <w:shd w:val="clear" w:color="auto" w:fill="auto"/>
            <w:vAlign w:val="center"/>
          </w:tcPr>
          <w:p w14:paraId="61FC1227" w14:textId="6BF0C04E" w:rsidR="00231A9A" w:rsidRPr="00DB638E" w:rsidRDefault="00231A9A" w:rsidP="00FB0B73">
            <w:pPr>
              <w:spacing w:after="0" w:line="240" w:lineRule="auto"/>
              <w:rPr>
                <w:rFonts w:ascii="Times New Roman" w:hAnsi="Times New Roman"/>
                <w:b/>
                <w:bCs/>
                <w:iCs/>
                <w:sz w:val="24"/>
                <w:szCs w:val="24"/>
              </w:rPr>
            </w:pPr>
            <w:r w:rsidRPr="00DB638E">
              <w:rPr>
                <w:rFonts w:ascii="Times New Roman" w:hAnsi="Times New Roman"/>
                <w:b/>
                <w:bCs/>
                <w:iCs/>
                <w:sz w:val="24"/>
                <w:szCs w:val="24"/>
              </w:rPr>
              <w:t>Выживаемость без прогрессирования заболевания (</w:t>
            </w:r>
            <w:r w:rsidR="00C16994" w:rsidRPr="00DB638E">
              <w:rPr>
                <w:rFonts w:ascii="Times New Roman" w:hAnsi="Times New Roman"/>
                <w:b/>
                <w:bCs/>
                <w:iCs/>
                <w:sz w:val="24"/>
                <w:szCs w:val="24"/>
              </w:rPr>
              <w:t>ВБПЗ</w:t>
            </w:r>
            <w:r w:rsidRPr="00DB638E">
              <w:rPr>
                <w:rFonts w:ascii="Times New Roman" w:hAnsi="Times New Roman"/>
                <w:b/>
                <w:bCs/>
                <w:iCs/>
                <w:sz w:val="24"/>
                <w:szCs w:val="24"/>
              </w:rPr>
              <w:t>) в соответствии с BICR</w:t>
            </w:r>
          </w:p>
        </w:tc>
      </w:tr>
      <w:tr w:rsidR="00231A9A" w:rsidRPr="00DB638E" w14:paraId="0E14635F" w14:textId="77777777" w:rsidTr="00FB0B73">
        <w:tc>
          <w:tcPr>
            <w:tcW w:w="3964" w:type="dxa"/>
            <w:shd w:val="clear" w:color="auto" w:fill="auto"/>
            <w:vAlign w:val="center"/>
          </w:tcPr>
          <w:p w14:paraId="2D2A4DE4" w14:textId="77777777" w:rsidR="00231A9A" w:rsidRPr="00DB638E" w:rsidRDefault="00231A9A" w:rsidP="00FB0B73">
            <w:pPr>
              <w:spacing w:after="0" w:line="240" w:lineRule="auto"/>
              <w:rPr>
                <w:rFonts w:ascii="Times New Roman" w:hAnsi="Times New Roman"/>
                <w:bCs/>
                <w:iCs/>
                <w:sz w:val="24"/>
                <w:szCs w:val="24"/>
              </w:rPr>
            </w:pPr>
            <w:r w:rsidRPr="00DB638E">
              <w:rPr>
                <w:rFonts w:ascii="Times New Roman" w:hAnsi="Times New Roman"/>
                <w:bCs/>
                <w:iCs/>
                <w:sz w:val="24"/>
                <w:szCs w:val="24"/>
              </w:rPr>
              <w:t>События</w:t>
            </w:r>
          </w:p>
        </w:tc>
        <w:tc>
          <w:tcPr>
            <w:tcW w:w="2694" w:type="dxa"/>
            <w:shd w:val="clear" w:color="auto" w:fill="auto"/>
            <w:vAlign w:val="center"/>
          </w:tcPr>
          <w:p w14:paraId="4AFAF965"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144 (44.6%)</w:t>
            </w:r>
          </w:p>
        </w:tc>
        <w:tc>
          <w:tcPr>
            <w:tcW w:w="2403" w:type="dxa"/>
            <w:shd w:val="clear" w:color="auto" w:fill="auto"/>
            <w:vAlign w:val="center"/>
          </w:tcPr>
          <w:p w14:paraId="193E822B"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191 (58.2%)</w:t>
            </w:r>
          </w:p>
        </w:tc>
      </w:tr>
      <w:tr w:rsidR="00231A9A" w:rsidRPr="00DB638E" w14:paraId="50777AA5" w14:textId="77777777" w:rsidTr="00FB0B73">
        <w:tc>
          <w:tcPr>
            <w:tcW w:w="3964" w:type="dxa"/>
            <w:shd w:val="clear" w:color="auto" w:fill="auto"/>
            <w:vAlign w:val="center"/>
          </w:tcPr>
          <w:p w14:paraId="3F34EC62" w14:textId="77777777"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Отношение рисков</w:t>
            </w:r>
            <w:r w:rsidRPr="00DB638E">
              <w:rPr>
                <w:rFonts w:ascii="Times New Roman" w:hAnsi="Times New Roman"/>
                <w:bCs/>
                <w:iCs/>
                <w:sz w:val="24"/>
                <w:szCs w:val="24"/>
                <w:vertAlign w:val="superscript"/>
              </w:rPr>
              <w:t>а</w:t>
            </w:r>
          </w:p>
        </w:tc>
        <w:tc>
          <w:tcPr>
            <w:tcW w:w="5097" w:type="dxa"/>
            <w:gridSpan w:val="2"/>
            <w:shd w:val="clear" w:color="auto" w:fill="auto"/>
            <w:vAlign w:val="center"/>
          </w:tcPr>
          <w:p w14:paraId="6C5D4045" w14:textId="77777777"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0.51</w:t>
            </w:r>
          </w:p>
        </w:tc>
      </w:tr>
      <w:tr w:rsidR="00231A9A" w:rsidRPr="00DB638E" w14:paraId="42F6D462" w14:textId="77777777" w:rsidTr="00FB0B73">
        <w:tc>
          <w:tcPr>
            <w:tcW w:w="3964" w:type="dxa"/>
            <w:shd w:val="clear" w:color="auto" w:fill="auto"/>
            <w:vAlign w:val="center"/>
          </w:tcPr>
          <w:p w14:paraId="12A8F538" w14:textId="77777777" w:rsidR="00231A9A" w:rsidRPr="00DB638E" w:rsidRDefault="00231A9A" w:rsidP="00FB0B73">
            <w:pPr>
              <w:spacing w:after="0" w:line="240" w:lineRule="auto"/>
              <w:jc w:val="center"/>
              <w:rPr>
                <w:rFonts w:ascii="Times New Roman" w:hAnsi="Times New Roman"/>
                <w:bCs/>
                <w:iCs/>
                <w:sz w:val="24"/>
                <w:szCs w:val="24"/>
                <w:lang w:val="fr-FR"/>
              </w:rPr>
            </w:pPr>
            <w:r w:rsidRPr="00DB638E">
              <w:rPr>
                <w:rFonts w:ascii="Times New Roman" w:hAnsi="Times New Roman"/>
                <w:bCs/>
                <w:iCs/>
                <w:sz w:val="24"/>
                <w:szCs w:val="24"/>
                <w:lang w:val="fr-FR"/>
              </w:rPr>
              <w:t>95% ДИ</w:t>
            </w:r>
          </w:p>
        </w:tc>
        <w:tc>
          <w:tcPr>
            <w:tcW w:w="5097" w:type="dxa"/>
            <w:gridSpan w:val="2"/>
            <w:shd w:val="clear" w:color="auto" w:fill="auto"/>
            <w:vAlign w:val="center"/>
          </w:tcPr>
          <w:p w14:paraId="76D420AF"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(0.41, 0.64)</w:t>
            </w:r>
          </w:p>
        </w:tc>
      </w:tr>
      <w:tr w:rsidR="00231A9A" w:rsidRPr="00DB638E" w14:paraId="52F7CFC7" w14:textId="77777777" w:rsidTr="00FB0B73">
        <w:tc>
          <w:tcPr>
            <w:tcW w:w="3964" w:type="dxa"/>
            <w:shd w:val="clear" w:color="auto" w:fill="auto"/>
            <w:vAlign w:val="center"/>
          </w:tcPr>
          <w:p w14:paraId="123E825B" w14:textId="77777777"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р-значение</w:t>
            </w:r>
            <w:r w:rsidRPr="00DB638E">
              <w:rPr>
                <w:rFonts w:ascii="Times New Roman" w:hAnsi="Times New Roman"/>
                <w:bCs/>
                <w:iCs/>
                <w:sz w:val="24"/>
                <w:szCs w:val="24"/>
                <w:vertAlign w:val="superscript"/>
                <w:lang w:val="en-US"/>
              </w:rPr>
              <w:t>b</w:t>
            </w:r>
            <w:r w:rsidRPr="00DB638E">
              <w:rPr>
                <w:rFonts w:ascii="Times New Roman" w:hAnsi="Times New Roman"/>
                <w:bCs/>
                <w:iCs/>
                <w:sz w:val="24"/>
                <w:szCs w:val="24"/>
                <w:vertAlign w:val="superscript"/>
              </w:rPr>
              <w:t>,с</w:t>
            </w:r>
          </w:p>
        </w:tc>
        <w:tc>
          <w:tcPr>
            <w:tcW w:w="5097" w:type="dxa"/>
            <w:gridSpan w:val="2"/>
            <w:shd w:val="clear" w:color="auto" w:fill="auto"/>
            <w:vAlign w:val="center"/>
          </w:tcPr>
          <w:p w14:paraId="031B8CDE"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&lt; 0.0001</w:t>
            </w:r>
          </w:p>
        </w:tc>
      </w:tr>
      <w:tr w:rsidR="00231A9A" w:rsidRPr="00DB638E" w14:paraId="65018DDA" w14:textId="77777777" w:rsidTr="00FB0B73">
        <w:tc>
          <w:tcPr>
            <w:tcW w:w="3964" w:type="dxa"/>
            <w:shd w:val="clear" w:color="auto" w:fill="auto"/>
            <w:vAlign w:val="center"/>
          </w:tcPr>
          <w:p w14:paraId="07EAE8CE" w14:textId="77777777"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Медиана (95% ДИ)</w:t>
            </w:r>
            <w:r w:rsidRPr="00DB638E">
              <w:rPr>
                <w:rFonts w:ascii="Times New Roman" w:hAnsi="Times New Roman"/>
                <w:bCs/>
                <w:iCs/>
                <w:sz w:val="24"/>
                <w:szCs w:val="24"/>
                <w:vertAlign w:val="superscript"/>
                <w:lang w:val="en-US"/>
              </w:rPr>
              <w:t>d</w:t>
            </w:r>
          </w:p>
        </w:tc>
        <w:tc>
          <w:tcPr>
            <w:tcW w:w="2694" w:type="dxa"/>
            <w:shd w:val="clear" w:color="auto" w:fill="auto"/>
            <w:vAlign w:val="center"/>
          </w:tcPr>
          <w:p w14:paraId="59F1D358"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16.59 (12.45, 24.94)</w:t>
            </w:r>
          </w:p>
        </w:tc>
        <w:tc>
          <w:tcPr>
            <w:tcW w:w="2403" w:type="dxa"/>
            <w:shd w:val="clear" w:color="auto" w:fill="auto"/>
            <w:vAlign w:val="center"/>
          </w:tcPr>
          <w:p w14:paraId="2D45ACC3"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8.31 (6.97, 9.69)</w:t>
            </w:r>
          </w:p>
        </w:tc>
      </w:tr>
      <w:tr w:rsidR="00231A9A" w:rsidRPr="00DB638E" w14:paraId="672F7CB1" w14:textId="77777777" w:rsidTr="00FB0B73">
        <w:tc>
          <w:tcPr>
            <w:tcW w:w="9061" w:type="dxa"/>
            <w:gridSpan w:val="3"/>
            <w:shd w:val="clear" w:color="auto" w:fill="auto"/>
            <w:vAlign w:val="center"/>
          </w:tcPr>
          <w:p w14:paraId="07ABDC4F" w14:textId="0E0E5509" w:rsidR="00231A9A" w:rsidRPr="00DB638E" w:rsidRDefault="00231A9A" w:rsidP="00FB0B73">
            <w:pPr>
              <w:spacing w:after="0" w:line="240" w:lineRule="auto"/>
              <w:rPr>
                <w:rFonts w:ascii="Times New Roman" w:hAnsi="Times New Roman"/>
                <w:bCs/>
                <w:iCs/>
                <w:sz w:val="24"/>
                <w:szCs w:val="24"/>
              </w:rPr>
            </w:pPr>
            <w:r w:rsidRPr="00DB638E">
              <w:rPr>
                <w:rFonts w:ascii="Times New Roman" w:hAnsi="Times New Roman"/>
                <w:b/>
                <w:bCs/>
                <w:iCs/>
                <w:sz w:val="24"/>
                <w:szCs w:val="24"/>
              </w:rPr>
              <w:t>Общая выживаемость (</w:t>
            </w:r>
            <w:r w:rsidR="00C16994" w:rsidRPr="00DB638E">
              <w:rPr>
                <w:rFonts w:ascii="Times New Roman" w:hAnsi="Times New Roman"/>
                <w:b/>
                <w:bCs/>
                <w:iCs/>
                <w:sz w:val="24"/>
                <w:szCs w:val="24"/>
              </w:rPr>
              <w:t>ОВ</w:t>
            </w:r>
            <w:r w:rsidRPr="00DB638E">
              <w:rPr>
                <w:rFonts w:ascii="Times New Roman" w:hAnsi="Times New Roman"/>
                <w:b/>
                <w:bCs/>
                <w:iCs/>
                <w:sz w:val="24"/>
                <w:szCs w:val="24"/>
              </w:rPr>
              <w:t>)</w:t>
            </w:r>
          </w:p>
        </w:tc>
      </w:tr>
      <w:tr w:rsidR="00231A9A" w:rsidRPr="00DB638E" w14:paraId="4B69159D" w14:textId="77777777" w:rsidTr="00FB0B73">
        <w:tc>
          <w:tcPr>
            <w:tcW w:w="3964" w:type="dxa"/>
            <w:shd w:val="clear" w:color="auto" w:fill="auto"/>
            <w:vAlign w:val="center"/>
          </w:tcPr>
          <w:p w14:paraId="23CF82C5" w14:textId="77777777" w:rsidR="00231A9A" w:rsidRPr="00DB638E" w:rsidRDefault="00231A9A" w:rsidP="00FB0B73">
            <w:pPr>
              <w:spacing w:after="0" w:line="240" w:lineRule="auto"/>
              <w:rPr>
                <w:rFonts w:ascii="Times New Roman" w:hAnsi="Times New Roman"/>
                <w:bCs/>
                <w:iCs/>
                <w:sz w:val="24"/>
                <w:szCs w:val="24"/>
              </w:rPr>
            </w:pPr>
            <w:r w:rsidRPr="00DB638E">
              <w:rPr>
                <w:rFonts w:ascii="Times New Roman" w:hAnsi="Times New Roman"/>
                <w:bCs/>
                <w:iCs/>
                <w:sz w:val="24"/>
                <w:szCs w:val="24"/>
              </w:rPr>
              <w:t>События</w:t>
            </w:r>
          </w:p>
        </w:tc>
        <w:tc>
          <w:tcPr>
            <w:tcW w:w="2694" w:type="dxa"/>
            <w:shd w:val="clear" w:color="auto" w:fill="auto"/>
            <w:vAlign w:val="center"/>
          </w:tcPr>
          <w:p w14:paraId="6AD88BB1"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67 (20.7%)</w:t>
            </w:r>
          </w:p>
        </w:tc>
        <w:tc>
          <w:tcPr>
            <w:tcW w:w="2403" w:type="dxa"/>
            <w:shd w:val="clear" w:color="auto" w:fill="auto"/>
            <w:vAlign w:val="center"/>
          </w:tcPr>
          <w:p w14:paraId="1073F41F"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99 (30.2%)</w:t>
            </w:r>
          </w:p>
        </w:tc>
      </w:tr>
      <w:tr w:rsidR="00231A9A" w:rsidRPr="00DB638E" w14:paraId="476CD69C" w14:textId="77777777" w:rsidTr="00FB0B73">
        <w:tc>
          <w:tcPr>
            <w:tcW w:w="3964" w:type="dxa"/>
            <w:shd w:val="clear" w:color="auto" w:fill="auto"/>
            <w:vAlign w:val="center"/>
          </w:tcPr>
          <w:p w14:paraId="196F0566" w14:textId="77777777"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Отношение рисков</w:t>
            </w:r>
            <w:r w:rsidRPr="00DB638E">
              <w:rPr>
                <w:rFonts w:ascii="Times New Roman" w:hAnsi="Times New Roman"/>
                <w:bCs/>
                <w:iCs/>
                <w:sz w:val="24"/>
                <w:szCs w:val="24"/>
                <w:vertAlign w:val="superscript"/>
              </w:rPr>
              <w:t>а</w:t>
            </w:r>
          </w:p>
        </w:tc>
        <w:tc>
          <w:tcPr>
            <w:tcW w:w="5097" w:type="dxa"/>
            <w:gridSpan w:val="2"/>
            <w:shd w:val="clear" w:color="auto" w:fill="auto"/>
            <w:vAlign w:val="center"/>
          </w:tcPr>
          <w:p w14:paraId="532ED9F8"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0.60</w:t>
            </w:r>
          </w:p>
        </w:tc>
      </w:tr>
      <w:tr w:rsidR="00231A9A" w:rsidRPr="00DB638E" w14:paraId="5F8779FB" w14:textId="77777777" w:rsidTr="00FB0B73">
        <w:tc>
          <w:tcPr>
            <w:tcW w:w="3964" w:type="dxa"/>
            <w:shd w:val="clear" w:color="auto" w:fill="auto"/>
            <w:vAlign w:val="center"/>
          </w:tcPr>
          <w:p w14:paraId="3571FE82" w14:textId="77777777"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98.89% ДИ</w:t>
            </w:r>
          </w:p>
        </w:tc>
        <w:tc>
          <w:tcPr>
            <w:tcW w:w="5097" w:type="dxa"/>
            <w:gridSpan w:val="2"/>
            <w:shd w:val="clear" w:color="auto" w:fill="auto"/>
            <w:vAlign w:val="center"/>
          </w:tcPr>
          <w:p w14:paraId="713D80EA"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(0.40, 0.89)</w:t>
            </w:r>
          </w:p>
        </w:tc>
      </w:tr>
      <w:tr w:rsidR="00231A9A" w:rsidRPr="00DB638E" w14:paraId="44A48CB0" w14:textId="77777777" w:rsidTr="00FB0B73">
        <w:tc>
          <w:tcPr>
            <w:tcW w:w="3964" w:type="dxa"/>
            <w:shd w:val="clear" w:color="auto" w:fill="auto"/>
            <w:vAlign w:val="center"/>
          </w:tcPr>
          <w:p w14:paraId="6B5F7E74" w14:textId="77777777"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р-значение</w:t>
            </w:r>
            <w:r w:rsidRPr="00DB638E">
              <w:rPr>
                <w:rFonts w:ascii="Times New Roman" w:hAnsi="Times New Roman"/>
                <w:bCs/>
                <w:iCs/>
                <w:sz w:val="24"/>
                <w:szCs w:val="24"/>
                <w:vertAlign w:val="superscript"/>
                <w:lang w:val="en-US"/>
              </w:rPr>
              <w:t>b</w:t>
            </w:r>
            <w:r w:rsidRPr="00DB638E">
              <w:rPr>
                <w:rFonts w:ascii="Times New Roman" w:hAnsi="Times New Roman"/>
                <w:bCs/>
                <w:iCs/>
                <w:sz w:val="24"/>
                <w:szCs w:val="24"/>
                <w:vertAlign w:val="superscript"/>
              </w:rPr>
              <w:t>,с,е</w:t>
            </w:r>
          </w:p>
        </w:tc>
        <w:tc>
          <w:tcPr>
            <w:tcW w:w="5097" w:type="dxa"/>
            <w:gridSpan w:val="2"/>
            <w:shd w:val="clear" w:color="auto" w:fill="auto"/>
            <w:vAlign w:val="center"/>
          </w:tcPr>
          <w:p w14:paraId="49831409"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0.0010</w:t>
            </w:r>
          </w:p>
        </w:tc>
      </w:tr>
      <w:tr w:rsidR="00231A9A" w:rsidRPr="00DB638E" w14:paraId="5CFAFAB2" w14:textId="77777777" w:rsidTr="00FB0B73">
        <w:tc>
          <w:tcPr>
            <w:tcW w:w="3964" w:type="dxa"/>
            <w:shd w:val="clear" w:color="auto" w:fill="auto"/>
            <w:vAlign w:val="center"/>
          </w:tcPr>
          <w:p w14:paraId="77B61998" w14:textId="77777777" w:rsidR="00231A9A" w:rsidRPr="00DB638E" w:rsidRDefault="00231A9A" w:rsidP="00FB0B73">
            <w:pPr>
              <w:spacing w:after="0" w:line="240" w:lineRule="auto"/>
              <w:rPr>
                <w:rFonts w:ascii="Times New Roman" w:hAnsi="Times New Roman"/>
                <w:bCs/>
                <w:iCs/>
                <w:sz w:val="24"/>
                <w:szCs w:val="24"/>
              </w:rPr>
            </w:pPr>
            <w:r w:rsidRPr="00DB638E">
              <w:rPr>
                <w:rFonts w:ascii="Times New Roman" w:hAnsi="Times New Roman"/>
                <w:bCs/>
                <w:iCs/>
                <w:sz w:val="24"/>
                <w:szCs w:val="24"/>
              </w:rPr>
              <w:t>Медиана (95% ДИ)</w:t>
            </w:r>
          </w:p>
        </w:tc>
        <w:tc>
          <w:tcPr>
            <w:tcW w:w="2694" w:type="dxa"/>
            <w:shd w:val="clear" w:color="auto" w:fill="auto"/>
            <w:vAlign w:val="center"/>
          </w:tcPr>
          <w:p w14:paraId="2000DE5F"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N.E.</w:t>
            </w:r>
          </w:p>
        </w:tc>
        <w:tc>
          <w:tcPr>
            <w:tcW w:w="2403" w:type="dxa"/>
            <w:shd w:val="clear" w:color="auto" w:fill="auto"/>
            <w:vAlign w:val="center"/>
          </w:tcPr>
          <w:p w14:paraId="5C5FA99E"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N.E. (22.6, N.E.)</w:t>
            </w:r>
          </w:p>
        </w:tc>
      </w:tr>
      <w:tr w:rsidR="00231A9A" w:rsidRPr="00DB638E" w14:paraId="5B9E15B7" w14:textId="77777777" w:rsidTr="00FB0B73">
        <w:tc>
          <w:tcPr>
            <w:tcW w:w="3964" w:type="dxa"/>
            <w:shd w:val="clear" w:color="auto" w:fill="auto"/>
            <w:vAlign w:val="center"/>
          </w:tcPr>
          <w:p w14:paraId="237078E0" w14:textId="0C80DBE9" w:rsidR="00231A9A" w:rsidRPr="00DB638E" w:rsidRDefault="00C16994" w:rsidP="00FB0B73">
            <w:pPr>
              <w:spacing w:after="0" w:line="240" w:lineRule="auto"/>
              <w:rPr>
                <w:rFonts w:ascii="Times New Roman" w:hAnsi="Times New Roman"/>
                <w:bCs/>
                <w:iCs/>
                <w:sz w:val="24"/>
                <w:szCs w:val="24"/>
              </w:rPr>
            </w:pPr>
            <w:r w:rsidRPr="00DB638E">
              <w:rPr>
                <w:rFonts w:ascii="Times New Roman" w:hAnsi="Times New Roman"/>
                <w:bCs/>
                <w:iCs/>
                <w:sz w:val="24"/>
                <w:szCs w:val="24"/>
              </w:rPr>
              <w:t xml:space="preserve">Частота </w:t>
            </w:r>
            <w:r w:rsidR="00231A9A" w:rsidRPr="00DB638E">
              <w:rPr>
                <w:rFonts w:ascii="Times New Roman" w:hAnsi="Times New Roman"/>
                <w:bCs/>
                <w:iCs/>
                <w:sz w:val="24"/>
                <w:szCs w:val="24"/>
              </w:rPr>
              <w:t>(95% ДИ)</w:t>
            </w:r>
          </w:p>
        </w:tc>
        <w:tc>
          <w:tcPr>
            <w:tcW w:w="2694" w:type="dxa"/>
            <w:shd w:val="clear" w:color="auto" w:fill="auto"/>
            <w:vAlign w:val="center"/>
          </w:tcPr>
          <w:p w14:paraId="2CD9E6AB" w14:textId="77777777" w:rsidR="00231A9A" w:rsidRPr="00DB638E" w:rsidRDefault="00231A9A" w:rsidP="00FB0B73">
            <w:pPr>
              <w:spacing w:after="0" w:line="240" w:lineRule="auto"/>
              <w:jc w:val="center"/>
              <w:rPr>
                <w:rFonts w:ascii="Times New Roman" w:hAnsi="Times New Roman"/>
                <w:bCs/>
                <w:iCs/>
                <w:sz w:val="24"/>
                <w:szCs w:val="24"/>
                <w:lang w:val="en-US"/>
              </w:rPr>
            </w:pPr>
          </w:p>
        </w:tc>
        <w:tc>
          <w:tcPr>
            <w:tcW w:w="2403" w:type="dxa"/>
            <w:shd w:val="clear" w:color="auto" w:fill="auto"/>
            <w:vAlign w:val="center"/>
          </w:tcPr>
          <w:p w14:paraId="3E72F7ED" w14:textId="77777777" w:rsidR="00231A9A" w:rsidRPr="00DB638E" w:rsidRDefault="00231A9A" w:rsidP="00FB0B73">
            <w:pPr>
              <w:spacing w:after="0" w:line="240" w:lineRule="auto"/>
              <w:jc w:val="center"/>
              <w:rPr>
                <w:rFonts w:ascii="Times New Roman" w:hAnsi="Times New Roman"/>
                <w:bCs/>
                <w:iCs/>
                <w:sz w:val="24"/>
                <w:szCs w:val="24"/>
                <w:lang w:val="en-US"/>
              </w:rPr>
            </w:pPr>
          </w:p>
        </w:tc>
      </w:tr>
      <w:tr w:rsidR="00231A9A" w:rsidRPr="00DB638E" w14:paraId="016B0DC6" w14:textId="77777777" w:rsidTr="00FB0B73">
        <w:tc>
          <w:tcPr>
            <w:tcW w:w="3964" w:type="dxa"/>
            <w:shd w:val="clear" w:color="auto" w:fill="auto"/>
            <w:vAlign w:val="center"/>
          </w:tcPr>
          <w:p w14:paraId="5AB3E66B" w14:textId="4C81E805" w:rsidR="00231A9A" w:rsidRPr="00DB638E" w:rsidRDefault="00231A9A" w:rsidP="00FB0B73">
            <w:pPr>
              <w:spacing w:after="0" w:line="240" w:lineRule="auto"/>
              <w:rPr>
                <w:rFonts w:ascii="Times New Roman" w:hAnsi="Times New Roman"/>
                <w:bCs/>
                <w:iCs/>
                <w:sz w:val="24"/>
                <w:szCs w:val="24"/>
              </w:rPr>
            </w:pPr>
            <w:r w:rsidRPr="00DB638E">
              <w:rPr>
                <w:rFonts w:ascii="Times New Roman" w:hAnsi="Times New Roman"/>
                <w:bCs/>
                <w:iCs/>
                <w:sz w:val="24"/>
                <w:szCs w:val="24"/>
              </w:rPr>
              <w:t>6 месяцев</w:t>
            </w:r>
          </w:p>
        </w:tc>
        <w:tc>
          <w:tcPr>
            <w:tcW w:w="2694" w:type="dxa"/>
            <w:shd w:val="clear" w:color="auto" w:fill="auto"/>
            <w:vAlign w:val="center"/>
          </w:tcPr>
          <w:p w14:paraId="429B8803"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93.1 (89.7, 95.4)</w:t>
            </w:r>
          </w:p>
        </w:tc>
        <w:tc>
          <w:tcPr>
            <w:tcW w:w="2403" w:type="dxa"/>
            <w:shd w:val="clear" w:color="auto" w:fill="auto"/>
            <w:vAlign w:val="center"/>
          </w:tcPr>
          <w:p w14:paraId="63BDBF91"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86.2 (81.9, 89.5)</w:t>
            </w:r>
          </w:p>
        </w:tc>
      </w:tr>
      <w:tr w:rsidR="00231A9A" w:rsidRPr="00DB638E" w14:paraId="1549AF75" w14:textId="77777777" w:rsidTr="00FB0B73">
        <w:tc>
          <w:tcPr>
            <w:tcW w:w="3964" w:type="dxa"/>
            <w:shd w:val="clear" w:color="auto" w:fill="auto"/>
            <w:vAlign w:val="center"/>
          </w:tcPr>
          <w:p w14:paraId="02FC0E38" w14:textId="56E0E367" w:rsidR="00231A9A" w:rsidRPr="00DB638E" w:rsidRDefault="00FB0B73" w:rsidP="00FB0B73">
            <w:pPr>
              <w:spacing w:after="0" w:line="240" w:lineRule="auto"/>
              <w:rPr>
                <w:rFonts w:ascii="Times New Roman" w:hAnsi="Times New Roman"/>
                <w:b/>
                <w:iCs/>
                <w:sz w:val="24"/>
                <w:szCs w:val="24"/>
              </w:rPr>
            </w:pPr>
            <w:r w:rsidRPr="00DB638E">
              <w:rPr>
                <w:rFonts w:ascii="Times New Roman" w:hAnsi="Times New Roman"/>
                <w:b/>
                <w:iCs/>
                <w:sz w:val="24"/>
                <w:szCs w:val="24"/>
              </w:rPr>
              <w:t xml:space="preserve">ЧОО </w:t>
            </w:r>
            <w:r w:rsidR="00231A9A" w:rsidRPr="00DB638E">
              <w:rPr>
                <w:rFonts w:ascii="Times New Roman" w:hAnsi="Times New Roman"/>
                <w:b/>
                <w:iCs/>
                <w:sz w:val="24"/>
                <w:szCs w:val="24"/>
              </w:rPr>
              <w:t xml:space="preserve">в соответствии с </w:t>
            </w:r>
            <w:r w:rsidR="00231A9A" w:rsidRPr="00DB638E">
              <w:rPr>
                <w:rFonts w:ascii="Times New Roman" w:hAnsi="Times New Roman"/>
                <w:b/>
                <w:iCs/>
                <w:sz w:val="24"/>
                <w:szCs w:val="24"/>
                <w:lang w:val="en-US"/>
              </w:rPr>
              <w:t>BICR</w:t>
            </w:r>
          </w:p>
          <w:p w14:paraId="1ABA310C" w14:textId="2B0BB70D" w:rsidR="00231A9A" w:rsidRPr="00DB638E" w:rsidRDefault="00231A9A" w:rsidP="00FB0B73">
            <w:pPr>
              <w:spacing w:after="0" w:line="240" w:lineRule="auto"/>
              <w:rPr>
                <w:rFonts w:ascii="Times New Roman" w:hAnsi="Times New Roman"/>
                <w:bCs/>
                <w:iCs/>
                <w:sz w:val="24"/>
                <w:szCs w:val="24"/>
              </w:rPr>
            </w:pPr>
            <w:r w:rsidRPr="00DB638E">
              <w:rPr>
                <w:rFonts w:ascii="Times New Roman" w:hAnsi="Times New Roman"/>
                <w:b/>
                <w:iCs/>
                <w:sz w:val="24"/>
                <w:szCs w:val="24"/>
              </w:rPr>
              <w:t>(</w:t>
            </w:r>
            <w:r w:rsidR="004657EF" w:rsidRPr="00DB638E">
              <w:rPr>
                <w:rFonts w:ascii="Times New Roman" w:hAnsi="Times New Roman"/>
                <w:b/>
                <w:iCs/>
                <w:sz w:val="24"/>
                <w:szCs w:val="24"/>
              </w:rPr>
              <w:t xml:space="preserve">ПО </w:t>
            </w:r>
            <w:r w:rsidRPr="00DB638E">
              <w:rPr>
                <w:rFonts w:ascii="Times New Roman" w:hAnsi="Times New Roman"/>
                <w:b/>
                <w:iCs/>
                <w:sz w:val="24"/>
                <w:szCs w:val="24"/>
              </w:rPr>
              <w:t xml:space="preserve">+ </w:t>
            </w:r>
            <w:r w:rsidR="004657EF" w:rsidRPr="00DB638E">
              <w:rPr>
                <w:rFonts w:ascii="Times New Roman" w:hAnsi="Times New Roman"/>
                <w:b/>
                <w:iCs/>
                <w:sz w:val="24"/>
                <w:szCs w:val="24"/>
              </w:rPr>
              <w:t>ЧО</w:t>
            </w:r>
            <w:r w:rsidRPr="00DB638E">
              <w:rPr>
                <w:rFonts w:ascii="Times New Roman" w:hAnsi="Times New Roman"/>
                <w:b/>
                <w:iCs/>
                <w:sz w:val="24"/>
                <w:szCs w:val="24"/>
              </w:rPr>
              <w:t>)</w:t>
            </w:r>
          </w:p>
        </w:tc>
        <w:tc>
          <w:tcPr>
            <w:tcW w:w="2694" w:type="dxa"/>
            <w:shd w:val="clear" w:color="auto" w:fill="auto"/>
            <w:vAlign w:val="center"/>
          </w:tcPr>
          <w:p w14:paraId="73F848E5"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180 (55.7%)</w:t>
            </w:r>
          </w:p>
        </w:tc>
        <w:tc>
          <w:tcPr>
            <w:tcW w:w="2403" w:type="dxa"/>
            <w:shd w:val="clear" w:color="auto" w:fill="auto"/>
            <w:vAlign w:val="center"/>
          </w:tcPr>
          <w:p w14:paraId="17117F34"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89 (27.1%)</w:t>
            </w:r>
          </w:p>
        </w:tc>
      </w:tr>
      <w:tr w:rsidR="00231A9A" w:rsidRPr="00DB638E" w14:paraId="2A3C07D0" w14:textId="77777777" w:rsidTr="00FB0B73">
        <w:tc>
          <w:tcPr>
            <w:tcW w:w="3964" w:type="dxa"/>
            <w:shd w:val="clear" w:color="auto" w:fill="auto"/>
            <w:vAlign w:val="center"/>
          </w:tcPr>
          <w:p w14:paraId="46DCCC82" w14:textId="77777777"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(95% ДИ)</w:t>
            </w:r>
            <w:r w:rsidRPr="00DB638E">
              <w:rPr>
                <w:rFonts w:ascii="Times New Roman" w:hAnsi="Times New Roman"/>
                <w:iCs/>
                <w:sz w:val="24"/>
                <w:szCs w:val="24"/>
                <w:vertAlign w:val="superscript"/>
              </w:rPr>
              <w:t xml:space="preserve"> </w:t>
            </w:r>
            <w:r w:rsidRPr="00DB638E">
              <w:rPr>
                <w:rFonts w:ascii="Times New Roman" w:hAnsi="Times New Roman"/>
                <w:iCs/>
                <w:sz w:val="24"/>
                <w:szCs w:val="24"/>
                <w:vertAlign w:val="superscript"/>
                <w:lang w:val="en-GB"/>
              </w:rPr>
              <w:t>f</w:t>
            </w:r>
          </w:p>
        </w:tc>
        <w:tc>
          <w:tcPr>
            <w:tcW w:w="2694" w:type="dxa"/>
            <w:shd w:val="clear" w:color="auto" w:fill="auto"/>
            <w:vAlign w:val="center"/>
          </w:tcPr>
          <w:p w14:paraId="1F9E6920"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(50.1, 61.2)</w:t>
            </w:r>
          </w:p>
        </w:tc>
        <w:tc>
          <w:tcPr>
            <w:tcW w:w="2403" w:type="dxa"/>
            <w:shd w:val="clear" w:color="auto" w:fill="auto"/>
            <w:vAlign w:val="center"/>
          </w:tcPr>
          <w:p w14:paraId="1B33B88F"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(22.4, 32.3)</w:t>
            </w:r>
          </w:p>
        </w:tc>
      </w:tr>
      <w:tr w:rsidR="00231A9A" w:rsidRPr="00DB638E" w14:paraId="2E4969A9" w14:textId="77777777" w:rsidTr="00FB0B73">
        <w:tc>
          <w:tcPr>
            <w:tcW w:w="3964" w:type="dxa"/>
            <w:shd w:val="clear" w:color="auto" w:fill="auto"/>
            <w:vAlign w:val="center"/>
          </w:tcPr>
          <w:p w14:paraId="5C048370" w14:textId="468125ED"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 xml:space="preserve">Разница в </w:t>
            </w:r>
            <w:r w:rsidR="00FB0B73" w:rsidRPr="00DB638E">
              <w:rPr>
                <w:rFonts w:ascii="Times New Roman" w:hAnsi="Times New Roman"/>
                <w:b/>
                <w:iCs/>
                <w:sz w:val="24"/>
                <w:szCs w:val="24"/>
              </w:rPr>
              <w:t xml:space="preserve">ЧОО </w:t>
            </w:r>
            <w:r w:rsidRPr="00DB638E">
              <w:rPr>
                <w:rFonts w:ascii="Times New Roman" w:hAnsi="Times New Roman"/>
                <w:bCs/>
                <w:iCs/>
                <w:sz w:val="24"/>
                <w:szCs w:val="24"/>
              </w:rPr>
              <w:t>(95% ДИ)</w:t>
            </w:r>
            <w:r w:rsidRPr="00DB638E">
              <w:rPr>
                <w:rFonts w:ascii="Times New Roman" w:hAnsi="Times New Roman"/>
                <w:b/>
                <w:bCs/>
                <w:iCs/>
                <w:sz w:val="24"/>
                <w:szCs w:val="24"/>
                <w:vertAlign w:val="superscript"/>
              </w:rPr>
              <w:t xml:space="preserve"> </w:t>
            </w:r>
            <w:r w:rsidRPr="00DB638E">
              <w:rPr>
                <w:rFonts w:ascii="Times New Roman" w:hAnsi="Times New Roman"/>
                <w:b/>
                <w:bCs/>
                <w:iCs/>
                <w:sz w:val="24"/>
                <w:szCs w:val="24"/>
                <w:vertAlign w:val="superscript"/>
                <w:lang w:val="en-US"/>
              </w:rPr>
              <w:t>g</w:t>
            </w:r>
          </w:p>
        </w:tc>
        <w:tc>
          <w:tcPr>
            <w:tcW w:w="5097" w:type="dxa"/>
            <w:gridSpan w:val="2"/>
            <w:shd w:val="clear" w:color="auto" w:fill="auto"/>
            <w:vAlign w:val="center"/>
          </w:tcPr>
          <w:p w14:paraId="34334777" w14:textId="77777777"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28.6 (21.7, 35.6)</w:t>
            </w:r>
          </w:p>
        </w:tc>
      </w:tr>
      <w:tr w:rsidR="00231A9A" w:rsidRPr="00DB638E" w14:paraId="4788118C" w14:textId="77777777" w:rsidTr="00FB0B73">
        <w:tc>
          <w:tcPr>
            <w:tcW w:w="3964" w:type="dxa"/>
            <w:shd w:val="clear" w:color="auto" w:fill="auto"/>
            <w:vAlign w:val="center"/>
          </w:tcPr>
          <w:p w14:paraId="51675288"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rPr>
              <w:t>р-значение</w:t>
            </w:r>
            <w:r w:rsidRPr="00DB638E">
              <w:rPr>
                <w:rFonts w:ascii="Times New Roman" w:hAnsi="Times New Roman"/>
                <w:bCs/>
                <w:iCs/>
                <w:sz w:val="24"/>
                <w:szCs w:val="24"/>
                <w:vertAlign w:val="superscript"/>
                <w:lang w:val="en-US"/>
              </w:rPr>
              <w:t>h</w:t>
            </w:r>
          </w:p>
        </w:tc>
        <w:tc>
          <w:tcPr>
            <w:tcW w:w="5097" w:type="dxa"/>
            <w:gridSpan w:val="2"/>
            <w:shd w:val="clear" w:color="auto" w:fill="auto"/>
            <w:vAlign w:val="center"/>
          </w:tcPr>
          <w:p w14:paraId="03D618F5" w14:textId="77777777"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&lt; 0.0001</w:t>
            </w:r>
          </w:p>
        </w:tc>
      </w:tr>
      <w:tr w:rsidR="00231A9A" w:rsidRPr="00DB638E" w14:paraId="0739D0BA" w14:textId="77777777" w:rsidTr="00FB0B73">
        <w:tc>
          <w:tcPr>
            <w:tcW w:w="3964" w:type="dxa"/>
            <w:shd w:val="clear" w:color="auto" w:fill="auto"/>
            <w:vAlign w:val="center"/>
          </w:tcPr>
          <w:p w14:paraId="4A15F795" w14:textId="6398DC59" w:rsidR="00231A9A" w:rsidRPr="00DB638E" w:rsidRDefault="00231A9A" w:rsidP="00FB0B73">
            <w:pPr>
              <w:spacing w:after="0" w:line="240" w:lineRule="auto"/>
              <w:rPr>
                <w:rFonts w:ascii="Times New Roman" w:hAnsi="Times New Roman"/>
                <w:bCs/>
                <w:iCs/>
                <w:sz w:val="24"/>
                <w:szCs w:val="24"/>
                <w:lang w:val="en-US"/>
              </w:rPr>
            </w:pPr>
            <w:r w:rsidRPr="00DB638E">
              <w:rPr>
                <w:rFonts w:ascii="Times New Roman" w:hAnsi="Times New Roman"/>
                <w:bCs/>
                <w:iCs/>
                <w:sz w:val="24"/>
                <w:szCs w:val="24"/>
              </w:rPr>
              <w:t>Полный ответ</w:t>
            </w:r>
            <w:r w:rsidRPr="00DB638E">
              <w:rPr>
                <w:rFonts w:ascii="Times New Roman" w:hAnsi="Times New Roman"/>
                <w:bCs/>
                <w:iCs/>
                <w:sz w:val="24"/>
                <w:szCs w:val="24"/>
                <w:lang w:val="en-US"/>
              </w:rPr>
              <w:t xml:space="preserve"> (</w:t>
            </w:r>
            <w:r w:rsidR="00FB0B73" w:rsidRPr="00DB638E">
              <w:rPr>
                <w:rFonts w:ascii="Times New Roman" w:hAnsi="Times New Roman"/>
                <w:bCs/>
                <w:iCs/>
                <w:sz w:val="24"/>
                <w:szCs w:val="24"/>
              </w:rPr>
              <w:t>ПО</w:t>
            </w:r>
            <w:r w:rsidRPr="00DB638E">
              <w:rPr>
                <w:rFonts w:ascii="Times New Roman" w:hAnsi="Times New Roman"/>
                <w:bCs/>
                <w:iCs/>
                <w:sz w:val="24"/>
                <w:szCs w:val="24"/>
                <w:lang w:val="en-US"/>
              </w:rPr>
              <w:t>)</w:t>
            </w:r>
          </w:p>
        </w:tc>
        <w:tc>
          <w:tcPr>
            <w:tcW w:w="2694" w:type="dxa"/>
            <w:shd w:val="clear" w:color="auto" w:fill="auto"/>
            <w:vAlign w:val="center"/>
          </w:tcPr>
          <w:p w14:paraId="47C7F328"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26 (8.0%)</w:t>
            </w:r>
          </w:p>
        </w:tc>
        <w:tc>
          <w:tcPr>
            <w:tcW w:w="2403" w:type="dxa"/>
            <w:shd w:val="clear" w:color="auto" w:fill="auto"/>
            <w:vAlign w:val="center"/>
          </w:tcPr>
          <w:p w14:paraId="5CC8322D"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15 (4.6%)</w:t>
            </w:r>
          </w:p>
        </w:tc>
      </w:tr>
      <w:tr w:rsidR="00231A9A" w:rsidRPr="00DB638E" w14:paraId="27805D79" w14:textId="77777777" w:rsidTr="00FB0B73">
        <w:tc>
          <w:tcPr>
            <w:tcW w:w="3964" w:type="dxa"/>
            <w:shd w:val="clear" w:color="auto" w:fill="auto"/>
            <w:vAlign w:val="center"/>
          </w:tcPr>
          <w:p w14:paraId="50092405" w14:textId="7A4A27B5" w:rsidR="00231A9A" w:rsidRPr="00DB638E" w:rsidRDefault="00231A9A" w:rsidP="00FB0B73">
            <w:pPr>
              <w:spacing w:after="0" w:line="240" w:lineRule="auto"/>
              <w:rPr>
                <w:rFonts w:ascii="Times New Roman" w:hAnsi="Times New Roman"/>
                <w:bCs/>
                <w:iCs/>
                <w:sz w:val="24"/>
                <w:szCs w:val="24"/>
              </w:rPr>
            </w:pPr>
            <w:r w:rsidRPr="00DB638E">
              <w:rPr>
                <w:rFonts w:ascii="Times New Roman" w:hAnsi="Times New Roman"/>
                <w:bCs/>
                <w:iCs/>
                <w:sz w:val="24"/>
                <w:szCs w:val="24"/>
              </w:rPr>
              <w:t>Частичный ответ</w:t>
            </w:r>
            <w:r w:rsidRPr="00DB638E">
              <w:rPr>
                <w:sz w:val="24"/>
                <w:szCs w:val="24"/>
              </w:rPr>
              <w:t xml:space="preserve"> </w:t>
            </w:r>
            <w:r w:rsidRPr="00DB638E">
              <w:rPr>
                <w:rFonts w:ascii="Times New Roman" w:hAnsi="Times New Roman"/>
                <w:bCs/>
                <w:iCs/>
                <w:sz w:val="24"/>
                <w:szCs w:val="24"/>
              </w:rPr>
              <w:t>(</w:t>
            </w:r>
            <w:r w:rsidR="00FB0B73" w:rsidRPr="00DB638E">
              <w:rPr>
                <w:rFonts w:ascii="Times New Roman" w:hAnsi="Times New Roman"/>
                <w:bCs/>
                <w:iCs/>
                <w:sz w:val="24"/>
                <w:szCs w:val="24"/>
              </w:rPr>
              <w:t>ЧО</w:t>
            </w:r>
            <w:r w:rsidRPr="00DB638E">
              <w:rPr>
                <w:rFonts w:ascii="Times New Roman" w:hAnsi="Times New Roman"/>
                <w:bCs/>
                <w:iCs/>
                <w:sz w:val="24"/>
                <w:szCs w:val="24"/>
              </w:rPr>
              <w:t>)</w:t>
            </w:r>
          </w:p>
        </w:tc>
        <w:tc>
          <w:tcPr>
            <w:tcW w:w="2694" w:type="dxa"/>
            <w:shd w:val="clear" w:color="auto" w:fill="auto"/>
            <w:vAlign w:val="center"/>
          </w:tcPr>
          <w:p w14:paraId="09B7B35B"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154 (47.7%)</w:t>
            </w:r>
          </w:p>
        </w:tc>
        <w:tc>
          <w:tcPr>
            <w:tcW w:w="2403" w:type="dxa"/>
            <w:shd w:val="clear" w:color="auto" w:fill="auto"/>
            <w:vAlign w:val="center"/>
          </w:tcPr>
          <w:p w14:paraId="67684DDF"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74 (22.6%)</w:t>
            </w:r>
          </w:p>
        </w:tc>
      </w:tr>
      <w:tr w:rsidR="00231A9A" w:rsidRPr="00DB638E" w14:paraId="7E4CA064" w14:textId="77777777" w:rsidTr="00FB0B73">
        <w:tc>
          <w:tcPr>
            <w:tcW w:w="3964" w:type="dxa"/>
            <w:shd w:val="clear" w:color="auto" w:fill="auto"/>
            <w:vAlign w:val="center"/>
          </w:tcPr>
          <w:p w14:paraId="028EAF4C" w14:textId="77777777" w:rsidR="00231A9A" w:rsidRPr="00DB638E" w:rsidRDefault="00231A9A" w:rsidP="00FB0B73">
            <w:pPr>
              <w:spacing w:after="0" w:line="240" w:lineRule="auto"/>
              <w:rPr>
                <w:rFonts w:ascii="Times New Roman" w:hAnsi="Times New Roman"/>
                <w:bCs/>
                <w:iCs/>
                <w:sz w:val="24"/>
                <w:szCs w:val="24"/>
                <w:lang w:val="en-US"/>
              </w:rPr>
            </w:pPr>
            <w:r w:rsidRPr="00DB638E">
              <w:rPr>
                <w:rFonts w:ascii="Times New Roman" w:hAnsi="Times New Roman"/>
                <w:bCs/>
                <w:iCs/>
                <w:sz w:val="24"/>
                <w:szCs w:val="24"/>
              </w:rPr>
              <w:t>Стабильное течение заболевания</w:t>
            </w:r>
            <w:r w:rsidRPr="00DB638E">
              <w:rPr>
                <w:rFonts w:ascii="Times New Roman" w:hAnsi="Times New Roman"/>
                <w:bCs/>
                <w:iCs/>
                <w:sz w:val="24"/>
                <w:szCs w:val="24"/>
                <w:lang w:val="en-US"/>
              </w:rPr>
              <w:t xml:space="preserve"> (SD)</w:t>
            </w:r>
          </w:p>
        </w:tc>
        <w:tc>
          <w:tcPr>
            <w:tcW w:w="2694" w:type="dxa"/>
            <w:shd w:val="clear" w:color="auto" w:fill="auto"/>
            <w:vAlign w:val="center"/>
          </w:tcPr>
          <w:p w14:paraId="36E79CE6"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104 (32.2%)</w:t>
            </w:r>
          </w:p>
        </w:tc>
        <w:tc>
          <w:tcPr>
            <w:tcW w:w="2403" w:type="dxa"/>
            <w:shd w:val="clear" w:color="auto" w:fill="auto"/>
            <w:vAlign w:val="center"/>
          </w:tcPr>
          <w:p w14:paraId="6E7AF66D"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138 (42.1%)</w:t>
            </w:r>
          </w:p>
        </w:tc>
      </w:tr>
      <w:tr w:rsidR="00231A9A" w:rsidRPr="00DB638E" w14:paraId="3681F03A" w14:textId="77777777" w:rsidTr="00FB0B73">
        <w:tc>
          <w:tcPr>
            <w:tcW w:w="9061" w:type="dxa"/>
            <w:gridSpan w:val="3"/>
            <w:shd w:val="clear" w:color="auto" w:fill="auto"/>
            <w:vAlign w:val="center"/>
          </w:tcPr>
          <w:p w14:paraId="5CB212A3" w14:textId="77777777" w:rsidR="00231A9A" w:rsidRPr="00DB638E" w:rsidRDefault="00231A9A" w:rsidP="00FB0B73">
            <w:pPr>
              <w:spacing w:after="0" w:line="240" w:lineRule="auto"/>
              <w:rPr>
                <w:rFonts w:ascii="Times New Roman" w:hAnsi="Times New Roman"/>
                <w:bCs/>
                <w:iCs/>
                <w:sz w:val="24"/>
                <w:szCs w:val="24"/>
                <w:lang w:val="en-US"/>
              </w:rPr>
            </w:pPr>
            <w:r w:rsidRPr="00DB638E">
              <w:rPr>
                <w:rFonts w:ascii="Times New Roman" w:hAnsi="Times New Roman"/>
                <w:b/>
                <w:iCs/>
                <w:sz w:val="24"/>
                <w:szCs w:val="24"/>
              </w:rPr>
              <w:t>Средняя продолжительность ответа</w:t>
            </w:r>
            <w:r w:rsidRPr="00DB638E">
              <w:rPr>
                <w:rFonts w:ascii="Times New Roman" w:hAnsi="Times New Roman"/>
                <w:b/>
                <w:iCs/>
                <w:sz w:val="24"/>
                <w:szCs w:val="24"/>
                <w:vertAlign w:val="superscript"/>
                <w:lang w:val="en-US"/>
              </w:rPr>
              <w:t>d</w:t>
            </w:r>
          </w:p>
        </w:tc>
      </w:tr>
      <w:tr w:rsidR="00231A9A" w:rsidRPr="00DB638E" w14:paraId="198A96A2" w14:textId="77777777" w:rsidTr="00FB0B73">
        <w:tc>
          <w:tcPr>
            <w:tcW w:w="3964" w:type="dxa"/>
            <w:shd w:val="clear" w:color="auto" w:fill="auto"/>
            <w:vAlign w:val="center"/>
          </w:tcPr>
          <w:p w14:paraId="31E9A1F6" w14:textId="77777777"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Месяцы (порядок)</w:t>
            </w:r>
          </w:p>
        </w:tc>
        <w:tc>
          <w:tcPr>
            <w:tcW w:w="2694" w:type="dxa"/>
            <w:shd w:val="clear" w:color="auto" w:fill="auto"/>
            <w:vAlign w:val="center"/>
          </w:tcPr>
          <w:p w14:paraId="6AF71961"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20.17 (17.31, N.E.)</w:t>
            </w:r>
          </w:p>
        </w:tc>
        <w:tc>
          <w:tcPr>
            <w:tcW w:w="2403" w:type="dxa"/>
            <w:shd w:val="clear" w:color="auto" w:fill="auto"/>
            <w:vAlign w:val="center"/>
          </w:tcPr>
          <w:p w14:paraId="2495953A"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bCs/>
                <w:iCs/>
                <w:sz w:val="24"/>
                <w:szCs w:val="24"/>
                <w:lang w:val="en-US"/>
              </w:rPr>
              <w:t>11.47 (8.31, 18.43)</w:t>
            </w:r>
          </w:p>
        </w:tc>
      </w:tr>
      <w:tr w:rsidR="00231A9A" w:rsidRPr="00DB638E" w14:paraId="3E5A12DE" w14:textId="77777777" w:rsidTr="00FB0B73">
        <w:tc>
          <w:tcPr>
            <w:tcW w:w="9061" w:type="dxa"/>
            <w:gridSpan w:val="3"/>
            <w:shd w:val="clear" w:color="auto" w:fill="auto"/>
            <w:vAlign w:val="center"/>
          </w:tcPr>
          <w:p w14:paraId="74C1800B" w14:textId="77777777" w:rsidR="00231A9A" w:rsidRPr="00DB638E" w:rsidRDefault="00231A9A" w:rsidP="00FB0B73">
            <w:pPr>
              <w:spacing w:after="0" w:line="240" w:lineRule="auto"/>
              <w:rPr>
                <w:rFonts w:ascii="Times New Roman" w:hAnsi="Times New Roman"/>
                <w:bCs/>
                <w:iCs/>
                <w:sz w:val="24"/>
                <w:szCs w:val="24"/>
                <w:u w:val="single"/>
              </w:rPr>
            </w:pPr>
            <w:r w:rsidRPr="00DB638E">
              <w:rPr>
                <w:rFonts w:ascii="Times New Roman" w:hAnsi="Times New Roman"/>
                <w:b/>
                <w:bCs/>
                <w:iCs/>
                <w:sz w:val="24"/>
                <w:szCs w:val="24"/>
              </w:rPr>
              <w:t>Среднее время до ответа</w:t>
            </w:r>
          </w:p>
        </w:tc>
      </w:tr>
      <w:tr w:rsidR="00231A9A" w:rsidRPr="00DB638E" w14:paraId="4A5F4656" w14:textId="77777777" w:rsidTr="00FB0B73">
        <w:tc>
          <w:tcPr>
            <w:tcW w:w="3964" w:type="dxa"/>
            <w:shd w:val="clear" w:color="auto" w:fill="auto"/>
            <w:vAlign w:val="center"/>
          </w:tcPr>
          <w:p w14:paraId="2092A5A4" w14:textId="77777777" w:rsidR="00231A9A" w:rsidRPr="00DB638E" w:rsidRDefault="00231A9A" w:rsidP="00FB0B73">
            <w:pPr>
              <w:spacing w:after="0" w:line="240" w:lineRule="auto"/>
              <w:jc w:val="center"/>
              <w:rPr>
                <w:rFonts w:ascii="Times New Roman" w:hAnsi="Times New Roman"/>
                <w:bCs/>
                <w:iCs/>
                <w:sz w:val="24"/>
                <w:szCs w:val="24"/>
              </w:rPr>
            </w:pPr>
            <w:r w:rsidRPr="00DB638E">
              <w:rPr>
                <w:rFonts w:ascii="Times New Roman" w:hAnsi="Times New Roman"/>
                <w:bCs/>
                <w:iCs/>
                <w:sz w:val="24"/>
                <w:szCs w:val="24"/>
              </w:rPr>
              <w:t>Месяцы (порядок)</w:t>
            </w:r>
          </w:p>
        </w:tc>
        <w:tc>
          <w:tcPr>
            <w:tcW w:w="2694" w:type="dxa"/>
            <w:shd w:val="clear" w:color="auto" w:fill="auto"/>
            <w:vAlign w:val="center"/>
          </w:tcPr>
          <w:p w14:paraId="34E959FF"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sz w:val="24"/>
                <w:szCs w:val="24"/>
                <w:lang w:val="en-GB"/>
              </w:rPr>
              <w:t>2.83 (1.0-19.4)</w:t>
            </w:r>
          </w:p>
        </w:tc>
        <w:tc>
          <w:tcPr>
            <w:tcW w:w="2403" w:type="dxa"/>
            <w:shd w:val="clear" w:color="auto" w:fill="auto"/>
            <w:vAlign w:val="center"/>
          </w:tcPr>
          <w:p w14:paraId="772E682C" w14:textId="77777777" w:rsidR="00231A9A" w:rsidRPr="00DB638E" w:rsidRDefault="00231A9A" w:rsidP="00FB0B73">
            <w:pPr>
              <w:spacing w:after="0" w:line="240" w:lineRule="auto"/>
              <w:jc w:val="center"/>
              <w:rPr>
                <w:rFonts w:ascii="Times New Roman" w:hAnsi="Times New Roman"/>
                <w:bCs/>
                <w:iCs/>
                <w:sz w:val="24"/>
                <w:szCs w:val="24"/>
                <w:lang w:val="en-US"/>
              </w:rPr>
            </w:pPr>
            <w:r w:rsidRPr="00DB638E">
              <w:rPr>
                <w:rFonts w:ascii="Times New Roman" w:hAnsi="Times New Roman"/>
                <w:sz w:val="24"/>
                <w:szCs w:val="24"/>
                <w:lang w:val="en-GB"/>
              </w:rPr>
              <w:t>4.17 (1.7-12.3)</w:t>
            </w:r>
          </w:p>
        </w:tc>
      </w:tr>
    </w:tbl>
    <w:bookmarkEnd w:id="131"/>
    <w:p w14:paraId="441A2FE0" w14:textId="77777777" w:rsidR="00231A9A" w:rsidRPr="00DB638E" w:rsidRDefault="00231A9A" w:rsidP="00231A9A">
      <w:pPr>
        <w:spacing w:after="0" w:line="240" w:lineRule="auto"/>
        <w:jc w:val="both"/>
        <w:rPr>
          <w:rFonts w:ascii="Times New Roman" w:hAnsi="Times New Roman"/>
          <w:sz w:val="20"/>
          <w:szCs w:val="20"/>
        </w:rPr>
      </w:pPr>
      <w:r w:rsidRPr="00DB638E">
        <w:rPr>
          <w:rFonts w:ascii="Times New Roman" w:hAnsi="Times New Roman"/>
          <w:sz w:val="20"/>
          <w:szCs w:val="20"/>
        </w:rPr>
        <w:t>а Стратифицированная модель пропорциональных рисков Кокса. Соотношение рисков - ниволумаб и кабозантиниб по сравнению с сунитинибом.</w:t>
      </w:r>
    </w:p>
    <w:p w14:paraId="3BAB8E06" w14:textId="77777777" w:rsidR="00231A9A" w:rsidRPr="00DB638E" w:rsidRDefault="00231A9A" w:rsidP="00231A9A">
      <w:pPr>
        <w:spacing w:after="0" w:line="240" w:lineRule="auto"/>
        <w:jc w:val="both"/>
        <w:rPr>
          <w:rFonts w:ascii="Times New Roman" w:hAnsi="Times New Roman"/>
          <w:sz w:val="20"/>
          <w:szCs w:val="20"/>
        </w:rPr>
      </w:pPr>
      <w:r w:rsidRPr="00DB638E">
        <w:rPr>
          <w:rFonts w:ascii="Times New Roman" w:hAnsi="Times New Roman"/>
          <w:sz w:val="20"/>
          <w:szCs w:val="20"/>
        </w:rPr>
        <w:t xml:space="preserve">b Двусторонние p-значения из регулярного стратифицированного логрангового теста </w:t>
      </w:r>
    </w:p>
    <w:p w14:paraId="3F745A5D" w14:textId="77777777" w:rsidR="00231A9A" w:rsidRPr="00DB638E" w:rsidRDefault="00231A9A" w:rsidP="00231A9A">
      <w:pPr>
        <w:spacing w:after="0" w:line="240" w:lineRule="auto"/>
        <w:jc w:val="both"/>
        <w:rPr>
          <w:rFonts w:ascii="Times New Roman" w:hAnsi="Times New Roman"/>
          <w:sz w:val="20"/>
          <w:szCs w:val="20"/>
        </w:rPr>
      </w:pPr>
      <w:r w:rsidRPr="00DB638E">
        <w:rPr>
          <w:rFonts w:ascii="Times New Roman" w:hAnsi="Times New Roman"/>
          <w:sz w:val="20"/>
          <w:szCs w:val="20"/>
        </w:rPr>
        <w:t>c Логранговый критерий, стратифицированный по шкале прогностического риска IMDC (0, 1-2, 3-6), экспрессии опухоли PD-L1 (≥ 1% по сравнению с &lt;1% или неопределенно) и региону (США / Канада / Западная Европа / Северная Европа, остальные страны мира), как указано в IRT.</w:t>
      </w:r>
    </w:p>
    <w:p w14:paraId="6DBB87FC" w14:textId="77777777" w:rsidR="00231A9A" w:rsidRPr="00DB638E" w:rsidRDefault="00231A9A" w:rsidP="00231A9A">
      <w:pPr>
        <w:spacing w:after="0" w:line="240" w:lineRule="auto"/>
        <w:jc w:val="both"/>
        <w:rPr>
          <w:rFonts w:ascii="Times New Roman" w:hAnsi="Times New Roman"/>
          <w:sz w:val="20"/>
          <w:szCs w:val="20"/>
        </w:rPr>
      </w:pPr>
      <w:r w:rsidRPr="00DB638E">
        <w:rPr>
          <w:rFonts w:ascii="Times New Roman" w:hAnsi="Times New Roman"/>
          <w:sz w:val="20"/>
          <w:szCs w:val="20"/>
        </w:rPr>
        <w:t>d</w:t>
      </w:r>
      <w:r w:rsidRPr="00DB638E">
        <w:rPr>
          <w:sz w:val="20"/>
          <w:szCs w:val="20"/>
        </w:rPr>
        <w:t xml:space="preserve"> </w:t>
      </w:r>
      <w:r w:rsidRPr="00DB638E">
        <w:rPr>
          <w:rFonts w:ascii="Times New Roman" w:hAnsi="Times New Roman"/>
          <w:sz w:val="20"/>
          <w:szCs w:val="20"/>
        </w:rPr>
        <w:t>На основе оценок Каплана-Мейера.</w:t>
      </w:r>
    </w:p>
    <w:p w14:paraId="4E5CC575" w14:textId="77777777" w:rsidR="00231A9A" w:rsidRPr="00DB638E" w:rsidRDefault="00231A9A" w:rsidP="00231A9A">
      <w:pPr>
        <w:spacing w:after="0" w:line="240" w:lineRule="auto"/>
        <w:jc w:val="both"/>
        <w:rPr>
          <w:rFonts w:ascii="Times New Roman" w:hAnsi="Times New Roman"/>
          <w:sz w:val="20"/>
          <w:szCs w:val="20"/>
        </w:rPr>
      </w:pPr>
      <w:r w:rsidRPr="00DB638E">
        <w:rPr>
          <w:rFonts w:ascii="Times New Roman" w:hAnsi="Times New Roman"/>
          <w:sz w:val="20"/>
          <w:szCs w:val="20"/>
        </w:rPr>
        <w:t>e Граница статистической значимости p-значение &lt;0,0111.</w:t>
      </w:r>
    </w:p>
    <w:p w14:paraId="580FFD88" w14:textId="77777777" w:rsidR="00231A9A" w:rsidRPr="00DB638E" w:rsidRDefault="00231A9A" w:rsidP="00231A9A">
      <w:pPr>
        <w:spacing w:after="0" w:line="240" w:lineRule="auto"/>
        <w:jc w:val="both"/>
        <w:rPr>
          <w:rFonts w:ascii="Times New Roman" w:hAnsi="Times New Roman"/>
          <w:sz w:val="20"/>
          <w:szCs w:val="20"/>
        </w:rPr>
      </w:pPr>
      <w:r w:rsidRPr="00DB638E">
        <w:rPr>
          <w:rFonts w:ascii="Times New Roman" w:hAnsi="Times New Roman"/>
          <w:sz w:val="20"/>
          <w:szCs w:val="20"/>
        </w:rPr>
        <w:t>f ДИ на основе метода Клоппера и Пирсона.</w:t>
      </w:r>
    </w:p>
    <w:p w14:paraId="787E370D" w14:textId="77777777" w:rsidR="00231A9A" w:rsidRPr="00DB638E" w:rsidRDefault="00231A9A" w:rsidP="00231A9A">
      <w:pPr>
        <w:spacing w:after="0" w:line="240" w:lineRule="auto"/>
        <w:jc w:val="both"/>
        <w:rPr>
          <w:rFonts w:ascii="Times New Roman" w:hAnsi="Times New Roman"/>
          <w:sz w:val="20"/>
          <w:szCs w:val="20"/>
        </w:rPr>
      </w:pPr>
      <w:r w:rsidRPr="00DB638E">
        <w:rPr>
          <w:rFonts w:ascii="Times New Roman" w:hAnsi="Times New Roman"/>
          <w:sz w:val="20"/>
          <w:szCs w:val="20"/>
        </w:rPr>
        <w:t>g Скорректированная по стратам разница в частоте объективного ответа (ниволумаб + кабозантиниб - сунитиниб) на основе данных DerSimonian и Laird</w:t>
      </w:r>
    </w:p>
    <w:p w14:paraId="1D12D61A" w14:textId="77777777" w:rsidR="00231A9A" w:rsidRPr="00DB638E" w:rsidRDefault="00231A9A" w:rsidP="00231A9A">
      <w:pPr>
        <w:spacing w:after="0" w:line="240" w:lineRule="auto"/>
        <w:jc w:val="both"/>
        <w:rPr>
          <w:rFonts w:ascii="Times New Roman" w:hAnsi="Times New Roman"/>
          <w:sz w:val="20"/>
          <w:szCs w:val="20"/>
        </w:rPr>
      </w:pPr>
      <w:bookmarkStart w:id="132" w:name="_Hlk75286970"/>
      <w:r w:rsidRPr="00DB638E">
        <w:rPr>
          <w:rFonts w:ascii="Times New Roman" w:hAnsi="Times New Roman"/>
          <w:sz w:val="20"/>
          <w:szCs w:val="20"/>
          <w:lang w:val="en-US"/>
        </w:rPr>
        <w:lastRenderedPageBreak/>
        <w:t>h</w:t>
      </w:r>
      <w:bookmarkEnd w:id="132"/>
      <w:r w:rsidRPr="00DB638E">
        <w:rPr>
          <w:rFonts w:ascii="Times New Roman" w:hAnsi="Times New Roman"/>
          <w:sz w:val="20"/>
          <w:szCs w:val="20"/>
        </w:rPr>
        <w:t xml:space="preserve"> Двустороннее значение p из теста CMH.</w:t>
      </w:r>
    </w:p>
    <w:p w14:paraId="76AC57F8" w14:textId="77777777" w:rsidR="00231A9A" w:rsidRPr="00DB638E" w:rsidRDefault="00231A9A" w:rsidP="00231A9A">
      <w:pPr>
        <w:spacing w:after="0" w:line="240" w:lineRule="auto"/>
        <w:jc w:val="both"/>
        <w:rPr>
          <w:rFonts w:ascii="Times New Roman" w:hAnsi="Times New Roman"/>
          <w:sz w:val="20"/>
          <w:szCs w:val="20"/>
        </w:rPr>
      </w:pPr>
      <w:r w:rsidRPr="00DB638E">
        <w:rPr>
          <w:rFonts w:ascii="Times New Roman" w:hAnsi="Times New Roman"/>
          <w:sz w:val="20"/>
          <w:szCs w:val="20"/>
        </w:rPr>
        <w:t xml:space="preserve">NE = </w:t>
      </w:r>
      <w:r w:rsidR="00304BDE" w:rsidRPr="00DB638E">
        <w:rPr>
          <w:rFonts w:ascii="Times New Roman" w:hAnsi="Times New Roman"/>
          <w:sz w:val="20"/>
          <w:szCs w:val="20"/>
        </w:rPr>
        <w:t>без оценки.</w:t>
      </w:r>
    </w:p>
    <w:p w14:paraId="4CB7AB98" w14:textId="77777777" w:rsidR="00231A9A" w:rsidRPr="00DB638E" w:rsidRDefault="00231A9A" w:rsidP="00231A9A">
      <w:pPr>
        <w:spacing w:after="0" w:line="240" w:lineRule="auto"/>
        <w:jc w:val="both"/>
        <w:rPr>
          <w:rFonts w:ascii="Times New Roman" w:hAnsi="Times New Roman"/>
          <w:sz w:val="24"/>
          <w:szCs w:val="24"/>
          <w:u w:val="single"/>
        </w:rPr>
      </w:pPr>
    </w:p>
    <w:p w14:paraId="3D3ED2A4" w14:textId="5E9F5890"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Первичный анализ </w:t>
      </w:r>
      <w:r w:rsidR="00304BDE" w:rsidRPr="00DB638E">
        <w:rPr>
          <w:rFonts w:ascii="Times New Roman" w:hAnsi="Times New Roman"/>
          <w:sz w:val="24"/>
          <w:szCs w:val="24"/>
        </w:rPr>
        <w:t>ВБП</w:t>
      </w:r>
      <w:r w:rsidR="00FB0B73" w:rsidRPr="00DB638E">
        <w:rPr>
          <w:rFonts w:ascii="Times New Roman" w:hAnsi="Times New Roman"/>
          <w:sz w:val="24"/>
          <w:szCs w:val="24"/>
        </w:rPr>
        <w:t>З</w:t>
      </w:r>
      <w:r w:rsidRPr="00DB638E">
        <w:rPr>
          <w:rFonts w:ascii="Times New Roman" w:hAnsi="Times New Roman"/>
          <w:sz w:val="24"/>
          <w:szCs w:val="24"/>
        </w:rPr>
        <w:t xml:space="preserve"> включал цензурирование для новой противоопухолевой терапии (Таблица 7). Результаты по </w:t>
      </w:r>
      <w:r w:rsidR="00304BDE" w:rsidRPr="00DB638E">
        <w:rPr>
          <w:rFonts w:ascii="Times New Roman" w:hAnsi="Times New Roman"/>
          <w:sz w:val="24"/>
          <w:szCs w:val="24"/>
        </w:rPr>
        <w:t>ВБП</w:t>
      </w:r>
      <w:r w:rsidR="007073CA" w:rsidRPr="00DB638E">
        <w:rPr>
          <w:rFonts w:ascii="Times New Roman" w:hAnsi="Times New Roman"/>
          <w:sz w:val="24"/>
          <w:szCs w:val="24"/>
        </w:rPr>
        <w:t>З</w:t>
      </w:r>
      <w:r w:rsidRPr="00DB638E">
        <w:rPr>
          <w:rFonts w:ascii="Times New Roman" w:hAnsi="Times New Roman"/>
          <w:sz w:val="24"/>
          <w:szCs w:val="24"/>
        </w:rPr>
        <w:t xml:space="preserve"> с цензурированием и без него для новой противоопухолевой терапии были согласованными.</w:t>
      </w:r>
    </w:p>
    <w:p w14:paraId="2E23B10D" w14:textId="6CAAC964"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Преимущество </w:t>
      </w:r>
      <w:r w:rsidR="00304BDE" w:rsidRPr="00DB638E">
        <w:rPr>
          <w:rFonts w:ascii="Times New Roman" w:hAnsi="Times New Roman"/>
          <w:sz w:val="24"/>
          <w:szCs w:val="24"/>
        </w:rPr>
        <w:t>ВБП</w:t>
      </w:r>
      <w:r w:rsidR="007073CA" w:rsidRPr="00DB638E">
        <w:rPr>
          <w:rFonts w:ascii="Times New Roman" w:hAnsi="Times New Roman"/>
          <w:sz w:val="24"/>
          <w:szCs w:val="24"/>
        </w:rPr>
        <w:t>З</w:t>
      </w:r>
      <w:r w:rsidRPr="00DB638E">
        <w:rPr>
          <w:rFonts w:ascii="Times New Roman" w:hAnsi="Times New Roman"/>
          <w:sz w:val="24"/>
          <w:szCs w:val="24"/>
        </w:rPr>
        <w:t xml:space="preserve"> наблюдалось в группе кабозантиниба в комбинации с ниволумабом по сравнению с сунитинибом независимо от экспрессии опухоли PD-L1. Медиана </w:t>
      </w:r>
      <w:r w:rsidR="00304BDE" w:rsidRPr="00DB638E">
        <w:rPr>
          <w:rFonts w:ascii="Times New Roman" w:hAnsi="Times New Roman"/>
          <w:sz w:val="24"/>
          <w:szCs w:val="24"/>
        </w:rPr>
        <w:t>ВБП</w:t>
      </w:r>
      <w:r w:rsidR="007073CA" w:rsidRPr="00DB638E">
        <w:rPr>
          <w:rFonts w:ascii="Times New Roman" w:hAnsi="Times New Roman"/>
          <w:sz w:val="24"/>
          <w:szCs w:val="24"/>
        </w:rPr>
        <w:t>З</w:t>
      </w:r>
      <w:r w:rsidRPr="00DB638E">
        <w:rPr>
          <w:rFonts w:ascii="Times New Roman" w:hAnsi="Times New Roman"/>
          <w:sz w:val="24"/>
          <w:szCs w:val="24"/>
        </w:rPr>
        <w:t xml:space="preserve"> для экспрессии опухоли PD-L1 ≥ 1% составила 13,08 для кабозантиниба в комбинации с ниволумабом и 4,67 месяцев в группе сунитиниба (</w:t>
      </w:r>
      <w:r w:rsidR="00304BDE" w:rsidRPr="00DB638E">
        <w:rPr>
          <w:rFonts w:ascii="Times New Roman" w:hAnsi="Times New Roman"/>
          <w:sz w:val="24"/>
          <w:szCs w:val="24"/>
        </w:rPr>
        <w:t xml:space="preserve">Соотношение рисков </w:t>
      </w:r>
      <w:r w:rsidRPr="00DB638E">
        <w:rPr>
          <w:rFonts w:ascii="Times New Roman" w:hAnsi="Times New Roman"/>
          <w:sz w:val="24"/>
          <w:szCs w:val="24"/>
        </w:rPr>
        <w:t xml:space="preserve">= 0,45; 95% ДИ: 0,29, 0,68). При экспрессии PD-L1 в опухоли &lt;1% средняя </w:t>
      </w:r>
      <w:r w:rsidR="00304BDE" w:rsidRPr="00DB638E">
        <w:rPr>
          <w:rFonts w:ascii="Times New Roman" w:hAnsi="Times New Roman"/>
          <w:sz w:val="24"/>
          <w:szCs w:val="24"/>
        </w:rPr>
        <w:t>ВБП</w:t>
      </w:r>
      <w:r w:rsidR="007073CA" w:rsidRPr="00DB638E">
        <w:rPr>
          <w:rFonts w:ascii="Times New Roman" w:hAnsi="Times New Roman"/>
          <w:sz w:val="24"/>
          <w:szCs w:val="24"/>
        </w:rPr>
        <w:t>З</w:t>
      </w:r>
      <w:r w:rsidRPr="00DB638E">
        <w:rPr>
          <w:rFonts w:ascii="Times New Roman" w:hAnsi="Times New Roman"/>
          <w:sz w:val="24"/>
          <w:szCs w:val="24"/>
        </w:rPr>
        <w:t xml:space="preserve"> составляла 19,84 месяца для кабозантиниба в комбинации с ниволумабом и 9,26 месяца в группе сунитиниба (</w:t>
      </w:r>
      <w:r w:rsidR="00304BDE" w:rsidRPr="00DB638E">
        <w:rPr>
          <w:rFonts w:ascii="Times New Roman" w:hAnsi="Times New Roman"/>
          <w:sz w:val="24"/>
          <w:szCs w:val="24"/>
        </w:rPr>
        <w:t xml:space="preserve">Соотношение рисков </w:t>
      </w:r>
      <w:r w:rsidRPr="00DB638E">
        <w:rPr>
          <w:rFonts w:ascii="Times New Roman" w:hAnsi="Times New Roman"/>
          <w:sz w:val="24"/>
          <w:szCs w:val="24"/>
        </w:rPr>
        <w:t>= 0,50; 95% ДИ: 0,38, 0,65).</w:t>
      </w:r>
    </w:p>
    <w:p w14:paraId="2A4C008A" w14:textId="4800DA95"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Преимущество </w:t>
      </w:r>
      <w:r w:rsidR="007073CA" w:rsidRPr="00DB638E">
        <w:rPr>
          <w:rFonts w:ascii="Times New Roman" w:hAnsi="Times New Roman"/>
          <w:sz w:val="24"/>
          <w:szCs w:val="24"/>
        </w:rPr>
        <w:t xml:space="preserve">ВБПЗ </w:t>
      </w:r>
      <w:r w:rsidRPr="00DB638E">
        <w:rPr>
          <w:rFonts w:ascii="Times New Roman" w:hAnsi="Times New Roman"/>
          <w:sz w:val="24"/>
          <w:szCs w:val="24"/>
        </w:rPr>
        <w:t xml:space="preserve">наблюдалось группе кабозантиниба в комбинации с ниволумабом по сравнению с сунтинибом независимо от категории риска (IMDC). Медиана </w:t>
      </w:r>
      <w:r w:rsidR="00304BDE" w:rsidRPr="00DB638E">
        <w:rPr>
          <w:rFonts w:ascii="Times New Roman" w:hAnsi="Times New Roman"/>
          <w:sz w:val="24"/>
          <w:szCs w:val="24"/>
        </w:rPr>
        <w:t>ВБП</w:t>
      </w:r>
      <w:r w:rsidR="007073CA" w:rsidRPr="00DB638E">
        <w:rPr>
          <w:rFonts w:ascii="Times New Roman" w:hAnsi="Times New Roman"/>
          <w:sz w:val="24"/>
          <w:szCs w:val="24"/>
        </w:rPr>
        <w:t>З</w:t>
      </w:r>
      <w:r w:rsidRPr="00DB638E">
        <w:rPr>
          <w:rFonts w:ascii="Times New Roman" w:hAnsi="Times New Roman"/>
          <w:sz w:val="24"/>
          <w:szCs w:val="24"/>
        </w:rPr>
        <w:t xml:space="preserve"> для группы низкого риска не была достигнута для кабозантиниба в комбинации с ниволумабом и составила 12,81 месяца в группе сунитиниба (</w:t>
      </w:r>
      <w:r w:rsidR="00304BDE" w:rsidRPr="00DB638E">
        <w:rPr>
          <w:rFonts w:ascii="Times New Roman" w:hAnsi="Times New Roman"/>
          <w:sz w:val="24"/>
          <w:szCs w:val="24"/>
        </w:rPr>
        <w:t xml:space="preserve">Соотношение рисков </w:t>
      </w:r>
      <w:r w:rsidRPr="00DB638E">
        <w:rPr>
          <w:rFonts w:ascii="Times New Roman" w:hAnsi="Times New Roman"/>
          <w:sz w:val="24"/>
          <w:szCs w:val="24"/>
        </w:rPr>
        <w:t xml:space="preserve">= 0,60; 95% ДИ: 0,37, 0,98). Медиана </w:t>
      </w:r>
      <w:r w:rsidR="00304BDE" w:rsidRPr="00DB638E">
        <w:rPr>
          <w:rFonts w:ascii="Times New Roman" w:hAnsi="Times New Roman"/>
          <w:sz w:val="24"/>
          <w:szCs w:val="24"/>
        </w:rPr>
        <w:t>ВБП</w:t>
      </w:r>
      <w:r w:rsidR="007073CA" w:rsidRPr="00DB638E">
        <w:rPr>
          <w:rFonts w:ascii="Times New Roman" w:hAnsi="Times New Roman"/>
          <w:sz w:val="24"/>
          <w:szCs w:val="24"/>
        </w:rPr>
        <w:t>З</w:t>
      </w:r>
      <w:r w:rsidRPr="00DB638E">
        <w:rPr>
          <w:rFonts w:ascii="Times New Roman" w:hAnsi="Times New Roman"/>
          <w:sz w:val="24"/>
          <w:szCs w:val="24"/>
        </w:rPr>
        <w:t xml:space="preserve"> для группы промежуточного риска составила 17,71 месяца для кабозантиниба в комбинации с ниволумабом и 8,38 месяца в группе сунитиниба (</w:t>
      </w:r>
      <w:r w:rsidR="00304BDE" w:rsidRPr="00DB638E">
        <w:rPr>
          <w:rFonts w:ascii="Times New Roman" w:hAnsi="Times New Roman"/>
          <w:sz w:val="24"/>
          <w:szCs w:val="24"/>
        </w:rPr>
        <w:t xml:space="preserve">Соотношение рисков </w:t>
      </w:r>
      <w:r w:rsidRPr="00DB638E">
        <w:rPr>
          <w:rFonts w:ascii="Times New Roman" w:hAnsi="Times New Roman"/>
          <w:sz w:val="24"/>
          <w:szCs w:val="24"/>
        </w:rPr>
        <w:t xml:space="preserve">= 0,54; 95% ДИ: 0,41, 0,73). Медиана </w:t>
      </w:r>
      <w:r w:rsidR="007073CA" w:rsidRPr="00DB638E">
        <w:rPr>
          <w:rFonts w:ascii="Times New Roman" w:hAnsi="Times New Roman"/>
          <w:sz w:val="24"/>
          <w:szCs w:val="24"/>
        </w:rPr>
        <w:t xml:space="preserve">ВБПЗ </w:t>
      </w:r>
      <w:r w:rsidRPr="00DB638E">
        <w:rPr>
          <w:rFonts w:ascii="Times New Roman" w:hAnsi="Times New Roman"/>
          <w:sz w:val="24"/>
          <w:szCs w:val="24"/>
        </w:rPr>
        <w:t>для группы высокого риска составляла 12,29 месяца для кабозантиниба в комбинации с ниволумабом и 4,21 месяца в группе сунитиниба (</w:t>
      </w:r>
      <w:r w:rsidR="00304BDE" w:rsidRPr="00DB638E">
        <w:rPr>
          <w:rFonts w:ascii="Times New Roman" w:hAnsi="Times New Roman"/>
          <w:sz w:val="24"/>
          <w:szCs w:val="24"/>
        </w:rPr>
        <w:t>Соотношение рисков</w:t>
      </w:r>
      <w:r w:rsidRPr="00DB638E">
        <w:rPr>
          <w:rFonts w:ascii="Times New Roman" w:hAnsi="Times New Roman"/>
          <w:sz w:val="24"/>
          <w:szCs w:val="24"/>
        </w:rPr>
        <w:t xml:space="preserve"> = 0,36; 95% ДИ: 0,23, 0,58).</w:t>
      </w:r>
    </w:p>
    <w:p w14:paraId="40BD662E" w14:textId="63CE67AF"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Обновленный анализ </w:t>
      </w:r>
      <w:r w:rsidR="00304BDE" w:rsidRPr="00DB638E">
        <w:rPr>
          <w:rFonts w:ascii="Times New Roman" w:hAnsi="Times New Roman"/>
          <w:sz w:val="24"/>
          <w:szCs w:val="24"/>
        </w:rPr>
        <w:t>ВБП</w:t>
      </w:r>
      <w:r w:rsidR="007073CA" w:rsidRPr="00DB638E">
        <w:rPr>
          <w:rFonts w:ascii="Times New Roman" w:hAnsi="Times New Roman"/>
          <w:sz w:val="24"/>
          <w:szCs w:val="24"/>
        </w:rPr>
        <w:t>З</w:t>
      </w:r>
      <w:r w:rsidRPr="00DB638E">
        <w:rPr>
          <w:rFonts w:ascii="Times New Roman" w:hAnsi="Times New Roman"/>
          <w:sz w:val="24"/>
          <w:szCs w:val="24"/>
        </w:rPr>
        <w:t xml:space="preserve"> и </w:t>
      </w:r>
      <w:r w:rsidR="00304BDE" w:rsidRPr="00DB638E">
        <w:rPr>
          <w:rFonts w:ascii="Times New Roman" w:hAnsi="Times New Roman"/>
          <w:sz w:val="24"/>
          <w:szCs w:val="24"/>
        </w:rPr>
        <w:t>ОВ</w:t>
      </w:r>
      <w:r w:rsidRPr="00DB638E">
        <w:rPr>
          <w:rFonts w:ascii="Times New Roman" w:hAnsi="Times New Roman"/>
          <w:sz w:val="24"/>
          <w:szCs w:val="24"/>
        </w:rPr>
        <w:t xml:space="preserve"> был проведен, когда все пациенты имели минимальный период наблюдения 16 месяцев и средний период наблюдения 23,5 месяца (см. Рисунки 4 и 5). Отношение рисков </w:t>
      </w:r>
      <w:r w:rsidR="00304BDE" w:rsidRPr="00DB638E">
        <w:rPr>
          <w:rFonts w:ascii="Times New Roman" w:hAnsi="Times New Roman"/>
          <w:sz w:val="24"/>
          <w:szCs w:val="24"/>
        </w:rPr>
        <w:t>ВБП</w:t>
      </w:r>
      <w:r w:rsidR="007073CA" w:rsidRPr="00DB638E">
        <w:rPr>
          <w:rFonts w:ascii="Times New Roman" w:hAnsi="Times New Roman"/>
          <w:sz w:val="24"/>
          <w:szCs w:val="24"/>
        </w:rPr>
        <w:t>З</w:t>
      </w:r>
      <w:r w:rsidRPr="00DB638E">
        <w:rPr>
          <w:rFonts w:ascii="Times New Roman" w:hAnsi="Times New Roman"/>
          <w:sz w:val="24"/>
          <w:szCs w:val="24"/>
        </w:rPr>
        <w:t xml:space="preserve"> составило 0,52 (95% ДИ: 0,43; 0,64). Отношение рисков </w:t>
      </w:r>
      <w:r w:rsidR="007073CA" w:rsidRPr="00DB638E">
        <w:rPr>
          <w:rFonts w:ascii="Times New Roman" w:hAnsi="Times New Roman"/>
          <w:sz w:val="24"/>
          <w:szCs w:val="24"/>
        </w:rPr>
        <w:t xml:space="preserve">ОВ </w:t>
      </w:r>
      <w:r w:rsidRPr="00DB638E">
        <w:rPr>
          <w:rFonts w:ascii="Times New Roman" w:hAnsi="Times New Roman"/>
          <w:sz w:val="24"/>
          <w:szCs w:val="24"/>
        </w:rPr>
        <w:t>составило 0,66 (95% ДИ: 0,50; 0,87). Обновленные данные об эффективности (</w:t>
      </w:r>
      <w:r w:rsidR="00304BDE" w:rsidRPr="00DB638E">
        <w:rPr>
          <w:rFonts w:ascii="Times New Roman" w:hAnsi="Times New Roman"/>
          <w:sz w:val="24"/>
          <w:szCs w:val="24"/>
        </w:rPr>
        <w:t>ВБП</w:t>
      </w:r>
      <w:r w:rsidR="007073CA" w:rsidRPr="00DB638E">
        <w:rPr>
          <w:rFonts w:ascii="Times New Roman" w:hAnsi="Times New Roman"/>
          <w:sz w:val="24"/>
          <w:szCs w:val="24"/>
        </w:rPr>
        <w:t>З</w:t>
      </w:r>
      <w:r w:rsidRPr="00DB638E">
        <w:rPr>
          <w:rFonts w:ascii="Times New Roman" w:hAnsi="Times New Roman"/>
          <w:sz w:val="24"/>
          <w:szCs w:val="24"/>
        </w:rPr>
        <w:t xml:space="preserve"> и </w:t>
      </w:r>
      <w:r w:rsidR="00304BDE" w:rsidRPr="00DB638E">
        <w:rPr>
          <w:rFonts w:ascii="Times New Roman" w:hAnsi="Times New Roman"/>
          <w:sz w:val="24"/>
          <w:szCs w:val="24"/>
        </w:rPr>
        <w:t>ОВ</w:t>
      </w:r>
      <w:r w:rsidRPr="00DB638E">
        <w:rPr>
          <w:rFonts w:ascii="Times New Roman" w:hAnsi="Times New Roman"/>
          <w:sz w:val="24"/>
          <w:szCs w:val="24"/>
        </w:rPr>
        <w:t xml:space="preserve">) в подгруппах для категорий риска IMDC и уровней экспрессии PD-L1 подтвердили исходные результаты. С обновленным анализом медиана </w:t>
      </w:r>
      <w:r w:rsidR="00304BDE" w:rsidRPr="00DB638E">
        <w:rPr>
          <w:rFonts w:ascii="Times New Roman" w:hAnsi="Times New Roman"/>
          <w:sz w:val="24"/>
          <w:szCs w:val="24"/>
        </w:rPr>
        <w:t>ВБП</w:t>
      </w:r>
      <w:r w:rsidR="007073CA" w:rsidRPr="00DB638E">
        <w:rPr>
          <w:rFonts w:ascii="Times New Roman" w:hAnsi="Times New Roman"/>
          <w:sz w:val="24"/>
          <w:szCs w:val="24"/>
        </w:rPr>
        <w:t>З</w:t>
      </w:r>
      <w:r w:rsidRPr="00DB638E">
        <w:rPr>
          <w:rFonts w:ascii="Times New Roman" w:hAnsi="Times New Roman"/>
          <w:sz w:val="24"/>
          <w:szCs w:val="24"/>
        </w:rPr>
        <w:t xml:space="preserve"> была достигнута для благоприятной группы риска.</w:t>
      </w:r>
    </w:p>
    <w:p w14:paraId="3D05C775" w14:textId="77777777" w:rsidR="00304BDE" w:rsidRPr="00DB638E" w:rsidRDefault="00304BDE" w:rsidP="00231A9A">
      <w:pPr>
        <w:spacing w:after="0" w:line="240" w:lineRule="auto"/>
        <w:jc w:val="both"/>
        <w:rPr>
          <w:rFonts w:ascii="Times New Roman" w:hAnsi="Times New Roman"/>
          <w:sz w:val="24"/>
          <w:szCs w:val="24"/>
        </w:rPr>
      </w:pPr>
    </w:p>
    <w:p w14:paraId="21C197B1" w14:textId="18C55C76" w:rsidR="00231A9A" w:rsidRPr="00DB638E" w:rsidRDefault="00020025" w:rsidP="00231A9A">
      <w:pPr>
        <w:spacing w:after="0" w:line="240" w:lineRule="auto"/>
        <w:jc w:val="both"/>
        <w:rPr>
          <w:rFonts w:ascii="Times New Roman" w:hAnsi="Times New Roman"/>
          <w:b/>
          <w:bCs/>
          <w:sz w:val="24"/>
          <w:szCs w:val="24"/>
        </w:rPr>
      </w:pPr>
      <w:r w:rsidRPr="00DB638E">
        <w:rPr>
          <w:rFonts w:ascii="Times New Roman" w:hAnsi="Times New Roman"/>
          <w:b/>
          <w:bCs/>
          <w:sz w:val="24"/>
          <w:szCs w:val="24"/>
        </w:rPr>
        <w:t xml:space="preserve">Рис. 4. </w:t>
      </w:r>
      <w:r w:rsidR="00694523" w:rsidRPr="00DB638E">
        <w:rPr>
          <w:rFonts w:ascii="Times New Roman" w:hAnsi="Times New Roman"/>
          <w:b/>
          <w:bCs/>
          <w:sz w:val="24"/>
          <w:szCs w:val="24"/>
        </w:rPr>
        <w:t>К</w:t>
      </w:r>
      <w:r w:rsidRPr="00DB638E">
        <w:rPr>
          <w:rFonts w:ascii="Times New Roman" w:hAnsi="Times New Roman"/>
          <w:b/>
          <w:bCs/>
          <w:sz w:val="24"/>
          <w:szCs w:val="24"/>
        </w:rPr>
        <w:t>ривая Каплана-Мейера при ВБП</w:t>
      </w:r>
      <w:r w:rsidR="007073CA" w:rsidRPr="00DB638E">
        <w:rPr>
          <w:rFonts w:ascii="Times New Roman" w:hAnsi="Times New Roman"/>
          <w:b/>
          <w:bCs/>
          <w:sz w:val="24"/>
          <w:szCs w:val="24"/>
        </w:rPr>
        <w:t>З</w:t>
      </w:r>
      <w:r w:rsidRPr="00DB638E">
        <w:rPr>
          <w:rFonts w:ascii="Times New Roman" w:hAnsi="Times New Roman"/>
          <w:b/>
          <w:bCs/>
          <w:sz w:val="24"/>
          <w:szCs w:val="24"/>
        </w:rPr>
        <w:t xml:space="preserve"> (CA2099ER)</w:t>
      </w:r>
    </w:p>
    <w:p w14:paraId="1AE52005" w14:textId="60C86FD8" w:rsidR="00231A9A" w:rsidRPr="00DB638E" w:rsidRDefault="00BA3091" w:rsidP="00231A9A">
      <w:pPr>
        <w:spacing w:after="0" w:line="240" w:lineRule="auto"/>
        <w:jc w:val="both"/>
        <w:rPr>
          <w:rFonts w:ascii="Times New Roman" w:hAnsi="Times New Roman"/>
          <w:b/>
          <w:bCs/>
          <w:sz w:val="24"/>
          <w:szCs w:val="24"/>
        </w:rPr>
      </w:pPr>
      <w:r w:rsidRPr="00DB638E">
        <w:rPr>
          <w:rFonts w:ascii="Times New Roman" w:hAnsi="Times New Roman"/>
          <w:noProof/>
          <w:sz w:val="24"/>
          <w:szCs w:val="24"/>
        </w:rPr>
        <w:lastRenderedPageBreak/>
        <mc:AlternateContent>
          <mc:Choice Requires="wps">
            <w:drawing>
              <wp:anchor distT="0" distB="0" distL="114300" distR="114300" simplePos="0" relativeHeight="251660288" behindDoc="0" locked="0" layoutInCell="1" allowOverlap="1" wp14:anchorId="4E3A6CE7" wp14:editId="2955EF42">
                <wp:simplePos x="0" y="0"/>
                <wp:positionH relativeFrom="column">
                  <wp:posOffset>-1395095</wp:posOffset>
                </wp:positionH>
                <wp:positionV relativeFrom="paragraph">
                  <wp:posOffset>1709420</wp:posOffset>
                </wp:positionV>
                <wp:extent cx="2674620" cy="345440"/>
                <wp:effectExtent l="1905" t="3810" r="0" b="0"/>
                <wp:wrapNone/>
                <wp:docPr id="16"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73EAA" w14:textId="6678CE57" w:rsidR="000D4D11" w:rsidRPr="00FE6A52" w:rsidRDefault="000D4D11" w:rsidP="000D4D11">
                            <w:pPr>
                              <w:jc w:val="center"/>
                              <w:rPr>
                                <w:rFonts w:ascii="Times New Roman" w:hAnsi="Times New Roman"/>
                                <w:b/>
                                <w:sz w:val="20"/>
                              </w:rPr>
                            </w:pPr>
                            <w:r w:rsidRPr="00FE6A52">
                              <w:rPr>
                                <w:rFonts w:ascii="Times New Roman" w:hAnsi="Times New Roman"/>
                                <w:b/>
                                <w:sz w:val="20"/>
                              </w:rPr>
                              <w:t>В</w:t>
                            </w:r>
                            <w:r w:rsidRPr="002A7AFF">
                              <w:rPr>
                                <w:rFonts w:ascii="Times New Roman" w:hAnsi="Times New Roman"/>
                                <w:b/>
                                <w:sz w:val="20"/>
                              </w:rPr>
                              <w:t>ероятность ВБП</w:t>
                            </w:r>
                            <w:r w:rsidR="007073CA" w:rsidRPr="002A7AFF">
                              <w:rPr>
                                <w:rFonts w:ascii="Times New Roman" w:hAnsi="Times New Roman"/>
                                <w:b/>
                                <w:sz w:val="20"/>
                              </w:rPr>
                              <w:t>З</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A6CE7" id="_x0000_s1032" type="#_x0000_t202" style="position:absolute;left:0;text-align:left;margin-left:-109.85pt;margin-top:134.6pt;width:210.6pt;height:27.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" filled="f" stroked="f">
                <v:textbox style="layout-flow:vertical;mso-layout-flow-alt:bottom-to-top">
                  <w:txbxContent>
                    <w:p w14:paraId="38473EAA" w14:textId="6678CE57" w:rsidR="000D4D11" w:rsidRPr="00FE6A52" w:rsidRDefault="000D4D11" w:rsidP="000D4D11">
                      <w:pPr>
                        <w:jc w:val="center"/>
                        <w:rPr>
                          <w:rFonts w:ascii="Times New Roman" w:hAnsi="Times New Roman"/>
                          <w:b/>
                          <w:sz w:val="20"/>
                        </w:rPr>
                      </w:pPr>
                      <w:r w:rsidRPr="00FE6A52">
                        <w:rPr>
                          <w:rFonts w:ascii="Times New Roman" w:hAnsi="Times New Roman"/>
                          <w:b/>
                          <w:sz w:val="20"/>
                        </w:rPr>
                        <w:t>В</w:t>
                      </w:r>
                      <w:r w:rsidRPr="002A7AFF">
                        <w:rPr>
                          <w:rFonts w:ascii="Times New Roman" w:hAnsi="Times New Roman"/>
                          <w:b/>
                          <w:sz w:val="20"/>
                        </w:rPr>
                        <w:t>ероятность ВБП</w:t>
                      </w:r>
                      <w:r w:rsidR="007073CA" w:rsidRPr="002A7AFF">
                        <w:rPr>
                          <w:rFonts w:ascii="Times New Roman" w:hAnsi="Times New Roman"/>
                          <w:b/>
                          <w:sz w:val="20"/>
                        </w:rPr>
                        <w:t>З</w:t>
                      </w:r>
                    </w:p>
                  </w:txbxContent>
                </v:textbox>
              </v:shape>
            </w:pict>
          </mc:Fallback>
        </mc:AlternateContent>
      </w:r>
      <w:r w:rsidRPr="00DB638E">
        <w:rPr>
          <w:rFonts w:ascii="Times New Roman" w:hAnsi="Times New Roman"/>
          <w:b/>
          <w:bCs/>
          <w:noProof/>
          <w:sz w:val="24"/>
          <w:szCs w:val="24"/>
        </w:rPr>
        <w:drawing>
          <wp:inline distT="0" distB="0" distL="0" distR="0" wp14:anchorId="3AFA8F22" wp14:editId="0D182E70">
            <wp:extent cx="5524500" cy="37185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3718560"/>
                    </a:xfrm>
                    <a:prstGeom prst="rect">
                      <a:avLst/>
                    </a:prstGeom>
                    <a:noFill/>
                    <a:ln>
                      <a:noFill/>
                    </a:ln>
                  </pic:spPr>
                </pic:pic>
              </a:graphicData>
            </a:graphic>
          </wp:inline>
        </w:drawing>
      </w:r>
    </w:p>
    <w:p w14:paraId="630A1490" w14:textId="4390D7A4" w:rsidR="00231A9A" w:rsidRPr="00DB638E" w:rsidRDefault="000D4D11" w:rsidP="000D4D11">
      <w:pPr>
        <w:spacing w:after="0" w:line="240" w:lineRule="auto"/>
        <w:jc w:val="center"/>
        <w:rPr>
          <w:rFonts w:ascii="Times New Roman" w:hAnsi="Times New Roman"/>
          <w:b/>
          <w:bCs/>
          <w:sz w:val="20"/>
          <w:szCs w:val="20"/>
        </w:rPr>
      </w:pPr>
      <w:r w:rsidRPr="00DB638E">
        <w:rPr>
          <w:rFonts w:ascii="Times New Roman" w:hAnsi="Times New Roman"/>
          <w:b/>
          <w:bCs/>
          <w:sz w:val="20"/>
          <w:szCs w:val="20"/>
        </w:rPr>
        <w:t>ВБП</w:t>
      </w:r>
      <w:r w:rsidR="007073CA" w:rsidRPr="00DB638E">
        <w:rPr>
          <w:rFonts w:ascii="Times New Roman" w:hAnsi="Times New Roman"/>
          <w:b/>
          <w:bCs/>
          <w:sz w:val="20"/>
          <w:szCs w:val="20"/>
        </w:rPr>
        <w:t>З</w:t>
      </w:r>
      <w:r w:rsidRPr="00DB638E">
        <w:rPr>
          <w:rFonts w:ascii="Times New Roman" w:hAnsi="Times New Roman"/>
          <w:b/>
          <w:bCs/>
          <w:sz w:val="20"/>
          <w:szCs w:val="20"/>
        </w:rPr>
        <w:t xml:space="preserve"> согласно слепой независимой централизованной оценки </w:t>
      </w:r>
      <w:r w:rsidRPr="00DB638E">
        <w:rPr>
          <w:rFonts w:ascii="Times New Roman" w:hAnsi="Times New Roman"/>
          <w:b/>
          <w:bCs/>
          <w:sz w:val="20"/>
          <w:szCs w:val="20"/>
          <w:lang w:val="en-US"/>
        </w:rPr>
        <w:t>BICR</w:t>
      </w:r>
      <w:r w:rsidRPr="00DB638E">
        <w:rPr>
          <w:rFonts w:ascii="Times New Roman" w:hAnsi="Times New Roman"/>
          <w:b/>
          <w:bCs/>
          <w:sz w:val="20"/>
          <w:szCs w:val="20"/>
        </w:rPr>
        <w:t xml:space="preserve"> (месяцы)</w:t>
      </w:r>
    </w:p>
    <w:p w14:paraId="14C3D3B9" w14:textId="77777777" w:rsidR="00231A9A" w:rsidRPr="00DB638E" w:rsidRDefault="00231A9A" w:rsidP="00231A9A">
      <w:pPr>
        <w:spacing w:after="0" w:line="240" w:lineRule="auto"/>
        <w:jc w:val="both"/>
        <w:rPr>
          <w:rFonts w:ascii="Times New Roman" w:hAnsi="Times New Roman"/>
          <w:sz w:val="24"/>
          <w:szCs w:val="24"/>
        </w:rPr>
      </w:pPr>
      <w:bookmarkStart w:id="133" w:name="_Hlk75287130"/>
    </w:p>
    <w:p w14:paraId="379E19E7" w14:textId="77777777" w:rsidR="00231A9A" w:rsidRPr="00DB638E" w:rsidRDefault="000D4D11" w:rsidP="00231A9A">
      <w:pPr>
        <w:spacing w:after="0" w:line="240" w:lineRule="auto"/>
        <w:jc w:val="both"/>
        <w:rPr>
          <w:rFonts w:ascii="Times New Roman" w:hAnsi="Times New Roman"/>
          <w:b/>
          <w:bCs/>
          <w:sz w:val="20"/>
          <w:szCs w:val="20"/>
        </w:rPr>
      </w:pPr>
      <w:r w:rsidRPr="00DB638E">
        <w:rPr>
          <w:rFonts w:ascii="Times New Roman" w:hAnsi="Times New Roman"/>
          <w:b/>
          <w:bCs/>
          <w:sz w:val="20"/>
          <w:szCs w:val="20"/>
        </w:rPr>
        <w:t>Число субъектов в риске</w:t>
      </w:r>
    </w:p>
    <w:p w14:paraId="47548783" w14:textId="77777777" w:rsidR="000D4D11" w:rsidRPr="00DB638E" w:rsidRDefault="000D4D11" w:rsidP="00231A9A">
      <w:pPr>
        <w:spacing w:after="0" w:line="240" w:lineRule="auto"/>
        <w:jc w:val="both"/>
        <w:rPr>
          <w:rFonts w:ascii="Times New Roman" w:hAnsi="Times New Roman"/>
          <w:sz w:val="20"/>
          <w:szCs w:val="20"/>
        </w:rPr>
      </w:pPr>
      <w:r w:rsidRPr="00DB638E">
        <w:rPr>
          <w:rFonts w:ascii="Times New Roman" w:hAnsi="Times New Roman"/>
          <w:sz w:val="20"/>
          <w:szCs w:val="20"/>
        </w:rPr>
        <w:t>Ниволумаб + кабозантиниб</w:t>
      </w:r>
    </w:p>
    <w:tbl>
      <w:tblPr>
        <w:tblW w:w="0" w:type="auto"/>
        <w:tblLook w:val="04A0" w:firstRow="1" w:lastRow="0" w:firstColumn="1" w:lastColumn="0" w:noHBand="0" w:noVBand="1"/>
      </w:tblPr>
      <w:tblGrid>
        <w:gridCol w:w="791"/>
        <w:gridCol w:w="790"/>
        <w:gridCol w:w="790"/>
        <w:gridCol w:w="791"/>
        <w:gridCol w:w="791"/>
        <w:gridCol w:w="791"/>
        <w:gridCol w:w="791"/>
        <w:gridCol w:w="747"/>
        <w:gridCol w:w="747"/>
        <w:gridCol w:w="763"/>
        <w:gridCol w:w="708"/>
        <w:gridCol w:w="316"/>
      </w:tblGrid>
      <w:tr w:rsidR="000D4D11" w:rsidRPr="00DB638E" w14:paraId="7B0A2639" w14:textId="77777777" w:rsidTr="00B62967">
        <w:tc>
          <w:tcPr>
            <w:tcW w:w="791" w:type="dxa"/>
            <w:shd w:val="clear" w:color="auto" w:fill="auto"/>
          </w:tcPr>
          <w:p w14:paraId="10DF8934" w14:textId="75AAAF8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32</w:t>
            </w:r>
            <w:r w:rsidR="005E7582" w:rsidRPr="00DB638E">
              <w:rPr>
                <w:rFonts w:ascii="Times New Roman" w:hAnsi="Times New Roman"/>
                <w:sz w:val="20"/>
                <w:szCs w:val="20"/>
              </w:rPr>
              <w:t>3</w:t>
            </w:r>
          </w:p>
        </w:tc>
        <w:tc>
          <w:tcPr>
            <w:tcW w:w="790" w:type="dxa"/>
            <w:shd w:val="clear" w:color="auto" w:fill="auto"/>
          </w:tcPr>
          <w:p w14:paraId="6A9F56D8"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280</w:t>
            </w:r>
          </w:p>
        </w:tc>
        <w:tc>
          <w:tcPr>
            <w:tcW w:w="790" w:type="dxa"/>
            <w:shd w:val="clear" w:color="auto" w:fill="auto"/>
          </w:tcPr>
          <w:p w14:paraId="7DD39D31"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236</w:t>
            </w:r>
          </w:p>
        </w:tc>
        <w:tc>
          <w:tcPr>
            <w:tcW w:w="791" w:type="dxa"/>
            <w:shd w:val="clear" w:color="auto" w:fill="auto"/>
          </w:tcPr>
          <w:p w14:paraId="3A426340"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201</w:t>
            </w:r>
          </w:p>
        </w:tc>
        <w:tc>
          <w:tcPr>
            <w:tcW w:w="791" w:type="dxa"/>
            <w:shd w:val="clear" w:color="auto" w:fill="auto"/>
          </w:tcPr>
          <w:p w14:paraId="1FE6713C"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166</w:t>
            </w:r>
          </w:p>
        </w:tc>
        <w:tc>
          <w:tcPr>
            <w:tcW w:w="791" w:type="dxa"/>
            <w:shd w:val="clear" w:color="auto" w:fill="auto"/>
          </w:tcPr>
          <w:p w14:paraId="6692BC3F"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145</w:t>
            </w:r>
          </w:p>
        </w:tc>
        <w:tc>
          <w:tcPr>
            <w:tcW w:w="791" w:type="dxa"/>
            <w:shd w:val="clear" w:color="auto" w:fill="auto"/>
          </w:tcPr>
          <w:p w14:paraId="264CB898"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102</w:t>
            </w:r>
          </w:p>
        </w:tc>
        <w:tc>
          <w:tcPr>
            <w:tcW w:w="747" w:type="dxa"/>
            <w:shd w:val="clear" w:color="auto" w:fill="auto"/>
          </w:tcPr>
          <w:p w14:paraId="685274C9"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56</w:t>
            </w:r>
          </w:p>
        </w:tc>
        <w:tc>
          <w:tcPr>
            <w:tcW w:w="747" w:type="dxa"/>
            <w:shd w:val="clear" w:color="auto" w:fill="auto"/>
          </w:tcPr>
          <w:p w14:paraId="3E572D7E"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26</w:t>
            </w:r>
          </w:p>
        </w:tc>
        <w:tc>
          <w:tcPr>
            <w:tcW w:w="763" w:type="dxa"/>
            <w:shd w:val="clear" w:color="auto" w:fill="auto"/>
          </w:tcPr>
          <w:p w14:paraId="317918E2"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5</w:t>
            </w:r>
          </w:p>
        </w:tc>
        <w:tc>
          <w:tcPr>
            <w:tcW w:w="708" w:type="dxa"/>
            <w:shd w:val="clear" w:color="auto" w:fill="auto"/>
          </w:tcPr>
          <w:p w14:paraId="0DBC7557"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2</w:t>
            </w:r>
          </w:p>
        </w:tc>
        <w:tc>
          <w:tcPr>
            <w:tcW w:w="289" w:type="dxa"/>
            <w:shd w:val="clear" w:color="auto" w:fill="auto"/>
          </w:tcPr>
          <w:p w14:paraId="11EE38EA"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0</w:t>
            </w:r>
          </w:p>
        </w:tc>
      </w:tr>
    </w:tbl>
    <w:p w14:paraId="4F6941E8" w14:textId="77777777" w:rsidR="000D4D11" w:rsidRPr="00DB638E" w:rsidRDefault="000D4D11" w:rsidP="00231A9A">
      <w:pPr>
        <w:spacing w:after="0" w:line="240" w:lineRule="auto"/>
        <w:jc w:val="both"/>
        <w:rPr>
          <w:rFonts w:ascii="Times New Roman" w:hAnsi="Times New Roman"/>
          <w:sz w:val="20"/>
          <w:szCs w:val="20"/>
        </w:rPr>
      </w:pPr>
      <w:r w:rsidRPr="00DB638E">
        <w:rPr>
          <w:rFonts w:ascii="Times New Roman" w:hAnsi="Times New Roman"/>
          <w:sz w:val="20"/>
          <w:szCs w:val="20"/>
        </w:rPr>
        <w:t>Сунитиниб</w:t>
      </w:r>
    </w:p>
    <w:tbl>
      <w:tblPr>
        <w:tblW w:w="0" w:type="auto"/>
        <w:tblLook w:val="04A0" w:firstRow="1" w:lastRow="0" w:firstColumn="1" w:lastColumn="0" w:noHBand="0" w:noVBand="1"/>
      </w:tblPr>
      <w:tblGrid>
        <w:gridCol w:w="758"/>
        <w:gridCol w:w="759"/>
        <w:gridCol w:w="888"/>
        <w:gridCol w:w="709"/>
        <w:gridCol w:w="850"/>
        <w:gridCol w:w="851"/>
        <w:gridCol w:w="709"/>
        <w:gridCol w:w="708"/>
        <w:gridCol w:w="851"/>
        <w:gridCol w:w="709"/>
        <w:gridCol w:w="708"/>
        <w:gridCol w:w="561"/>
      </w:tblGrid>
      <w:tr w:rsidR="000D4D11" w:rsidRPr="00DB638E" w14:paraId="0B5CD63E" w14:textId="77777777" w:rsidTr="00F80539">
        <w:tc>
          <w:tcPr>
            <w:tcW w:w="758" w:type="dxa"/>
            <w:shd w:val="clear" w:color="auto" w:fill="auto"/>
          </w:tcPr>
          <w:p w14:paraId="14123C06"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328</w:t>
            </w:r>
          </w:p>
        </w:tc>
        <w:tc>
          <w:tcPr>
            <w:tcW w:w="759" w:type="dxa"/>
            <w:shd w:val="clear" w:color="auto" w:fill="auto"/>
          </w:tcPr>
          <w:p w14:paraId="1A956462"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230</w:t>
            </w:r>
          </w:p>
        </w:tc>
        <w:tc>
          <w:tcPr>
            <w:tcW w:w="888" w:type="dxa"/>
            <w:shd w:val="clear" w:color="auto" w:fill="auto"/>
          </w:tcPr>
          <w:p w14:paraId="7038D1E6"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160</w:t>
            </w:r>
          </w:p>
        </w:tc>
        <w:tc>
          <w:tcPr>
            <w:tcW w:w="709" w:type="dxa"/>
            <w:shd w:val="clear" w:color="auto" w:fill="auto"/>
          </w:tcPr>
          <w:p w14:paraId="4ED95DA3"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122</w:t>
            </w:r>
          </w:p>
        </w:tc>
        <w:tc>
          <w:tcPr>
            <w:tcW w:w="850" w:type="dxa"/>
            <w:shd w:val="clear" w:color="auto" w:fill="auto"/>
          </w:tcPr>
          <w:p w14:paraId="03EA2470" w14:textId="428BAE12" w:rsidR="000D4D11" w:rsidRPr="00DB638E" w:rsidRDefault="00B62967" w:rsidP="003C21BB">
            <w:pPr>
              <w:spacing w:after="0" w:line="240" w:lineRule="auto"/>
              <w:jc w:val="both"/>
              <w:rPr>
                <w:rFonts w:ascii="Times New Roman" w:hAnsi="Times New Roman"/>
                <w:sz w:val="20"/>
                <w:szCs w:val="20"/>
              </w:rPr>
            </w:pPr>
            <w:r w:rsidRPr="00DB638E">
              <w:rPr>
                <w:rFonts w:ascii="Times New Roman" w:hAnsi="Times New Roman"/>
                <w:sz w:val="20"/>
                <w:szCs w:val="20"/>
              </w:rPr>
              <w:t xml:space="preserve">  </w:t>
            </w:r>
            <w:r w:rsidR="000D4D11" w:rsidRPr="00DB638E">
              <w:rPr>
                <w:rFonts w:ascii="Times New Roman" w:hAnsi="Times New Roman"/>
                <w:sz w:val="20"/>
                <w:szCs w:val="20"/>
              </w:rPr>
              <w:t>87</w:t>
            </w:r>
          </w:p>
        </w:tc>
        <w:tc>
          <w:tcPr>
            <w:tcW w:w="851" w:type="dxa"/>
            <w:shd w:val="clear" w:color="auto" w:fill="auto"/>
          </w:tcPr>
          <w:p w14:paraId="48849795" w14:textId="0FCECCB8" w:rsidR="000D4D11" w:rsidRPr="00DB638E" w:rsidRDefault="00B62967" w:rsidP="003C21BB">
            <w:pPr>
              <w:spacing w:after="0" w:line="240" w:lineRule="auto"/>
              <w:jc w:val="both"/>
              <w:rPr>
                <w:rFonts w:ascii="Times New Roman" w:hAnsi="Times New Roman"/>
                <w:sz w:val="20"/>
                <w:szCs w:val="20"/>
              </w:rPr>
            </w:pPr>
            <w:r w:rsidRPr="00DB638E">
              <w:rPr>
                <w:rFonts w:ascii="Times New Roman" w:hAnsi="Times New Roman"/>
                <w:sz w:val="20"/>
                <w:szCs w:val="20"/>
              </w:rPr>
              <w:t xml:space="preserve"> </w:t>
            </w:r>
            <w:r w:rsidR="000D4D11" w:rsidRPr="00DB638E">
              <w:rPr>
                <w:rFonts w:ascii="Times New Roman" w:hAnsi="Times New Roman"/>
                <w:sz w:val="20"/>
                <w:szCs w:val="20"/>
              </w:rPr>
              <w:t>61</w:t>
            </w:r>
          </w:p>
        </w:tc>
        <w:tc>
          <w:tcPr>
            <w:tcW w:w="709" w:type="dxa"/>
            <w:shd w:val="clear" w:color="auto" w:fill="auto"/>
          </w:tcPr>
          <w:p w14:paraId="21B80021"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37</w:t>
            </w:r>
          </w:p>
        </w:tc>
        <w:tc>
          <w:tcPr>
            <w:tcW w:w="708" w:type="dxa"/>
            <w:shd w:val="clear" w:color="auto" w:fill="auto"/>
          </w:tcPr>
          <w:p w14:paraId="2AE9B307"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17</w:t>
            </w:r>
          </w:p>
        </w:tc>
        <w:tc>
          <w:tcPr>
            <w:tcW w:w="851" w:type="dxa"/>
            <w:shd w:val="clear" w:color="auto" w:fill="auto"/>
          </w:tcPr>
          <w:p w14:paraId="6285E07E" w14:textId="405A4FF5" w:rsidR="000D4D11" w:rsidRPr="00DB638E" w:rsidRDefault="00B62967" w:rsidP="003C21BB">
            <w:pPr>
              <w:spacing w:after="0" w:line="240" w:lineRule="auto"/>
              <w:jc w:val="both"/>
              <w:rPr>
                <w:rFonts w:ascii="Times New Roman" w:hAnsi="Times New Roman"/>
                <w:sz w:val="20"/>
                <w:szCs w:val="20"/>
              </w:rPr>
            </w:pPr>
            <w:r w:rsidRPr="00DB638E">
              <w:rPr>
                <w:rFonts w:ascii="Times New Roman" w:hAnsi="Times New Roman"/>
                <w:sz w:val="20"/>
                <w:szCs w:val="20"/>
              </w:rPr>
              <w:t xml:space="preserve">  </w:t>
            </w:r>
            <w:r w:rsidR="000D4D11" w:rsidRPr="00DB638E">
              <w:rPr>
                <w:rFonts w:ascii="Times New Roman" w:hAnsi="Times New Roman"/>
                <w:sz w:val="20"/>
                <w:szCs w:val="20"/>
              </w:rPr>
              <w:t>7</w:t>
            </w:r>
          </w:p>
        </w:tc>
        <w:tc>
          <w:tcPr>
            <w:tcW w:w="709" w:type="dxa"/>
            <w:shd w:val="clear" w:color="auto" w:fill="auto"/>
          </w:tcPr>
          <w:p w14:paraId="45023084"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2</w:t>
            </w:r>
          </w:p>
        </w:tc>
        <w:tc>
          <w:tcPr>
            <w:tcW w:w="708" w:type="dxa"/>
            <w:shd w:val="clear" w:color="auto" w:fill="auto"/>
          </w:tcPr>
          <w:p w14:paraId="000C23A1"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1</w:t>
            </w:r>
          </w:p>
        </w:tc>
        <w:tc>
          <w:tcPr>
            <w:tcW w:w="561" w:type="dxa"/>
            <w:shd w:val="clear" w:color="auto" w:fill="auto"/>
          </w:tcPr>
          <w:p w14:paraId="6CBF8BA3" w14:textId="77777777" w:rsidR="000D4D11" w:rsidRPr="00DB638E" w:rsidRDefault="000D4D11" w:rsidP="003C21BB">
            <w:pPr>
              <w:spacing w:after="0" w:line="240" w:lineRule="auto"/>
              <w:jc w:val="both"/>
              <w:rPr>
                <w:rFonts w:ascii="Times New Roman" w:hAnsi="Times New Roman"/>
                <w:sz w:val="20"/>
                <w:szCs w:val="20"/>
              </w:rPr>
            </w:pPr>
            <w:r w:rsidRPr="00DB638E">
              <w:rPr>
                <w:rFonts w:ascii="Times New Roman" w:hAnsi="Times New Roman"/>
                <w:sz w:val="20"/>
                <w:szCs w:val="20"/>
              </w:rPr>
              <w:t>0</w:t>
            </w:r>
          </w:p>
        </w:tc>
      </w:tr>
    </w:tbl>
    <w:p w14:paraId="0393CA8A" w14:textId="77777777" w:rsidR="00231A9A" w:rsidRPr="00DB638E" w:rsidRDefault="00231A9A" w:rsidP="00231A9A">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1356"/>
        <w:gridCol w:w="7715"/>
      </w:tblGrid>
      <w:tr w:rsidR="000D4D11" w:rsidRPr="00DB638E" w14:paraId="46C4AEF0" w14:textId="77777777" w:rsidTr="003C21BB">
        <w:trPr>
          <w:trHeight w:val="643"/>
        </w:trPr>
        <w:tc>
          <w:tcPr>
            <w:tcW w:w="1101" w:type="dxa"/>
            <w:vMerge w:val="restart"/>
            <w:shd w:val="clear" w:color="auto" w:fill="auto"/>
          </w:tcPr>
          <w:p w14:paraId="57CDC495" w14:textId="19C8D370" w:rsidR="000D4D11" w:rsidRPr="00DB638E" w:rsidRDefault="00BA3091" w:rsidP="003C21BB">
            <w:pPr>
              <w:spacing w:after="0" w:line="240" w:lineRule="auto"/>
              <w:jc w:val="both"/>
              <w:rPr>
                <w:rFonts w:ascii="Times New Roman" w:hAnsi="Times New Roman"/>
                <w:sz w:val="24"/>
                <w:szCs w:val="24"/>
              </w:rPr>
            </w:pPr>
            <w:r w:rsidRPr="00DB638E">
              <w:rPr>
                <w:rFonts w:ascii="Times New Roman" w:hAnsi="Times New Roman"/>
                <w:noProof/>
                <w:sz w:val="24"/>
                <w:szCs w:val="24"/>
              </w:rPr>
              <w:drawing>
                <wp:anchor distT="0" distB="0" distL="114300" distR="114300" simplePos="0" relativeHeight="251659264" behindDoc="1" locked="0" layoutInCell="1" allowOverlap="1" wp14:anchorId="3270C7EA" wp14:editId="71FD3435">
                  <wp:simplePos x="0" y="0"/>
                  <wp:positionH relativeFrom="column">
                    <wp:posOffset>-3810</wp:posOffset>
                  </wp:positionH>
                  <wp:positionV relativeFrom="paragraph">
                    <wp:posOffset>-291465</wp:posOffset>
                  </wp:positionV>
                  <wp:extent cx="723900" cy="723900"/>
                  <wp:effectExtent l="0" t="0" r="0" b="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6" w:type="dxa"/>
            <w:shd w:val="clear" w:color="auto" w:fill="auto"/>
          </w:tcPr>
          <w:p w14:paraId="0BFB67AA" w14:textId="77777777" w:rsidR="000D4D11" w:rsidRPr="00DB638E" w:rsidRDefault="000D4D11" w:rsidP="003C21BB">
            <w:pPr>
              <w:spacing w:after="0" w:line="240" w:lineRule="auto"/>
              <w:jc w:val="both"/>
              <w:rPr>
                <w:rFonts w:ascii="Times New Roman" w:hAnsi="Times New Roman"/>
                <w:sz w:val="24"/>
                <w:szCs w:val="24"/>
              </w:rPr>
            </w:pPr>
            <w:r w:rsidRPr="00DB638E">
              <w:rPr>
                <w:rFonts w:ascii="Times New Roman" w:hAnsi="Times New Roman"/>
                <w:sz w:val="24"/>
                <w:szCs w:val="24"/>
              </w:rPr>
              <w:t>Ниволумаб + кабозантиниб (события: 175/323), средняя и 95.0% ДИ: 16.95 (12.58, 19.38)</w:t>
            </w:r>
          </w:p>
        </w:tc>
      </w:tr>
      <w:tr w:rsidR="000D4D11" w:rsidRPr="00DB638E" w14:paraId="7FBA0236" w14:textId="77777777" w:rsidTr="003C21BB">
        <w:trPr>
          <w:trHeight w:val="567"/>
        </w:trPr>
        <w:tc>
          <w:tcPr>
            <w:tcW w:w="1101" w:type="dxa"/>
            <w:vMerge/>
            <w:shd w:val="clear" w:color="auto" w:fill="auto"/>
          </w:tcPr>
          <w:p w14:paraId="02780049" w14:textId="77777777" w:rsidR="000D4D11" w:rsidRPr="00DB638E" w:rsidRDefault="000D4D11" w:rsidP="003C21BB">
            <w:pPr>
              <w:spacing w:after="0" w:line="240" w:lineRule="auto"/>
              <w:jc w:val="both"/>
              <w:rPr>
                <w:rFonts w:ascii="Times New Roman" w:hAnsi="Times New Roman"/>
                <w:sz w:val="24"/>
                <w:szCs w:val="24"/>
              </w:rPr>
            </w:pPr>
          </w:p>
        </w:tc>
        <w:tc>
          <w:tcPr>
            <w:tcW w:w="8186" w:type="dxa"/>
            <w:shd w:val="clear" w:color="auto" w:fill="auto"/>
          </w:tcPr>
          <w:p w14:paraId="50AFB4DA" w14:textId="77777777" w:rsidR="000D4D11" w:rsidRPr="00DB638E" w:rsidRDefault="000D4D11" w:rsidP="003C21BB">
            <w:pPr>
              <w:spacing w:after="0" w:line="240" w:lineRule="auto"/>
              <w:jc w:val="both"/>
              <w:rPr>
                <w:rFonts w:ascii="Times New Roman" w:hAnsi="Times New Roman"/>
                <w:sz w:val="24"/>
                <w:szCs w:val="24"/>
              </w:rPr>
            </w:pPr>
            <w:r w:rsidRPr="00DB638E">
              <w:rPr>
                <w:rFonts w:ascii="Times New Roman" w:hAnsi="Times New Roman"/>
                <w:sz w:val="24"/>
                <w:szCs w:val="24"/>
              </w:rPr>
              <w:t>Сунитиниб (события: 206/328), средняя и 95.0% ДИ: 8.31 (6.93, 9.69)</w:t>
            </w:r>
          </w:p>
        </w:tc>
      </w:tr>
    </w:tbl>
    <w:p w14:paraId="1DF3BB7E" w14:textId="77777777" w:rsidR="00231A9A" w:rsidRPr="00DB638E" w:rsidRDefault="00231A9A" w:rsidP="00231A9A">
      <w:pPr>
        <w:spacing w:after="0" w:line="240" w:lineRule="auto"/>
        <w:jc w:val="both"/>
        <w:rPr>
          <w:rFonts w:ascii="Times New Roman" w:hAnsi="Times New Roman"/>
          <w:sz w:val="24"/>
          <w:szCs w:val="24"/>
        </w:rPr>
      </w:pPr>
    </w:p>
    <w:p w14:paraId="5761BDF5" w14:textId="5F1B26CF" w:rsidR="00C40D7D" w:rsidRPr="00DB638E" w:rsidRDefault="00C40D7D" w:rsidP="00231A9A">
      <w:pPr>
        <w:spacing w:after="0" w:line="240" w:lineRule="auto"/>
        <w:jc w:val="both"/>
        <w:rPr>
          <w:rFonts w:ascii="Times New Roman" w:hAnsi="Times New Roman"/>
          <w:sz w:val="24"/>
          <w:szCs w:val="24"/>
        </w:rPr>
      </w:pPr>
    </w:p>
    <w:p w14:paraId="2FACC385" w14:textId="11D58383" w:rsidR="00B62967" w:rsidRPr="00DB638E" w:rsidRDefault="00B62967" w:rsidP="00231A9A">
      <w:pPr>
        <w:spacing w:after="0" w:line="240" w:lineRule="auto"/>
        <w:jc w:val="both"/>
        <w:rPr>
          <w:rFonts w:ascii="Times New Roman" w:hAnsi="Times New Roman"/>
          <w:sz w:val="24"/>
          <w:szCs w:val="24"/>
        </w:rPr>
      </w:pPr>
    </w:p>
    <w:p w14:paraId="4722E2ED" w14:textId="206869A1" w:rsidR="00B62967" w:rsidRPr="00DB638E" w:rsidRDefault="00B62967" w:rsidP="00231A9A">
      <w:pPr>
        <w:spacing w:after="0" w:line="240" w:lineRule="auto"/>
        <w:jc w:val="both"/>
        <w:rPr>
          <w:rFonts w:ascii="Times New Roman" w:hAnsi="Times New Roman"/>
          <w:sz w:val="24"/>
          <w:szCs w:val="24"/>
        </w:rPr>
      </w:pPr>
    </w:p>
    <w:p w14:paraId="60A8FC8F" w14:textId="4DEDE732" w:rsidR="00B62967" w:rsidRPr="00DB638E" w:rsidRDefault="00B62967" w:rsidP="00231A9A">
      <w:pPr>
        <w:spacing w:after="0" w:line="240" w:lineRule="auto"/>
        <w:jc w:val="both"/>
        <w:rPr>
          <w:rFonts w:ascii="Times New Roman" w:hAnsi="Times New Roman"/>
          <w:sz w:val="24"/>
          <w:szCs w:val="24"/>
        </w:rPr>
      </w:pPr>
    </w:p>
    <w:p w14:paraId="3ACB3C8F" w14:textId="21DF1A29" w:rsidR="00B62967" w:rsidRPr="00DB638E" w:rsidRDefault="00B62967" w:rsidP="00231A9A">
      <w:pPr>
        <w:spacing w:after="0" w:line="240" w:lineRule="auto"/>
        <w:jc w:val="both"/>
        <w:rPr>
          <w:rFonts w:ascii="Times New Roman" w:hAnsi="Times New Roman"/>
          <w:sz w:val="24"/>
          <w:szCs w:val="24"/>
        </w:rPr>
      </w:pPr>
    </w:p>
    <w:p w14:paraId="06FB5311" w14:textId="72AE612E" w:rsidR="00B62967" w:rsidRPr="00DB638E" w:rsidRDefault="00B62967" w:rsidP="00231A9A">
      <w:pPr>
        <w:spacing w:after="0" w:line="240" w:lineRule="auto"/>
        <w:jc w:val="both"/>
        <w:rPr>
          <w:rFonts w:ascii="Times New Roman" w:hAnsi="Times New Roman"/>
          <w:sz w:val="24"/>
          <w:szCs w:val="24"/>
        </w:rPr>
      </w:pPr>
    </w:p>
    <w:p w14:paraId="26D30FC8" w14:textId="0A113F0E" w:rsidR="00B62967" w:rsidRPr="00DB638E" w:rsidRDefault="00B62967" w:rsidP="00231A9A">
      <w:pPr>
        <w:spacing w:after="0" w:line="240" w:lineRule="auto"/>
        <w:jc w:val="both"/>
        <w:rPr>
          <w:rFonts w:ascii="Times New Roman" w:hAnsi="Times New Roman"/>
          <w:sz w:val="24"/>
          <w:szCs w:val="24"/>
        </w:rPr>
      </w:pPr>
    </w:p>
    <w:p w14:paraId="52ACB5EE" w14:textId="46CC4DFE" w:rsidR="00B62967" w:rsidRPr="00DB638E" w:rsidRDefault="00B62967" w:rsidP="00231A9A">
      <w:pPr>
        <w:spacing w:after="0" w:line="240" w:lineRule="auto"/>
        <w:jc w:val="both"/>
        <w:rPr>
          <w:rFonts w:ascii="Times New Roman" w:hAnsi="Times New Roman"/>
          <w:sz w:val="24"/>
          <w:szCs w:val="24"/>
        </w:rPr>
      </w:pPr>
    </w:p>
    <w:p w14:paraId="26D8DDA5" w14:textId="68BBCAA5" w:rsidR="00B62967" w:rsidRPr="00DB638E" w:rsidRDefault="00B62967" w:rsidP="00231A9A">
      <w:pPr>
        <w:spacing w:after="0" w:line="240" w:lineRule="auto"/>
        <w:jc w:val="both"/>
        <w:rPr>
          <w:rFonts w:ascii="Times New Roman" w:hAnsi="Times New Roman"/>
          <w:sz w:val="24"/>
          <w:szCs w:val="24"/>
        </w:rPr>
      </w:pPr>
    </w:p>
    <w:p w14:paraId="075A15A1" w14:textId="25FC745E" w:rsidR="00B62967" w:rsidRPr="00DB638E" w:rsidRDefault="00B62967" w:rsidP="00231A9A">
      <w:pPr>
        <w:spacing w:after="0" w:line="240" w:lineRule="auto"/>
        <w:jc w:val="both"/>
        <w:rPr>
          <w:rFonts w:ascii="Times New Roman" w:hAnsi="Times New Roman"/>
          <w:sz w:val="24"/>
          <w:szCs w:val="24"/>
        </w:rPr>
      </w:pPr>
    </w:p>
    <w:p w14:paraId="6108FA6F" w14:textId="307C6EAF" w:rsidR="00B62967" w:rsidRPr="00DB638E" w:rsidRDefault="00B62967" w:rsidP="00231A9A">
      <w:pPr>
        <w:spacing w:after="0" w:line="240" w:lineRule="auto"/>
        <w:jc w:val="both"/>
        <w:rPr>
          <w:rFonts w:ascii="Times New Roman" w:hAnsi="Times New Roman"/>
          <w:sz w:val="24"/>
          <w:szCs w:val="24"/>
        </w:rPr>
      </w:pPr>
    </w:p>
    <w:p w14:paraId="30AEFACE" w14:textId="43D87266" w:rsidR="00B62967" w:rsidRPr="00DB638E" w:rsidRDefault="00B62967" w:rsidP="00231A9A">
      <w:pPr>
        <w:spacing w:after="0" w:line="240" w:lineRule="auto"/>
        <w:jc w:val="both"/>
        <w:rPr>
          <w:rFonts w:ascii="Times New Roman" w:hAnsi="Times New Roman"/>
          <w:sz w:val="24"/>
          <w:szCs w:val="24"/>
        </w:rPr>
      </w:pPr>
    </w:p>
    <w:p w14:paraId="61A98A6B" w14:textId="40302322" w:rsidR="00B62967" w:rsidRPr="00DB638E" w:rsidRDefault="00B62967" w:rsidP="00231A9A">
      <w:pPr>
        <w:spacing w:after="0" w:line="240" w:lineRule="auto"/>
        <w:jc w:val="both"/>
        <w:rPr>
          <w:rFonts w:ascii="Times New Roman" w:hAnsi="Times New Roman"/>
          <w:sz w:val="24"/>
          <w:szCs w:val="24"/>
        </w:rPr>
      </w:pPr>
    </w:p>
    <w:p w14:paraId="11C09749" w14:textId="24788D62" w:rsidR="00B62967" w:rsidRPr="00DB638E" w:rsidRDefault="00B62967" w:rsidP="00231A9A">
      <w:pPr>
        <w:spacing w:after="0" w:line="240" w:lineRule="auto"/>
        <w:jc w:val="both"/>
        <w:rPr>
          <w:rFonts w:ascii="Times New Roman" w:hAnsi="Times New Roman"/>
          <w:sz w:val="24"/>
          <w:szCs w:val="24"/>
        </w:rPr>
      </w:pPr>
    </w:p>
    <w:p w14:paraId="3FD4B57A" w14:textId="5E42F118" w:rsidR="00B62967" w:rsidRPr="00DB638E" w:rsidRDefault="00B62967" w:rsidP="00231A9A">
      <w:pPr>
        <w:spacing w:after="0" w:line="240" w:lineRule="auto"/>
        <w:jc w:val="both"/>
        <w:rPr>
          <w:rFonts w:ascii="Times New Roman" w:hAnsi="Times New Roman"/>
          <w:sz w:val="24"/>
          <w:szCs w:val="24"/>
        </w:rPr>
      </w:pPr>
    </w:p>
    <w:p w14:paraId="49281583" w14:textId="21CE1CBB" w:rsidR="00B62967" w:rsidRPr="00DB638E" w:rsidRDefault="00B62967" w:rsidP="00231A9A">
      <w:pPr>
        <w:spacing w:after="0" w:line="240" w:lineRule="auto"/>
        <w:jc w:val="both"/>
        <w:rPr>
          <w:rFonts w:ascii="Times New Roman" w:hAnsi="Times New Roman"/>
          <w:sz w:val="24"/>
          <w:szCs w:val="24"/>
        </w:rPr>
      </w:pPr>
    </w:p>
    <w:p w14:paraId="7B30F91D" w14:textId="20D1BCCE" w:rsidR="00B62967" w:rsidRPr="00DB638E" w:rsidRDefault="00B62967" w:rsidP="00231A9A">
      <w:pPr>
        <w:spacing w:after="0" w:line="240" w:lineRule="auto"/>
        <w:jc w:val="both"/>
        <w:rPr>
          <w:rFonts w:ascii="Times New Roman" w:hAnsi="Times New Roman"/>
          <w:sz w:val="24"/>
          <w:szCs w:val="24"/>
        </w:rPr>
      </w:pPr>
    </w:p>
    <w:p w14:paraId="2944FAA3" w14:textId="565003D9" w:rsidR="00B62967" w:rsidRPr="00DB638E" w:rsidRDefault="00B62967" w:rsidP="00231A9A">
      <w:pPr>
        <w:spacing w:after="0" w:line="240" w:lineRule="auto"/>
        <w:jc w:val="both"/>
        <w:rPr>
          <w:rFonts w:ascii="Times New Roman" w:hAnsi="Times New Roman"/>
          <w:sz w:val="24"/>
          <w:szCs w:val="24"/>
        </w:rPr>
      </w:pPr>
    </w:p>
    <w:p w14:paraId="5BC14AED" w14:textId="77777777" w:rsidR="00231A9A" w:rsidRPr="00DB638E" w:rsidRDefault="00C40D7D" w:rsidP="00231A9A">
      <w:pPr>
        <w:spacing w:after="0" w:line="240" w:lineRule="auto"/>
        <w:jc w:val="both"/>
        <w:rPr>
          <w:rFonts w:ascii="Times New Roman" w:hAnsi="Times New Roman"/>
          <w:b/>
          <w:bCs/>
          <w:sz w:val="24"/>
          <w:szCs w:val="24"/>
        </w:rPr>
      </w:pPr>
      <w:r w:rsidRPr="00DB638E">
        <w:rPr>
          <w:rFonts w:ascii="Times New Roman" w:hAnsi="Times New Roman"/>
          <w:b/>
          <w:bCs/>
          <w:sz w:val="24"/>
          <w:szCs w:val="24"/>
        </w:rPr>
        <w:lastRenderedPageBreak/>
        <w:t>Рис.</w:t>
      </w:r>
      <w:r w:rsidR="004A4981" w:rsidRPr="00DB638E">
        <w:rPr>
          <w:rFonts w:ascii="Times New Roman" w:hAnsi="Times New Roman"/>
          <w:b/>
          <w:bCs/>
          <w:sz w:val="24"/>
          <w:szCs w:val="24"/>
        </w:rPr>
        <w:t xml:space="preserve"> </w:t>
      </w:r>
      <w:r w:rsidRPr="00DB638E">
        <w:rPr>
          <w:rFonts w:ascii="Times New Roman" w:hAnsi="Times New Roman"/>
          <w:b/>
          <w:bCs/>
          <w:sz w:val="24"/>
          <w:szCs w:val="24"/>
        </w:rPr>
        <w:t>5. Кривая Каплана-Мейера ОВ (общей выживаемости) (CA2099ER)</w:t>
      </w:r>
    </w:p>
    <w:bookmarkEnd w:id="133"/>
    <w:p w14:paraId="216447A8" w14:textId="77777777" w:rsidR="00020025" w:rsidRPr="00DB638E" w:rsidRDefault="00020025" w:rsidP="00231A9A">
      <w:pPr>
        <w:spacing w:after="0" w:line="240" w:lineRule="auto"/>
        <w:jc w:val="both"/>
        <w:rPr>
          <w:rFonts w:ascii="Times New Roman" w:hAnsi="Times New Roman"/>
          <w:sz w:val="24"/>
          <w:szCs w:val="24"/>
        </w:rPr>
      </w:pPr>
    </w:p>
    <w:p w14:paraId="1F1DBE8B" w14:textId="76778542" w:rsidR="00020025" w:rsidRPr="00DB638E" w:rsidRDefault="00BA3091" w:rsidP="00231A9A">
      <w:pPr>
        <w:spacing w:after="0" w:line="240" w:lineRule="auto"/>
        <w:jc w:val="both"/>
        <w:rPr>
          <w:rFonts w:ascii="Times New Roman" w:hAnsi="Times New Roman"/>
          <w:sz w:val="24"/>
          <w:szCs w:val="24"/>
        </w:rPr>
      </w:pPr>
      <w:r w:rsidRPr="00DB638E">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BB2285C" wp14:editId="4AC158C6">
                <wp:simplePos x="0" y="0"/>
                <wp:positionH relativeFrom="column">
                  <wp:posOffset>-1485900</wp:posOffset>
                </wp:positionH>
                <wp:positionV relativeFrom="paragraph">
                  <wp:posOffset>1964055</wp:posOffset>
                </wp:positionV>
                <wp:extent cx="2674620" cy="226060"/>
                <wp:effectExtent l="0" t="4445" r="3175" b="0"/>
                <wp:wrapNone/>
                <wp:docPr id="15"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B51ED" w14:textId="77777777" w:rsidR="00C40D7D" w:rsidRPr="00A4242D" w:rsidRDefault="00C40D7D" w:rsidP="00C40D7D">
                            <w:pPr>
                              <w:jc w:val="center"/>
                              <w:rPr>
                                <w:rFonts w:ascii="Arial" w:hAnsi="Arial" w:cs="Arial"/>
                                <w:b/>
                                <w:sz w:val="20"/>
                              </w:rPr>
                            </w:pPr>
                            <w:r>
                              <w:rPr>
                                <w:rFonts w:ascii="Arial" w:hAnsi="Arial" w:cs="Arial"/>
                                <w:b/>
                                <w:sz w:val="20"/>
                              </w:rPr>
                              <w:t>Вероятность выживаемости</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285C" id="_x0000_s1033" type="#_x0000_t202" style="position:absolute;left:0;text-align:left;margin-left:-117pt;margin-top:154.65pt;width:210.6pt;height:17.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" filled="f" stroked="f">
                <v:textbox style="layout-flow:vertical;mso-layout-flow-alt:bottom-to-top">
                  <w:txbxContent>
                    <w:p w14:paraId="334B51ED" w14:textId="77777777" w:rsidR="00C40D7D" w:rsidRPr="00A4242D" w:rsidRDefault="00C40D7D" w:rsidP="00C40D7D">
                      <w:pPr>
                        <w:jc w:val="center"/>
                        <w:rPr>
                          <w:rFonts w:ascii="Arial" w:hAnsi="Arial" w:cs="Arial"/>
                          <w:b/>
                          <w:sz w:val="20"/>
                        </w:rPr>
                      </w:pPr>
                      <w:r>
                        <w:rPr>
                          <w:rFonts w:ascii="Arial" w:hAnsi="Arial" w:cs="Arial"/>
                          <w:b/>
                          <w:sz w:val="20"/>
                        </w:rPr>
                        <w:t>Вероятность выживаемости</w:t>
                      </w:r>
                    </w:p>
                  </w:txbxContent>
                </v:textbox>
              </v:shape>
            </w:pict>
          </mc:Fallback>
        </mc:AlternateContent>
      </w:r>
      <w:r w:rsidRPr="00DB638E">
        <w:rPr>
          <w:rFonts w:ascii="Times New Roman" w:hAnsi="Times New Roman"/>
          <w:noProof/>
          <w:sz w:val="24"/>
          <w:szCs w:val="24"/>
        </w:rPr>
        <w:drawing>
          <wp:inline distT="0" distB="0" distL="0" distR="0" wp14:anchorId="3951D049" wp14:editId="0ED7D0C6">
            <wp:extent cx="5600700" cy="38023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0" cy="3802380"/>
                    </a:xfrm>
                    <a:prstGeom prst="rect">
                      <a:avLst/>
                    </a:prstGeom>
                    <a:noFill/>
                    <a:ln>
                      <a:noFill/>
                    </a:ln>
                  </pic:spPr>
                </pic:pic>
              </a:graphicData>
            </a:graphic>
          </wp:inline>
        </w:drawing>
      </w:r>
    </w:p>
    <w:p w14:paraId="53238B0C" w14:textId="77777777" w:rsidR="000D4D11" w:rsidRPr="00DB638E" w:rsidRDefault="00C40D7D" w:rsidP="00C40D7D">
      <w:pPr>
        <w:spacing w:after="0" w:line="240" w:lineRule="auto"/>
        <w:jc w:val="center"/>
        <w:rPr>
          <w:rFonts w:ascii="Times New Roman" w:hAnsi="Times New Roman"/>
          <w:b/>
          <w:bCs/>
          <w:sz w:val="20"/>
          <w:szCs w:val="20"/>
        </w:rPr>
      </w:pPr>
      <w:bookmarkStart w:id="134" w:name="_Hlk75287440"/>
      <w:r w:rsidRPr="00DB638E">
        <w:rPr>
          <w:rFonts w:ascii="Times New Roman" w:hAnsi="Times New Roman"/>
          <w:b/>
          <w:bCs/>
          <w:sz w:val="20"/>
          <w:szCs w:val="20"/>
        </w:rPr>
        <w:t>Общая выживаемость (месяцы)</w:t>
      </w:r>
    </w:p>
    <w:p w14:paraId="159A402D" w14:textId="77777777" w:rsidR="00C40D7D" w:rsidRPr="00DB638E" w:rsidRDefault="00C40D7D" w:rsidP="00C40D7D">
      <w:pPr>
        <w:spacing w:after="0" w:line="240" w:lineRule="auto"/>
        <w:rPr>
          <w:rFonts w:ascii="Times New Roman" w:hAnsi="Times New Roman"/>
          <w:sz w:val="20"/>
          <w:szCs w:val="20"/>
        </w:rPr>
      </w:pPr>
    </w:p>
    <w:p w14:paraId="599CB8A4" w14:textId="77777777" w:rsidR="00C40D7D" w:rsidRPr="00DB638E" w:rsidRDefault="00C40D7D" w:rsidP="00C40D7D">
      <w:pPr>
        <w:spacing w:after="0" w:line="240" w:lineRule="auto"/>
        <w:jc w:val="both"/>
        <w:rPr>
          <w:rFonts w:ascii="Times New Roman" w:hAnsi="Times New Roman"/>
          <w:sz w:val="20"/>
          <w:szCs w:val="20"/>
        </w:rPr>
      </w:pPr>
      <w:r w:rsidRPr="00DB638E">
        <w:rPr>
          <w:rFonts w:ascii="Times New Roman" w:hAnsi="Times New Roman"/>
          <w:sz w:val="20"/>
          <w:szCs w:val="20"/>
        </w:rPr>
        <w:t>Число субъектов в риске</w:t>
      </w:r>
    </w:p>
    <w:p w14:paraId="6C64518E" w14:textId="77777777" w:rsidR="00C40D7D" w:rsidRPr="00DB638E" w:rsidRDefault="00C40D7D" w:rsidP="00C40D7D">
      <w:pPr>
        <w:spacing w:after="0" w:line="240" w:lineRule="auto"/>
        <w:jc w:val="both"/>
        <w:rPr>
          <w:rFonts w:ascii="Times New Roman" w:hAnsi="Times New Roman"/>
          <w:sz w:val="20"/>
          <w:szCs w:val="20"/>
        </w:rPr>
      </w:pPr>
      <w:r w:rsidRPr="00DB638E">
        <w:rPr>
          <w:rFonts w:ascii="Times New Roman" w:hAnsi="Times New Roman"/>
          <w:sz w:val="20"/>
          <w:szCs w:val="20"/>
        </w:rPr>
        <w:t>Ниволумаб + кабозантиниб</w:t>
      </w:r>
    </w:p>
    <w:tbl>
      <w:tblPr>
        <w:tblW w:w="0" w:type="auto"/>
        <w:tblLook w:val="04A0" w:firstRow="1" w:lastRow="0" w:firstColumn="1" w:lastColumn="0" w:noHBand="0" w:noVBand="1"/>
      </w:tblPr>
      <w:tblGrid>
        <w:gridCol w:w="783"/>
        <w:gridCol w:w="783"/>
        <w:gridCol w:w="785"/>
        <w:gridCol w:w="786"/>
        <w:gridCol w:w="786"/>
        <w:gridCol w:w="786"/>
        <w:gridCol w:w="786"/>
        <w:gridCol w:w="786"/>
        <w:gridCol w:w="739"/>
        <w:gridCol w:w="739"/>
        <w:gridCol w:w="659"/>
        <w:gridCol w:w="653"/>
      </w:tblGrid>
      <w:tr w:rsidR="00C40D7D" w:rsidRPr="00DB638E" w14:paraId="45F9AC12" w14:textId="77777777" w:rsidTr="003C21BB">
        <w:tc>
          <w:tcPr>
            <w:tcW w:w="800" w:type="dxa"/>
            <w:shd w:val="clear" w:color="auto" w:fill="auto"/>
          </w:tcPr>
          <w:p w14:paraId="5F999697"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323</w:t>
            </w:r>
          </w:p>
        </w:tc>
        <w:tc>
          <w:tcPr>
            <w:tcW w:w="800" w:type="dxa"/>
            <w:shd w:val="clear" w:color="auto" w:fill="auto"/>
          </w:tcPr>
          <w:p w14:paraId="22330F2D"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308</w:t>
            </w:r>
          </w:p>
        </w:tc>
        <w:tc>
          <w:tcPr>
            <w:tcW w:w="802" w:type="dxa"/>
            <w:shd w:val="clear" w:color="auto" w:fill="auto"/>
          </w:tcPr>
          <w:p w14:paraId="1BD9EF8A"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295</w:t>
            </w:r>
          </w:p>
        </w:tc>
        <w:tc>
          <w:tcPr>
            <w:tcW w:w="803" w:type="dxa"/>
            <w:shd w:val="clear" w:color="auto" w:fill="auto"/>
          </w:tcPr>
          <w:p w14:paraId="12C751D5"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283</w:t>
            </w:r>
          </w:p>
        </w:tc>
        <w:tc>
          <w:tcPr>
            <w:tcW w:w="803" w:type="dxa"/>
            <w:shd w:val="clear" w:color="auto" w:fill="auto"/>
          </w:tcPr>
          <w:p w14:paraId="039B23E9"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269</w:t>
            </w:r>
          </w:p>
        </w:tc>
        <w:tc>
          <w:tcPr>
            <w:tcW w:w="803" w:type="dxa"/>
            <w:shd w:val="clear" w:color="auto" w:fill="auto"/>
          </w:tcPr>
          <w:p w14:paraId="71BD58B7"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255</w:t>
            </w:r>
          </w:p>
        </w:tc>
        <w:tc>
          <w:tcPr>
            <w:tcW w:w="803" w:type="dxa"/>
            <w:shd w:val="clear" w:color="auto" w:fill="auto"/>
          </w:tcPr>
          <w:p w14:paraId="080151BB"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220</w:t>
            </w:r>
          </w:p>
        </w:tc>
        <w:tc>
          <w:tcPr>
            <w:tcW w:w="803" w:type="dxa"/>
            <w:shd w:val="clear" w:color="auto" w:fill="auto"/>
          </w:tcPr>
          <w:p w14:paraId="35A9201E"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147</w:t>
            </w:r>
          </w:p>
        </w:tc>
        <w:tc>
          <w:tcPr>
            <w:tcW w:w="760" w:type="dxa"/>
            <w:shd w:val="clear" w:color="auto" w:fill="auto"/>
          </w:tcPr>
          <w:p w14:paraId="3441E6AE"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84</w:t>
            </w:r>
          </w:p>
        </w:tc>
        <w:tc>
          <w:tcPr>
            <w:tcW w:w="760" w:type="dxa"/>
            <w:shd w:val="clear" w:color="auto" w:fill="auto"/>
          </w:tcPr>
          <w:p w14:paraId="5F3B7B7F"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40</w:t>
            </w:r>
          </w:p>
        </w:tc>
        <w:tc>
          <w:tcPr>
            <w:tcW w:w="675" w:type="dxa"/>
            <w:shd w:val="clear" w:color="auto" w:fill="auto"/>
          </w:tcPr>
          <w:p w14:paraId="07FDB29F"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10</w:t>
            </w:r>
          </w:p>
        </w:tc>
        <w:tc>
          <w:tcPr>
            <w:tcW w:w="675" w:type="dxa"/>
            <w:shd w:val="clear" w:color="auto" w:fill="auto"/>
          </w:tcPr>
          <w:p w14:paraId="2ABA3E6D"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0</w:t>
            </w:r>
          </w:p>
        </w:tc>
      </w:tr>
    </w:tbl>
    <w:p w14:paraId="164B0B87" w14:textId="77777777" w:rsidR="00C40D7D" w:rsidRPr="00DB638E" w:rsidRDefault="00C40D7D" w:rsidP="00C40D7D">
      <w:pPr>
        <w:spacing w:after="0" w:line="240" w:lineRule="auto"/>
        <w:jc w:val="both"/>
        <w:rPr>
          <w:rFonts w:ascii="Times New Roman" w:hAnsi="Times New Roman"/>
          <w:sz w:val="20"/>
          <w:szCs w:val="20"/>
        </w:rPr>
      </w:pPr>
      <w:r w:rsidRPr="00DB638E">
        <w:rPr>
          <w:rFonts w:ascii="Times New Roman" w:hAnsi="Times New Roman"/>
          <w:sz w:val="20"/>
          <w:szCs w:val="20"/>
        </w:rPr>
        <w:t>Сунитиниб</w:t>
      </w:r>
    </w:p>
    <w:tbl>
      <w:tblPr>
        <w:tblW w:w="0" w:type="auto"/>
        <w:tblLook w:val="04A0" w:firstRow="1" w:lastRow="0" w:firstColumn="1" w:lastColumn="0" w:noHBand="0" w:noVBand="1"/>
      </w:tblPr>
      <w:tblGrid>
        <w:gridCol w:w="784"/>
        <w:gridCol w:w="784"/>
        <w:gridCol w:w="785"/>
        <w:gridCol w:w="786"/>
        <w:gridCol w:w="786"/>
        <w:gridCol w:w="786"/>
        <w:gridCol w:w="786"/>
        <w:gridCol w:w="786"/>
        <w:gridCol w:w="740"/>
        <w:gridCol w:w="740"/>
        <w:gridCol w:w="654"/>
        <w:gridCol w:w="654"/>
      </w:tblGrid>
      <w:tr w:rsidR="00C40D7D" w:rsidRPr="00DB638E" w14:paraId="7EAD1F4D" w14:textId="77777777" w:rsidTr="003C21BB">
        <w:tc>
          <w:tcPr>
            <w:tcW w:w="800" w:type="dxa"/>
            <w:shd w:val="clear" w:color="auto" w:fill="auto"/>
          </w:tcPr>
          <w:p w14:paraId="5805FD7A"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328</w:t>
            </w:r>
          </w:p>
        </w:tc>
        <w:tc>
          <w:tcPr>
            <w:tcW w:w="800" w:type="dxa"/>
            <w:shd w:val="clear" w:color="auto" w:fill="auto"/>
          </w:tcPr>
          <w:p w14:paraId="78DA1D70"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295</w:t>
            </w:r>
          </w:p>
        </w:tc>
        <w:tc>
          <w:tcPr>
            <w:tcW w:w="802" w:type="dxa"/>
            <w:shd w:val="clear" w:color="auto" w:fill="auto"/>
          </w:tcPr>
          <w:p w14:paraId="62A85602"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272</w:t>
            </w:r>
          </w:p>
        </w:tc>
        <w:tc>
          <w:tcPr>
            <w:tcW w:w="803" w:type="dxa"/>
            <w:shd w:val="clear" w:color="auto" w:fill="auto"/>
          </w:tcPr>
          <w:p w14:paraId="6EF88289"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254</w:t>
            </w:r>
          </w:p>
        </w:tc>
        <w:tc>
          <w:tcPr>
            <w:tcW w:w="803" w:type="dxa"/>
            <w:shd w:val="clear" w:color="auto" w:fill="auto"/>
          </w:tcPr>
          <w:p w14:paraId="4EB4AC9E"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236</w:t>
            </w:r>
          </w:p>
        </w:tc>
        <w:tc>
          <w:tcPr>
            <w:tcW w:w="803" w:type="dxa"/>
            <w:shd w:val="clear" w:color="auto" w:fill="auto"/>
          </w:tcPr>
          <w:p w14:paraId="044F0424"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217</w:t>
            </w:r>
          </w:p>
        </w:tc>
        <w:tc>
          <w:tcPr>
            <w:tcW w:w="803" w:type="dxa"/>
            <w:shd w:val="clear" w:color="auto" w:fill="auto"/>
          </w:tcPr>
          <w:p w14:paraId="665E8B47"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189</w:t>
            </w:r>
          </w:p>
        </w:tc>
        <w:tc>
          <w:tcPr>
            <w:tcW w:w="803" w:type="dxa"/>
            <w:shd w:val="clear" w:color="auto" w:fill="auto"/>
          </w:tcPr>
          <w:p w14:paraId="54121775"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118</w:t>
            </w:r>
          </w:p>
        </w:tc>
        <w:tc>
          <w:tcPr>
            <w:tcW w:w="760" w:type="dxa"/>
            <w:shd w:val="clear" w:color="auto" w:fill="auto"/>
          </w:tcPr>
          <w:p w14:paraId="551AB639"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62</w:t>
            </w:r>
          </w:p>
        </w:tc>
        <w:tc>
          <w:tcPr>
            <w:tcW w:w="760" w:type="dxa"/>
            <w:shd w:val="clear" w:color="auto" w:fill="auto"/>
          </w:tcPr>
          <w:p w14:paraId="7CCD96EC"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22</w:t>
            </w:r>
          </w:p>
        </w:tc>
        <w:tc>
          <w:tcPr>
            <w:tcW w:w="675" w:type="dxa"/>
            <w:shd w:val="clear" w:color="auto" w:fill="auto"/>
          </w:tcPr>
          <w:p w14:paraId="7623E35A"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4</w:t>
            </w:r>
          </w:p>
        </w:tc>
        <w:tc>
          <w:tcPr>
            <w:tcW w:w="675" w:type="dxa"/>
            <w:shd w:val="clear" w:color="auto" w:fill="auto"/>
          </w:tcPr>
          <w:p w14:paraId="59D5EB34" w14:textId="77777777" w:rsidR="00C40D7D" w:rsidRPr="00DB638E" w:rsidRDefault="00C40D7D" w:rsidP="003C21BB">
            <w:pPr>
              <w:spacing w:after="0" w:line="240" w:lineRule="auto"/>
              <w:jc w:val="both"/>
              <w:rPr>
                <w:rFonts w:ascii="Times New Roman" w:hAnsi="Times New Roman"/>
                <w:sz w:val="20"/>
                <w:szCs w:val="20"/>
              </w:rPr>
            </w:pPr>
            <w:r w:rsidRPr="00DB638E">
              <w:rPr>
                <w:rFonts w:ascii="Times New Roman" w:hAnsi="Times New Roman"/>
                <w:sz w:val="20"/>
                <w:szCs w:val="20"/>
              </w:rPr>
              <w:t>0</w:t>
            </w:r>
          </w:p>
        </w:tc>
      </w:tr>
    </w:tbl>
    <w:p w14:paraId="5296BF03" w14:textId="77777777" w:rsidR="00C40D7D" w:rsidRPr="00DB638E" w:rsidRDefault="00C40D7D" w:rsidP="00C40D7D">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1356"/>
        <w:gridCol w:w="7715"/>
      </w:tblGrid>
      <w:tr w:rsidR="00C40D7D" w:rsidRPr="00DB638E" w14:paraId="4FFE4AD8" w14:textId="77777777" w:rsidTr="003C21BB">
        <w:trPr>
          <w:trHeight w:val="643"/>
        </w:trPr>
        <w:tc>
          <w:tcPr>
            <w:tcW w:w="1101" w:type="dxa"/>
            <w:vMerge w:val="restart"/>
            <w:shd w:val="clear" w:color="auto" w:fill="auto"/>
          </w:tcPr>
          <w:p w14:paraId="7C2AC19C" w14:textId="02F4A13A" w:rsidR="00C40D7D" w:rsidRPr="00DB638E" w:rsidRDefault="00BA3091" w:rsidP="003C21BB">
            <w:pPr>
              <w:spacing w:after="0" w:line="240" w:lineRule="auto"/>
              <w:jc w:val="both"/>
              <w:rPr>
                <w:rFonts w:ascii="Times New Roman" w:hAnsi="Times New Roman"/>
                <w:sz w:val="24"/>
                <w:szCs w:val="24"/>
              </w:rPr>
            </w:pPr>
            <w:r w:rsidRPr="00DB638E">
              <w:rPr>
                <w:rFonts w:ascii="Times New Roman" w:hAnsi="Times New Roman"/>
                <w:noProof/>
                <w:sz w:val="24"/>
                <w:szCs w:val="24"/>
              </w:rPr>
              <w:drawing>
                <wp:anchor distT="0" distB="0" distL="114300" distR="114300" simplePos="0" relativeHeight="251661312" behindDoc="1" locked="0" layoutInCell="1" allowOverlap="1" wp14:anchorId="6CC32EC8" wp14:editId="3DB279BA">
                  <wp:simplePos x="0" y="0"/>
                  <wp:positionH relativeFrom="column">
                    <wp:posOffset>-3810</wp:posOffset>
                  </wp:positionH>
                  <wp:positionV relativeFrom="paragraph">
                    <wp:posOffset>-291465</wp:posOffset>
                  </wp:positionV>
                  <wp:extent cx="723900" cy="723900"/>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6" w:type="dxa"/>
            <w:shd w:val="clear" w:color="auto" w:fill="auto"/>
          </w:tcPr>
          <w:p w14:paraId="0F52709D" w14:textId="77777777" w:rsidR="00C40D7D" w:rsidRPr="00DB638E" w:rsidRDefault="00C40D7D" w:rsidP="003C21BB">
            <w:pPr>
              <w:spacing w:after="0" w:line="240" w:lineRule="auto"/>
              <w:jc w:val="both"/>
              <w:rPr>
                <w:rFonts w:ascii="Times New Roman" w:hAnsi="Times New Roman"/>
                <w:sz w:val="24"/>
                <w:szCs w:val="24"/>
              </w:rPr>
            </w:pPr>
          </w:p>
          <w:p w14:paraId="68B70316" w14:textId="77777777" w:rsidR="00C40D7D" w:rsidRPr="00DB638E" w:rsidRDefault="00C40D7D" w:rsidP="003C21BB">
            <w:pPr>
              <w:spacing w:after="0" w:line="240" w:lineRule="auto"/>
              <w:jc w:val="both"/>
              <w:rPr>
                <w:rFonts w:ascii="Times New Roman" w:hAnsi="Times New Roman"/>
                <w:sz w:val="24"/>
                <w:szCs w:val="24"/>
              </w:rPr>
            </w:pPr>
            <w:r w:rsidRPr="00DB638E">
              <w:rPr>
                <w:rFonts w:ascii="Times New Roman" w:hAnsi="Times New Roman"/>
                <w:sz w:val="24"/>
                <w:szCs w:val="24"/>
              </w:rPr>
              <w:t xml:space="preserve">Ниволумаб + кабозантиниб (события: 86/323), средняя и 95.0% ДИ: </w:t>
            </w:r>
            <w:r w:rsidRPr="00DB638E">
              <w:rPr>
                <w:rFonts w:ascii="Times New Roman" w:hAnsi="Times New Roman"/>
                <w:sz w:val="24"/>
                <w:szCs w:val="24"/>
                <w:lang w:val="en-US"/>
              </w:rPr>
              <w:t>NE</w:t>
            </w:r>
          </w:p>
        </w:tc>
      </w:tr>
      <w:tr w:rsidR="00C40D7D" w:rsidRPr="00DB638E" w14:paraId="0DF869AE" w14:textId="77777777" w:rsidTr="003C21BB">
        <w:trPr>
          <w:trHeight w:val="567"/>
        </w:trPr>
        <w:tc>
          <w:tcPr>
            <w:tcW w:w="1101" w:type="dxa"/>
            <w:vMerge/>
            <w:shd w:val="clear" w:color="auto" w:fill="auto"/>
          </w:tcPr>
          <w:p w14:paraId="698A10DD" w14:textId="77777777" w:rsidR="00C40D7D" w:rsidRPr="00DB638E" w:rsidRDefault="00C40D7D" w:rsidP="003C21BB">
            <w:pPr>
              <w:spacing w:after="0" w:line="240" w:lineRule="auto"/>
              <w:jc w:val="both"/>
              <w:rPr>
                <w:rFonts w:ascii="Times New Roman" w:hAnsi="Times New Roman"/>
                <w:sz w:val="24"/>
                <w:szCs w:val="24"/>
              </w:rPr>
            </w:pPr>
          </w:p>
        </w:tc>
        <w:tc>
          <w:tcPr>
            <w:tcW w:w="8186" w:type="dxa"/>
            <w:shd w:val="clear" w:color="auto" w:fill="auto"/>
          </w:tcPr>
          <w:p w14:paraId="70B5EAAA" w14:textId="77777777" w:rsidR="00C40D7D" w:rsidRPr="00DB638E" w:rsidRDefault="00C40D7D" w:rsidP="003C21BB">
            <w:pPr>
              <w:spacing w:after="0" w:line="240" w:lineRule="auto"/>
              <w:jc w:val="both"/>
              <w:rPr>
                <w:rFonts w:ascii="Times New Roman" w:hAnsi="Times New Roman"/>
                <w:sz w:val="24"/>
                <w:szCs w:val="24"/>
              </w:rPr>
            </w:pPr>
            <w:r w:rsidRPr="00DB638E">
              <w:rPr>
                <w:rFonts w:ascii="Times New Roman" w:hAnsi="Times New Roman"/>
                <w:sz w:val="24"/>
                <w:szCs w:val="24"/>
              </w:rPr>
              <w:t xml:space="preserve">Сунитиниб (события: 116/328), средняя и 95.0% ДИ: 29.47 (28.35, </w:t>
            </w:r>
            <w:r w:rsidRPr="00DB638E">
              <w:rPr>
                <w:rFonts w:ascii="Times New Roman" w:hAnsi="Times New Roman"/>
                <w:sz w:val="24"/>
                <w:szCs w:val="24"/>
                <w:lang w:val="en-US"/>
              </w:rPr>
              <w:t>NE</w:t>
            </w:r>
            <w:r w:rsidRPr="00DB638E">
              <w:rPr>
                <w:rFonts w:ascii="Times New Roman" w:hAnsi="Times New Roman"/>
                <w:sz w:val="24"/>
                <w:szCs w:val="24"/>
              </w:rPr>
              <w:t>)</w:t>
            </w:r>
          </w:p>
        </w:tc>
      </w:tr>
    </w:tbl>
    <w:p w14:paraId="0DFAFDAC" w14:textId="1B07CFBB" w:rsidR="00231A9A" w:rsidRPr="00DB638E" w:rsidRDefault="00BA3091" w:rsidP="00231A9A">
      <w:pPr>
        <w:spacing w:after="0" w:line="240" w:lineRule="auto"/>
        <w:jc w:val="both"/>
        <w:rPr>
          <w:rFonts w:ascii="Times New Roman" w:hAnsi="Times New Roman"/>
          <w:sz w:val="24"/>
          <w:szCs w:val="24"/>
        </w:rPr>
      </w:pPr>
      <w:r w:rsidRPr="00DB638E">
        <w:rPr>
          <w:noProof/>
          <w:sz w:val="24"/>
          <w:szCs w:val="24"/>
        </w:rPr>
        <mc:AlternateContent>
          <mc:Choice Requires="wps">
            <w:drawing>
              <wp:anchor distT="0" distB="0" distL="114300" distR="114300" simplePos="0" relativeHeight="251656192" behindDoc="0" locked="0" layoutInCell="1" allowOverlap="1" wp14:anchorId="16E694F0" wp14:editId="5118E604">
                <wp:simplePos x="0" y="0"/>
                <wp:positionH relativeFrom="column">
                  <wp:posOffset>742950</wp:posOffset>
                </wp:positionH>
                <wp:positionV relativeFrom="paragraph">
                  <wp:posOffset>4637405</wp:posOffset>
                </wp:positionV>
                <wp:extent cx="5153025" cy="247650"/>
                <wp:effectExtent l="0" t="0" r="0" b="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247650"/>
                        </a:xfrm>
                        <a:prstGeom prst="rect">
                          <a:avLst/>
                        </a:prstGeom>
                        <a:solidFill>
                          <a:sysClr val="window" lastClr="FFFFFF"/>
                        </a:solidFill>
                        <a:ln w="6350">
                          <a:noFill/>
                        </a:ln>
                      </wps:spPr>
                      <wps:txbx>
                        <w:txbxContent>
                          <w:p w14:paraId="79D0A73C" w14:textId="77777777" w:rsidR="00231A9A" w:rsidRPr="00982AE5" w:rsidRDefault="00231A9A" w:rsidP="00231A9A">
                            <w:pPr>
                              <w:spacing w:after="0"/>
                              <w:rPr>
                                <w:rFonts w:ascii="Times New Roman" w:hAnsi="Times New Roman"/>
                                <w:sz w:val="20"/>
                                <w:szCs w:val="20"/>
                              </w:rPr>
                            </w:pPr>
                            <w:r>
                              <w:rPr>
                                <w:rFonts w:ascii="Times New Roman" w:hAnsi="Times New Roman"/>
                                <w:sz w:val="20"/>
                                <w:szCs w:val="20"/>
                              </w:rPr>
                              <w:t>Сунитиниб</w:t>
                            </w:r>
                            <w:r w:rsidRPr="00982AE5">
                              <w:rPr>
                                <w:rFonts w:ascii="Times New Roman" w:hAnsi="Times New Roman"/>
                                <w:sz w:val="20"/>
                                <w:szCs w:val="20"/>
                              </w:rPr>
                              <w:t xml:space="preserve"> (события: </w:t>
                            </w:r>
                            <w:r w:rsidRPr="00892A52">
                              <w:rPr>
                                <w:rFonts w:ascii="Times New Roman" w:hAnsi="Times New Roman"/>
                                <w:sz w:val="20"/>
                                <w:szCs w:val="20"/>
                              </w:rPr>
                              <w:t>99</w:t>
                            </w:r>
                            <w:r w:rsidRPr="00982AE5">
                              <w:rPr>
                                <w:rFonts w:ascii="Times New Roman" w:hAnsi="Times New Roman"/>
                                <w:sz w:val="20"/>
                                <w:szCs w:val="20"/>
                              </w:rPr>
                              <w:t>/32</w:t>
                            </w:r>
                            <w:r>
                              <w:rPr>
                                <w:rFonts w:ascii="Times New Roman" w:hAnsi="Times New Roman"/>
                                <w:sz w:val="20"/>
                                <w:szCs w:val="20"/>
                              </w:rPr>
                              <w:t>8</w:t>
                            </w:r>
                            <w:r w:rsidRPr="00982AE5">
                              <w:rPr>
                                <w:rFonts w:ascii="Times New Roman" w:hAnsi="Times New Roman"/>
                                <w:sz w:val="20"/>
                                <w:szCs w:val="20"/>
                              </w:rPr>
                              <w:t xml:space="preserve">), медиана и 95% ДИ: </w:t>
                            </w:r>
                            <w:r w:rsidRPr="00892A52">
                              <w:rPr>
                                <w:rFonts w:ascii="Times New Roman" w:hAnsi="Times New Roman"/>
                                <w:sz w:val="20"/>
                                <w:szCs w:val="20"/>
                              </w:rPr>
                              <w:t>NE (22.60, 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694F0" id="Надпись 40" o:spid="_x0000_s1034" type="#_x0000_t202" style="position:absolute;left:0;text-align:left;margin-left:58.5pt;margin-top:365.15pt;width:405.7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" fillcolor="window" stroked="f" strokeweight=".5pt">
                <v:textbox>
                  <w:txbxContent>
                    <w:p w14:paraId="79D0A73C" w14:textId="77777777" w:rsidR="00231A9A" w:rsidRPr="00982AE5" w:rsidRDefault="00231A9A" w:rsidP="00231A9A">
                      <w:pPr>
                        <w:spacing w:after="0"/>
                        <w:rPr>
                          <w:rFonts w:ascii="Times New Roman" w:hAnsi="Times New Roman"/>
                          <w:sz w:val="20"/>
                          <w:szCs w:val="20"/>
                        </w:rPr>
                      </w:pPr>
                      <w:r>
                        <w:rPr>
                          <w:rFonts w:ascii="Times New Roman" w:hAnsi="Times New Roman"/>
                          <w:sz w:val="20"/>
                          <w:szCs w:val="20"/>
                        </w:rPr>
                        <w:t>Сунитиниб</w:t>
                      </w:r>
                      <w:r w:rsidRPr="00982AE5">
                        <w:rPr>
                          <w:rFonts w:ascii="Times New Roman" w:hAnsi="Times New Roman"/>
                          <w:sz w:val="20"/>
                          <w:szCs w:val="20"/>
                        </w:rPr>
                        <w:t xml:space="preserve"> (события: </w:t>
                      </w:r>
                      <w:r w:rsidRPr="00892A52">
                        <w:rPr>
                          <w:rFonts w:ascii="Times New Roman" w:hAnsi="Times New Roman"/>
                          <w:sz w:val="20"/>
                          <w:szCs w:val="20"/>
                        </w:rPr>
                        <w:t>99</w:t>
                      </w:r>
                      <w:r w:rsidRPr="00982AE5">
                        <w:rPr>
                          <w:rFonts w:ascii="Times New Roman" w:hAnsi="Times New Roman"/>
                          <w:sz w:val="20"/>
                          <w:szCs w:val="20"/>
                        </w:rPr>
                        <w:t>/32</w:t>
                      </w:r>
                      <w:r>
                        <w:rPr>
                          <w:rFonts w:ascii="Times New Roman" w:hAnsi="Times New Roman"/>
                          <w:sz w:val="20"/>
                          <w:szCs w:val="20"/>
                        </w:rPr>
                        <w:t>8</w:t>
                      </w:r>
                      <w:r w:rsidRPr="00982AE5">
                        <w:rPr>
                          <w:rFonts w:ascii="Times New Roman" w:hAnsi="Times New Roman"/>
                          <w:sz w:val="20"/>
                          <w:szCs w:val="20"/>
                        </w:rPr>
                        <w:t xml:space="preserve">), медиана и 95% ДИ: </w:t>
                      </w:r>
                      <w:r w:rsidRPr="00892A52">
                        <w:rPr>
                          <w:rFonts w:ascii="Times New Roman" w:hAnsi="Times New Roman"/>
                          <w:sz w:val="20"/>
                          <w:szCs w:val="20"/>
                        </w:rPr>
                        <w:t>NE (22.60, NE)</w:t>
                      </w:r>
                    </w:p>
                  </w:txbxContent>
                </v:textbox>
              </v:shape>
            </w:pict>
          </mc:Fallback>
        </mc:AlternateContent>
      </w:r>
      <w:r w:rsidRPr="00DB638E">
        <w:rPr>
          <w:noProof/>
          <w:sz w:val="24"/>
          <w:szCs w:val="24"/>
        </w:rPr>
        <mc:AlternateContent>
          <mc:Choice Requires="wps">
            <w:drawing>
              <wp:anchor distT="0" distB="0" distL="114300" distR="114300" simplePos="0" relativeHeight="251655168" behindDoc="0" locked="0" layoutInCell="1" allowOverlap="1" wp14:anchorId="26EC6C6B" wp14:editId="064B250C">
                <wp:simplePos x="0" y="0"/>
                <wp:positionH relativeFrom="column">
                  <wp:posOffset>685800</wp:posOffset>
                </wp:positionH>
                <wp:positionV relativeFrom="paragraph">
                  <wp:posOffset>4389755</wp:posOffset>
                </wp:positionV>
                <wp:extent cx="5153025" cy="247650"/>
                <wp:effectExtent l="0" t="0" r="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247650"/>
                        </a:xfrm>
                        <a:prstGeom prst="rect">
                          <a:avLst/>
                        </a:prstGeom>
                        <a:solidFill>
                          <a:sysClr val="window" lastClr="FFFFFF"/>
                        </a:solidFill>
                        <a:ln w="6350">
                          <a:noFill/>
                        </a:ln>
                      </wps:spPr>
                      <wps:txbx>
                        <w:txbxContent>
                          <w:p w14:paraId="7EC537C7" w14:textId="77777777" w:rsidR="00231A9A" w:rsidRPr="00892A52" w:rsidRDefault="00231A9A" w:rsidP="00231A9A">
                            <w:pPr>
                              <w:spacing w:after="0"/>
                              <w:rPr>
                                <w:rFonts w:ascii="Times New Roman" w:hAnsi="Times New Roman"/>
                                <w:sz w:val="20"/>
                                <w:szCs w:val="20"/>
                              </w:rPr>
                            </w:pPr>
                            <w:r w:rsidRPr="00982AE5">
                              <w:rPr>
                                <w:rFonts w:ascii="Times New Roman" w:hAnsi="Times New Roman"/>
                                <w:sz w:val="20"/>
                                <w:szCs w:val="20"/>
                              </w:rPr>
                              <w:t xml:space="preserve">Ниволумаб + кабозантиниб (события: </w:t>
                            </w:r>
                            <w:r>
                              <w:rPr>
                                <w:rFonts w:ascii="Times New Roman" w:hAnsi="Times New Roman"/>
                                <w:sz w:val="20"/>
                                <w:szCs w:val="20"/>
                              </w:rPr>
                              <w:t>67</w:t>
                            </w:r>
                            <w:r w:rsidRPr="00982AE5">
                              <w:rPr>
                                <w:rFonts w:ascii="Times New Roman" w:hAnsi="Times New Roman"/>
                                <w:sz w:val="20"/>
                                <w:szCs w:val="20"/>
                              </w:rPr>
                              <w:t xml:space="preserve">/323), медиана и 95% ДИ: </w:t>
                            </w:r>
                            <w:r>
                              <w:rPr>
                                <w:rFonts w:ascii="Times New Roman" w:hAnsi="Times New Roman"/>
                                <w:sz w:val="20"/>
                                <w:szCs w:val="20"/>
                                <w:lang w:val="en-US"/>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C6C6B" id="Надпись 39" o:spid="_x0000_s1035" type="#_x0000_t202" style="position:absolute;left:0;text-align:left;margin-left:54pt;margin-top:345.65pt;width:405.7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" fillcolor="window" stroked="f" strokeweight=".5pt">
                <v:textbox>
                  <w:txbxContent>
                    <w:p w14:paraId="7EC537C7" w14:textId="77777777" w:rsidR="00231A9A" w:rsidRPr="00892A52" w:rsidRDefault="00231A9A" w:rsidP="00231A9A">
                      <w:pPr>
                        <w:spacing w:after="0"/>
                        <w:rPr>
                          <w:rFonts w:ascii="Times New Roman" w:hAnsi="Times New Roman"/>
                          <w:sz w:val="20"/>
                          <w:szCs w:val="20"/>
                        </w:rPr>
                      </w:pPr>
                      <w:r w:rsidRPr="00982AE5">
                        <w:rPr>
                          <w:rFonts w:ascii="Times New Roman" w:hAnsi="Times New Roman"/>
                          <w:sz w:val="20"/>
                          <w:szCs w:val="20"/>
                        </w:rPr>
                        <w:t xml:space="preserve">Ниволумаб + кабозантиниб (события: </w:t>
                      </w:r>
                      <w:r>
                        <w:rPr>
                          <w:rFonts w:ascii="Times New Roman" w:hAnsi="Times New Roman"/>
                          <w:sz w:val="20"/>
                          <w:szCs w:val="20"/>
                        </w:rPr>
                        <w:t>67</w:t>
                      </w:r>
                      <w:r w:rsidRPr="00982AE5">
                        <w:rPr>
                          <w:rFonts w:ascii="Times New Roman" w:hAnsi="Times New Roman"/>
                          <w:sz w:val="20"/>
                          <w:szCs w:val="20"/>
                        </w:rPr>
                        <w:t xml:space="preserve">/323), медиана и 95% ДИ: </w:t>
                      </w:r>
                      <w:r>
                        <w:rPr>
                          <w:rFonts w:ascii="Times New Roman" w:hAnsi="Times New Roman"/>
                          <w:sz w:val="20"/>
                          <w:szCs w:val="20"/>
                          <w:lang w:val="en-US"/>
                        </w:rPr>
                        <w:t>NE</w:t>
                      </w:r>
                    </w:p>
                  </w:txbxContent>
                </v:textbox>
              </v:shape>
            </w:pict>
          </mc:Fallback>
        </mc:AlternateContent>
      </w:r>
      <w:r w:rsidRPr="00DB638E">
        <w:rPr>
          <w:noProof/>
          <w:sz w:val="24"/>
          <w:szCs w:val="24"/>
        </w:rPr>
        <mc:AlternateContent>
          <mc:Choice Requires="wps">
            <w:drawing>
              <wp:anchor distT="0" distB="0" distL="114300" distR="114300" simplePos="0" relativeHeight="251654144" behindDoc="0" locked="0" layoutInCell="1" allowOverlap="1" wp14:anchorId="5708054F" wp14:editId="286994F7">
                <wp:simplePos x="0" y="0"/>
                <wp:positionH relativeFrom="column">
                  <wp:posOffset>339090</wp:posOffset>
                </wp:positionH>
                <wp:positionV relativeFrom="paragraph">
                  <wp:posOffset>4060190</wp:posOffset>
                </wp:positionV>
                <wp:extent cx="752475" cy="228600"/>
                <wp:effectExtent l="0" t="0" r="0" b="0"/>
                <wp:wrapNone/>
                <wp:docPr id="14"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228600"/>
                        </a:xfrm>
                        <a:prstGeom prst="rect">
                          <a:avLst/>
                        </a:prstGeom>
                        <a:solidFill>
                          <a:sysClr val="window" lastClr="FFFFFF"/>
                        </a:solidFill>
                        <a:ln w="6350">
                          <a:noFill/>
                        </a:ln>
                      </wps:spPr>
                      <wps:txbx>
                        <w:txbxContent>
                          <w:p w14:paraId="00787106" w14:textId="77777777" w:rsidR="00231A9A" w:rsidRPr="00892A52" w:rsidRDefault="00231A9A" w:rsidP="00231A9A">
                            <w:pPr>
                              <w:spacing w:after="0" w:line="240" w:lineRule="auto"/>
                              <w:rPr>
                                <w:rFonts w:ascii="Times New Roman" w:hAnsi="Times New Roman"/>
                                <w:sz w:val="18"/>
                                <w:szCs w:val="18"/>
                              </w:rPr>
                            </w:pPr>
                            <w:r w:rsidRPr="00892A52">
                              <w:rPr>
                                <w:rFonts w:ascii="Times New Roman" w:hAnsi="Times New Roman"/>
                                <w:sz w:val="18"/>
                                <w:szCs w:val="18"/>
                              </w:rPr>
                              <w:t>Сунитиниб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8054F" id="Надпись 38" o:spid="_x0000_s1036" type="#_x0000_t202" style="position:absolute;left:0;text-align:left;margin-left:26.7pt;margin-top:319.7pt;width:59.2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" fillcolor="window" stroked="f" strokeweight=".5pt">
                <v:textbox>
                  <w:txbxContent>
                    <w:p w14:paraId="00787106" w14:textId="77777777" w:rsidR="00231A9A" w:rsidRPr="00892A52" w:rsidRDefault="00231A9A" w:rsidP="00231A9A">
                      <w:pPr>
                        <w:spacing w:after="0" w:line="240" w:lineRule="auto"/>
                        <w:rPr>
                          <w:rFonts w:ascii="Times New Roman" w:hAnsi="Times New Roman"/>
                          <w:sz w:val="18"/>
                          <w:szCs w:val="18"/>
                        </w:rPr>
                      </w:pPr>
                      <w:r w:rsidRPr="00892A52">
                        <w:rPr>
                          <w:rFonts w:ascii="Times New Roman" w:hAnsi="Times New Roman"/>
                          <w:sz w:val="18"/>
                          <w:szCs w:val="18"/>
                        </w:rPr>
                        <w:t>Сунитиниб</w:t>
                      </w:r>
                    </w:p>
                  </w:txbxContent>
                </v:textbox>
              </v:shape>
            </w:pict>
          </mc:Fallback>
        </mc:AlternateContent>
      </w:r>
      <w:bookmarkEnd w:id="134"/>
      <w:r w:rsidR="00231A9A" w:rsidRPr="00DB638E">
        <w:rPr>
          <w:rFonts w:ascii="Times New Roman" w:hAnsi="Times New Roman"/>
          <w:i/>
          <w:sz w:val="24"/>
          <w:szCs w:val="24"/>
        </w:rPr>
        <w:t>Печеночно-клеточный рак</w:t>
      </w:r>
    </w:p>
    <w:p w14:paraId="70E27192" w14:textId="77777777" w:rsidR="00231A9A" w:rsidRPr="00DB638E" w:rsidRDefault="00231A9A" w:rsidP="00231A9A">
      <w:pPr>
        <w:spacing w:after="0" w:line="240" w:lineRule="auto"/>
        <w:jc w:val="both"/>
        <w:rPr>
          <w:rFonts w:ascii="Times New Roman" w:hAnsi="Times New Roman"/>
          <w:i/>
          <w:sz w:val="24"/>
          <w:szCs w:val="24"/>
          <w:u w:val="single"/>
        </w:rPr>
      </w:pPr>
      <w:r w:rsidRPr="00DB638E">
        <w:rPr>
          <w:rFonts w:ascii="Times New Roman" w:hAnsi="Times New Roman"/>
          <w:i/>
          <w:sz w:val="24"/>
          <w:szCs w:val="24"/>
          <w:u w:val="single"/>
        </w:rPr>
        <w:t>Контролируемое исследование у пациентов, получавших сорафениб (CELESTIAL)</w:t>
      </w:r>
    </w:p>
    <w:p w14:paraId="3A2BCFD2" w14:textId="788F8692"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Безопасность и эффективность </w:t>
      </w:r>
      <w:r w:rsidR="004A4981" w:rsidRPr="00DB638E">
        <w:rPr>
          <w:rFonts w:ascii="Times New Roman" w:hAnsi="Times New Roman"/>
          <w:sz w:val="24"/>
          <w:szCs w:val="24"/>
        </w:rPr>
        <w:t>кабозантиниба</w:t>
      </w:r>
      <w:r w:rsidRPr="00DB638E">
        <w:rPr>
          <w:rFonts w:ascii="Times New Roman" w:hAnsi="Times New Roman"/>
          <w:sz w:val="24"/>
          <w:szCs w:val="24"/>
        </w:rPr>
        <w:t xml:space="preserve"> оценивали в рандомизированном, двойном слепом плацебо-контролируемом исследовании Фазы 3 (CELESTIAL). Пациенты (</w:t>
      </w:r>
      <w:r w:rsidRPr="00DB638E">
        <w:rPr>
          <w:rFonts w:ascii="Times New Roman" w:hAnsi="Times New Roman"/>
          <w:sz w:val="24"/>
          <w:szCs w:val="24"/>
          <w:lang w:val="en-US"/>
        </w:rPr>
        <w:t>N</w:t>
      </w:r>
      <w:r w:rsidRPr="00DB638E">
        <w:rPr>
          <w:rFonts w:ascii="Times New Roman" w:hAnsi="Times New Roman"/>
          <w:sz w:val="24"/>
          <w:szCs w:val="24"/>
        </w:rPr>
        <w:t xml:space="preserve">=707) с печеночно-клеточным раком, не поддающиеся радикальному лечению, и ранее получавшие сорафениб </w:t>
      </w:r>
      <w:r w:rsidR="001E250C" w:rsidRPr="00DB638E">
        <w:rPr>
          <w:rFonts w:ascii="Times New Roman" w:hAnsi="Times New Roman"/>
          <w:sz w:val="24"/>
          <w:szCs w:val="24"/>
        </w:rPr>
        <w:t xml:space="preserve">при </w:t>
      </w:r>
      <w:r w:rsidRPr="00DB638E">
        <w:rPr>
          <w:rFonts w:ascii="Times New Roman" w:hAnsi="Times New Roman"/>
          <w:sz w:val="24"/>
          <w:szCs w:val="24"/>
        </w:rPr>
        <w:t>распространенно</w:t>
      </w:r>
      <w:r w:rsidR="001E250C" w:rsidRPr="00DB638E">
        <w:rPr>
          <w:rFonts w:ascii="Times New Roman" w:hAnsi="Times New Roman"/>
          <w:sz w:val="24"/>
          <w:szCs w:val="24"/>
        </w:rPr>
        <w:t>м</w:t>
      </w:r>
      <w:r w:rsidRPr="00DB638E">
        <w:rPr>
          <w:rFonts w:ascii="Times New Roman" w:hAnsi="Times New Roman"/>
          <w:sz w:val="24"/>
          <w:szCs w:val="24"/>
        </w:rPr>
        <w:t xml:space="preserve"> заболевани</w:t>
      </w:r>
      <w:r w:rsidR="001E250C" w:rsidRPr="00DB638E">
        <w:rPr>
          <w:rFonts w:ascii="Times New Roman" w:hAnsi="Times New Roman"/>
          <w:sz w:val="24"/>
          <w:szCs w:val="24"/>
        </w:rPr>
        <w:t>и</w:t>
      </w:r>
      <w:r w:rsidRPr="00DB638E">
        <w:rPr>
          <w:rFonts w:ascii="Times New Roman" w:hAnsi="Times New Roman"/>
          <w:sz w:val="24"/>
          <w:szCs w:val="24"/>
        </w:rPr>
        <w:t xml:space="preserve">, были рандомизированы (2: 1) для получения </w:t>
      </w:r>
      <w:r w:rsidR="004A4981" w:rsidRPr="00DB638E">
        <w:rPr>
          <w:rFonts w:ascii="Times New Roman" w:hAnsi="Times New Roman"/>
          <w:sz w:val="24"/>
          <w:szCs w:val="24"/>
        </w:rPr>
        <w:t>кабозантиниба</w:t>
      </w:r>
      <w:r w:rsidRPr="00DB638E">
        <w:rPr>
          <w:rFonts w:ascii="Times New Roman" w:hAnsi="Times New Roman"/>
          <w:sz w:val="24"/>
          <w:szCs w:val="24"/>
        </w:rPr>
        <w:t xml:space="preserve"> (N = 470) или плацебо (N = 237). Пациенты могли получать еще одну предшествующую системную терапию для распространенного заболевания в дополнение к сорафенибу. Рандомизация была стратифицирована по этиологии заболевания (Вирус гепатита В [с или без вируса гепатита С], Вирус гепатита С [без вируса гепатита В] или др.), географическому региону (Азия, другие регионы) и наличию внепеченочного распространения заболевания и / или макрососудистых инвазий (Да</w:t>
      </w:r>
      <w:r w:rsidR="00304BDE" w:rsidRPr="00DB638E">
        <w:rPr>
          <w:rFonts w:ascii="Times New Roman" w:hAnsi="Times New Roman"/>
          <w:sz w:val="24"/>
          <w:szCs w:val="24"/>
        </w:rPr>
        <w:t>, нет</w:t>
      </w:r>
      <w:r w:rsidRPr="00DB638E">
        <w:rPr>
          <w:rFonts w:ascii="Times New Roman" w:hAnsi="Times New Roman"/>
          <w:sz w:val="24"/>
          <w:szCs w:val="24"/>
        </w:rPr>
        <w:t>).</w:t>
      </w:r>
    </w:p>
    <w:p w14:paraId="3DD086C7" w14:textId="0EB61B53"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Первичной конечной точкой эффективности была общая выживаемость (</w:t>
      </w:r>
      <w:r w:rsidR="00304BDE" w:rsidRPr="00DB638E">
        <w:rPr>
          <w:rFonts w:ascii="Times New Roman" w:hAnsi="Times New Roman"/>
          <w:sz w:val="24"/>
          <w:szCs w:val="24"/>
        </w:rPr>
        <w:t>ОВ</w:t>
      </w:r>
      <w:r w:rsidRPr="00DB638E">
        <w:rPr>
          <w:rFonts w:ascii="Times New Roman" w:hAnsi="Times New Roman"/>
          <w:sz w:val="24"/>
          <w:szCs w:val="24"/>
        </w:rPr>
        <w:t>). Вторичными конечными точками эффективности были выживаемость без прогрессирования заболевания (</w:t>
      </w:r>
      <w:r w:rsidR="00304BDE" w:rsidRPr="00DB638E">
        <w:rPr>
          <w:rFonts w:ascii="Times New Roman" w:hAnsi="Times New Roman"/>
          <w:sz w:val="24"/>
          <w:szCs w:val="24"/>
        </w:rPr>
        <w:t>ВБП</w:t>
      </w:r>
      <w:r w:rsidR="00B62967" w:rsidRPr="00DB638E">
        <w:rPr>
          <w:rFonts w:ascii="Times New Roman" w:hAnsi="Times New Roman"/>
          <w:sz w:val="24"/>
          <w:szCs w:val="24"/>
        </w:rPr>
        <w:t>З</w:t>
      </w:r>
      <w:r w:rsidRPr="00DB638E">
        <w:rPr>
          <w:rFonts w:ascii="Times New Roman" w:hAnsi="Times New Roman"/>
          <w:sz w:val="24"/>
          <w:szCs w:val="24"/>
        </w:rPr>
        <w:t>) и частота объективного ответа (</w:t>
      </w:r>
      <w:r w:rsidR="00304BDE" w:rsidRPr="00DB638E">
        <w:rPr>
          <w:rFonts w:ascii="Times New Roman" w:hAnsi="Times New Roman"/>
          <w:sz w:val="24"/>
          <w:szCs w:val="24"/>
        </w:rPr>
        <w:t>ЧОО</w:t>
      </w:r>
      <w:r w:rsidRPr="00DB638E">
        <w:rPr>
          <w:rFonts w:ascii="Times New Roman" w:hAnsi="Times New Roman"/>
          <w:sz w:val="24"/>
          <w:szCs w:val="24"/>
        </w:rPr>
        <w:t xml:space="preserve">), оцененные исследователем с использованием критериев оценки ответа при солидных опухолях </w:t>
      </w:r>
      <w:r w:rsidRPr="00DB638E">
        <w:rPr>
          <w:rFonts w:ascii="Times New Roman" w:hAnsi="Times New Roman"/>
          <w:sz w:val="24"/>
          <w:szCs w:val="24"/>
        </w:rPr>
        <w:lastRenderedPageBreak/>
        <w:t>(RECIST) 1.1. Оценка опухолей проводилась каждые 8 недель. Субъекты продолжали слепое исследование лечения после прогрессирования радиологического заболевания, пока они испытывали клиническую пользу или до необходимости последующей системной или печеночно-направленной местной противораковой терапии. Переход от плацебо к кабозантинибу не допускался во время слепой фазы лечения.</w:t>
      </w:r>
    </w:p>
    <w:p w14:paraId="03CF51D2"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 xml:space="preserve">Исходные демографические характеристики и характеристики заболевания были одинаковыми между </w:t>
      </w:r>
      <w:r w:rsidR="00C335EE" w:rsidRPr="00DB638E">
        <w:rPr>
          <w:rFonts w:ascii="Times New Roman" w:hAnsi="Times New Roman"/>
          <w:sz w:val="24"/>
          <w:szCs w:val="24"/>
        </w:rPr>
        <w:t>Кабозаниб</w:t>
      </w:r>
      <w:r w:rsidRPr="00DB638E">
        <w:rPr>
          <w:rFonts w:ascii="Times New Roman" w:hAnsi="Times New Roman"/>
          <w:sz w:val="24"/>
          <w:szCs w:val="24"/>
        </w:rPr>
        <w:t>ом и плацебо-группами и показаны ниже для всех 707 рандомизированных пациентов.</w:t>
      </w:r>
    </w:p>
    <w:p w14:paraId="43828A61"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Мужчины: 82%</w:t>
      </w:r>
    </w:p>
    <w:p w14:paraId="020381B6"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Средний возраст: 64 года.</w:t>
      </w:r>
    </w:p>
    <w:p w14:paraId="5B93C7C1"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Европеоидный: 56%, азиатский: 34%</w:t>
      </w:r>
    </w:p>
    <w:p w14:paraId="4F633080"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Показатель общего состояния (</w:t>
      </w:r>
      <w:r w:rsidRPr="00DB638E">
        <w:rPr>
          <w:rFonts w:ascii="Times New Roman" w:hAnsi="Times New Roman"/>
          <w:sz w:val="24"/>
          <w:szCs w:val="24"/>
          <w:lang w:val="en-US"/>
        </w:rPr>
        <w:t>PS</w:t>
      </w:r>
      <w:r w:rsidRPr="00DB638E">
        <w:rPr>
          <w:rFonts w:ascii="Times New Roman" w:hAnsi="Times New Roman"/>
          <w:sz w:val="24"/>
          <w:szCs w:val="24"/>
        </w:rPr>
        <w:t>) по шкале ECOG 0: 53% или PS ECOG 1: 47%.</w:t>
      </w:r>
    </w:p>
    <w:p w14:paraId="2B4872DF"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Чайлд-Пью A: 99%, Чайлд-Пью B: 1%</w:t>
      </w:r>
    </w:p>
    <w:p w14:paraId="156B9CB9"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Этиология для пациентов с печеночно-клеточным раком включала 38% вируса гепатита В (HBV), 21% вируса гепатита С (HCV), 40% других (ни HBV, ни HCV).</w:t>
      </w:r>
    </w:p>
    <w:p w14:paraId="5C68122A"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Наличие макроскопической инвазии сосудов и/или распространения внепеченочной опухоли: 78%,</w:t>
      </w:r>
    </w:p>
    <w:p w14:paraId="1F8DAE80"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Уровень альфа-фетопротеина (АФП) ≥400 мкг/л: 41%.</w:t>
      </w:r>
    </w:p>
    <w:p w14:paraId="196C24CB"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Локорегионарный трансартериальные эмболизации или хемоинфузии: 44%</w:t>
      </w:r>
    </w:p>
    <w:p w14:paraId="64CC2D60"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Лучевая терапия до лечения кабозантинибом: 37%</w:t>
      </w:r>
    </w:p>
    <w:p w14:paraId="07F5AD78"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Средняя продолжительность лечения сорафенибом: 5,32 месяца</w:t>
      </w:r>
    </w:p>
    <w:p w14:paraId="770C9627" w14:textId="77777777"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 xml:space="preserve">Семьдесят два процента (72%) пациентов получили одну и 28% получили 2 предыдущих схемы системной терапии для распространенного заболевания. </w:t>
      </w:r>
    </w:p>
    <w:p w14:paraId="38E953E6" w14:textId="006C9173"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 xml:space="preserve">Статистически значимое улучшение </w:t>
      </w:r>
      <w:r w:rsidR="00CD4385" w:rsidRPr="00DB638E">
        <w:rPr>
          <w:rFonts w:ascii="Times New Roman" w:hAnsi="Times New Roman"/>
          <w:sz w:val="24"/>
          <w:szCs w:val="24"/>
        </w:rPr>
        <w:t xml:space="preserve">ОВ </w:t>
      </w:r>
      <w:r w:rsidRPr="00DB638E">
        <w:rPr>
          <w:rFonts w:ascii="Times New Roman" w:hAnsi="Times New Roman"/>
          <w:sz w:val="24"/>
          <w:szCs w:val="24"/>
        </w:rPr>
        <w:t xml:space="preserve">было продемонстрировано для </w:t>
      </w:r>
      <w:r w:rsidR="00304BDE" w:rsidRPr="00DB638E">
        <w:rPr>
          <w:rFonts w:ascii="Times New Roman" w:hAnsi="Times New Roman"/>
          <w:sz w:val="24"/>
          <w:szCs w:val="24"/>
        </w:rPr>
        <w:t>кабозантиниба</w:t>
      </w:r>
      <w:r w:rsidRPr="00DB638E">
        <w:rPr>
          <w:rFonts w:ascii="Times New Roman" w:hAnsi="Times New Roman"/>
          <w:sz w:val="24"/>
          <w:szCs w:val="24"/>
        </w:rPr>
        <w:t xml:space="preserve"> по сравнению с плацебо (Таблица 8 и Рисунок 6).</w:t>
      </w:r>
    </w:p>
    <w:p w14:paraId="6A447099" w14:textId="599B6175" w:rsidR="00231A9A" w:rsidRPr="00DB638E" w:rsidRDefault="00231A9A" w:rsidP="00304BDE">
      <w:pPr>
        <w:spacing w:after="0" w:line="240" w:lineRule="auto"/>
        <w:jc w:val="both"/>
        <w:rPr>
          <w:rFonts w:ascii="Times New Roman" w:hAnsi="Times New Roman"/>
          <w:sz w:val="24"/>
          <w:szCs w:val="24"/>
        </w:rPr>
      </w:pPr>
      <w:r w:rsidRPr="00DB638E">
        <w:rPr>
          <w:rFonts w:ascii="Times New Roman" w:hAnsi="Times New Roman"/>
          <w:sz w:val="24"/>
          <w:szCs w:val="24"/>
        </w:rPr>
        <w:t xml:space="preserve">Результаты </w:t>
      </w:r>
      <w:r w:rsidR="00304BDE" w:rsidRPr="00DB638E">
        <w:rPr>
          <w:rFonts w:ascii="Times New Roman" w:hAnsi="Times New Roman"/>
          <w:sz w:val="24"/>
          <w:szCs w:val="24"/>
        </w:rPr>
        <w:t>ВБП</w:t>
      </w:r>
      <w:r w:rsidR="00CD4385" w:rsidRPr="00DB638E">
        <w:rPr>
          <w:rFonts w:ascii="Times New Roman" w:hAnsi="Times New Roman"/>
          <w:sz w:val="24"/>
          <w:szCs w:val="24"/>
        </w:rPr>
        <w:t>З</w:t>
      </w:r>
      <w:r w:rsidRPr="00DB638E">
        <w:rPr>
          <w:rFonts w:ascii="Times New Roman" w:hAnsi="Times New Roman"/>
          <w:sz w:val="24"/>
          <w:szCs w:val="24"/>
        </w:rPr>
        <w:t xml:space="preserve"> и </w:t>
      </w:r>
      <w:r w:rsidR="00304BDE" w:rsidRPr="00DB638E">
        <w:rPr>
          <w:rFonts w:ascii="Times New Roman" w:hAnsi="Times New Roman"/>
          <w:sz w:val="24"/>
          <w:szCs w:val="24"/>
        </w:rPr>
        <w:t>ЧОО</w:t>
      </w:r>
      <w:r w:rsidRPr="00DB638E">
        <w:rPr>
          <w:rFonts w:ascii="Times New Roman" w:hAnsi="Times New Roman"/>
          <w:sz w:val="24"/>
          <w:szCs w:val="24"/>
        </w:rPr>
        <w:t xml:space="preserve"> приведены в Таблице 8.</w:t>
      </w:r>
    </w:p>
    <w:p w14:paraId="5EA099D0" w14:textId="77777777" w:rsidR="00231A9A" w:rsidRPr="00DB638E" w:rsidRDefault="00231A9A" w:rsidP="00231A9A">
      <w:pPr>
        <w:spacing w:after="0" w:line="240" w:lineRule="auto"/>
        <w:jc w:val="both"/>
        <w:rPr>
          <w:rFonts w:ascii="Times New Roman" w:hAnsi="Times New Roman"/>
          <w:sz w:val="24"/>
          <w:szCs w:val="24"/>
        </w:rPr>
      </w:pPr>
    </w:p>
    <w:p w14:paraId="5239A08B" w14:textId="77777777" w:rsidR="00231A9A" w:rsidRPr="00DB638E" w:rsidRDefault="00231A9A" w:rsidP="00231A9A">
      <w:pPr>
        <w:spacing w:after="0" w:line="240" w:lineRule="auto"/>
        <w:jc w:val="both"/>
        <w:rPr>
          <w:rFonts w:ascii="Times New Roman" w:hAnsi="Times New Roman"/>
          <w:b/>
          <w:sz w:val="24"/>
          <w:szCs w:val="24"/>
        </w:rPr>
      </w:pPr>
      <w:r w:rsidRPr="00DB638E">
        <w:rPr>
          <w:rFonts w:ascii="Times New Roman" w:hAnsi="Times New Roman"/>
          <w:b/>
          <w:sz w:val="24"/>
          <w:szCs w:val="24"/>
        </w:rPr>
        <w:t>Таблица 8: Результаты эффективности у пациентов с печеночно-клеточным раком (</w:t>
      </w:r>
      <w:r w:rsidRPr="00DB638E">
        <w:rPr>
          <w:rFonts w:ascii="Times New Roman" w:hAnsi="Times New Roman"/>
          <w:b/>
          <w:sz w:val="24"/>
          <w:szCs w:val="24"/>
          <w:lang w:val="en-US"/>
        </w:rPr>
        <w:t>ITT</w:t>
      </w:r>
      <w:r w:rsidRPr="00DB638E">
        <w:rPr>
          <w:rFonts w:ascii="Times New Roman" w:hAnsi="Times New Roman"/>
          <w:b/>
          <w:sz w:val="24"/>
          <w:szCs w:val="24"/>
        </w:rPr>
        <w:t>-популяция, CELESTIAL)</w:t>
      </w:r>
      <w:bookmarkStart w:id="135" w:name="_Hlk752877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2479"/>
        <w:gridCol w:w="2648"/>
      </w:tblGrid>
      <w:tr w:rsidR="00231A9A" w:rsidRPr="00DB638E" w14:paraId="13DCB86F" w14:textId="77777777" w:rsidTr="00F80539">
        <w:tc>
          <w:tcPr>
            <w:tcW w:w="2171" w:type="pct"/>
            <w:shd w:val="clear" w:color="auto" w:fill="auto"/>
          </w:tcPr>
          <w:p w14:paraId="07D0E87D" w14:textId="77777777" w:rsidR="00231A9A" w:rsidRPr="00DB638E" w:rsidRDefault="00231A9A" w:rsidP="003C21BB">
            <w:pPr>
              <w:spacing w:after="0" w:line="240" w:lineRule="auto"/>
              <w:jc w:val="both"/>
              <w:rPr>
                <w:rFonts w:ascii="Times New Roman" w:hAnsi="Times New Roman"/>
                <w:sz w:val="24"/>
                <w:szCs w:val="24"/>
              </w:rPr>
            </w:pPr>
          </w:p>
        </w:tc>
        <w:tc>
          <w:tcPr>
            <w:tcW w:w="1368" w:type="pct"/>
            <w:shd w:val="clear" w:color="auto" w:fill="auto"/>
          </w:tcPr>
          <w:p w14:paraId="7473BDC7" w14:textId="77777777" w:rsidR="00231A9A" w:rsidRPr="00DB638E" w:rsidRDefault="00C40D7D" w:rsidP="003C21BB">
            <w:pPr>
              <w:spacing w:after="0" w:line="240" w:lineRule="auto"/>
              <w:jc w:val="center"/>
              <w:rPr>
                <w:rFonts w:ascii="Times New Roman" w:hAnsi="Times New Roman"/>
                <w:b/>
                <w:sz w:val="24"/>
                <w:szCs w:val="24"/>
                <w:lang w:val="en-US"/>
              </w:rPr>
            </w:pPr>
            <w:r w:rsidRPr="00DB638E">
              <w:rPr>
                <w:rFonts w:ascii="Times New Roman" w:hAnsi="Times New Roman"/>
                <w:b/>
                <w:sz w:val="24"/>
                <w:szCs w:val="24"/>
              </w:rPr>
              <w:t xml:space="preserve">Кабозантиниб </w:t>
            </w:r>
            <w:r w:rsidR="00231A9A" w:rsidRPr="00DB638E">
              <w:rPr>
                <w:rFonts w:ascii="Times New Roman" w:hAnsi="Times New Roman"/>
                <w:b/>
                <w:sz w:val="24"/>
                <w:szCs w:val="24"/>
              </w:rPr>
              <w:t>(</w:t>
            </w:r>
            <w:r w:rsidR="00231A9A" w:rsidRPr="00DB638E">
              <w:rPr>
                <w:rFonts w:ascii="Times New Roman" w:hAnsi="Times New Roman"/>
                <w:b/>
                <w:sz w:val="24"/>
                <w:szCs w:val="24"/>
                <w:lang w:val="en-US"/>
              </w:rPr>
              <w:t>N=470)</w:t>
            </w:r>
          </w:p>
        </w:tc>
        <w:tc>
          <w:tcPr>
            <w:tcW w:w="1461" w:type="pct"/>
            <w:shd w:val="clear" w:color="auto" w:fill="auto"/>
          </w:tcPr>
          <w:p w14:paraId="1744683E" w14:textId="77777777" w:rsidR="00231A9A" w:rsidRPr="00DB638E" w:rsidRDefault="00231A9A" w:rsidP="003C21BB">
            <w:pPr>
              <w:spacing w:after="0" w:line="240" w:lineRule="auto"/>
              <w:jc w:val="center"/>
              <w:rPr>
                <w:rFonts w:ascii="Times New Roman" w:hAnsi="Times New Roman"/>
                <w:b/>
                <w:sz w:val="24"/>
                <w:szCs w:val="24"/>
              </w:rPr>
            </w:pPr>
            <w:r w:rsidRPr="00DB638E">
              <w:rPr>
                <w:rFonts w:ascii="Times New Roman" w:hAnsi="Times New Roman"/>
                <w:b/>
                <w:sz w:val="24"/>
                <w:szCs w:val="24"/>
              </w:rPr>
              <w:t>Плацебо</w:t>
            </w:r>
          </w:p>
          <w:p w14:paraId="365FCA32" w14:textId="77777777" w:rsidR="00231A9A" w:rsidRPr="00DB638E" w:rsidRDefault="00231A9A" w:rsidP="003C21BB">
            <w:pPr>
              <w:spacing w:after="0" w:line="240" w:lineRule="auto"/>
              <w:jc w:val="center"/>
              <w:rPr>
                <w:rFonts w:ascii="Times New Roman" w:hAnsi="Times New Roman"/>
                <w:b/>
                <w:sz w:val="24"/>
                <w:szCs w:val="24"/>
              </w:rPr>
            </w:pPr>
            <w:r w:rsidRPr="00DB638E">
              <w:rPr>
                <w:rFonts w:ascii="Times New Roman" w:hAnsi="Times New Roman"/>
                <w:b/>
                <w:sz w:val="24"/>
                <w:szCs w:val="24"/>
              </w:rPr>
              <w:t>(</w:t>
            </w:r>
            <w:r w:rsidRPr="00DB638E">
              <w:rPr>
                <w:rFonts w:ascii="Times New Roman" w:hAnsi="Times New Roman"/>
                <w:b/>
                <w:sz w:val="24"/>
                <w:szCs w:val="24"/>
                <w:lang w:val="en-US"/>
              </w:rPr>
              <w:t>N=</w:t>
            </w:r>
            <w:r w:rsidRPr="00DB638E">
              <w:rPr>
                <w:rFonts w:ascii="Times New Roman" w:hAnsi="Times New Roman"/>
                <w:b/>
                <w:sz w:val="24"/>
                <w:szCs w:val="24"/>
              </w:rPr>
              <w:t>237)</w:t>
            </w:r>
          </w:p>
        </w:tc>
      </w:tr>
      <w:tr w:rsidR="00231A9A" w:rsidRPr="00DB638E" w14:paraId="236DA4F5" w14:textId="77777777" w:rsidTr="00F80539">
        <w:tc>
          <w:tcPr>
            <w:tcW w:w="5000" w:type="pct"/>
            <w:gridSpan w:val="3"/>
            <w:shd w:val="clear" w:color="auto" w:fill="auto"/>
          </w:tcPr>
          <w:p w14:paraId="159C2CC1" w14:textId="60149954" w:rsidR="00231A9A" w:rsidRPr="00DB638E" w:rsidRDefault="00231A9A" w:rsidP="003C21BB">
            <w:pPr>
              <w:spacing w:after="0" w:line="240" w:lineRule="auto"/>
              <w:jc w:val="both"/>
              <w:rPr>
                <w:rFonts w:ascii="Times New Roman" w:hAnsi="Times New Roman"/>
                <w:b/>
                <w:sz w:val="24"/>
                <w:szCs w:val="24"/>
                <w:lang w:val="en-US"/>
              </w:rPr>
            </w:pPr>
            <w:r w:rsidRPr="00DB638E">
              <w:rPr>
                <w:rFonts w:ascii="Times New Roman" w:hAnsi="Times New Roman"/>
                <w:b/>
                <w:sz w:val="24"/>
                <w:szCs w:val="24"/>
              </w:rPr>
              <w:t>Общая выживаемость (</w:t>
            </w:r>
            <w:r w:rsidR="00CD4385" w:rsidRPr="00DB638E">
              <w:rPr>
                <w:rFonts w:ascii="Times New Roman" w:hAnsi="Times New Roman"/>
                <w:b/>
                <w:sz w:val="24"/>
                <w:szCs w:val="24"/>
              </w:rPr>
              <w:t>ОВ</w:t>
            </w:r>
            <w:r w:rsidRPr="00DB638E">
              <w:rPr>
                <w:rFonts w:ascii="Times New Roman" w:hAnsi="Times New Roman"/>
                <w:b/>
                <w:sz w:val="24"/>
                <w:szCs w:val="24"/>
                <w:lang w:val="en-US"/>
              </w:rPr>
              <w:t>)</w:t>
            </w:r>
          </w:p>
        </w:tc>
      </w:tr>
      <w:tr w:rsidR="00231A9A" w:rsidRPr="00DB638E" w14:paraId="49533F2D" w14:textId="77777777" w:rsidTr="00F80539">
        <w:tc>
          <w:tcPr>
            <w:tcW w:w="2171" w:type="pct"/>
            <w:shd w:val="clear" w:color="auto" w:fill="auto"/>
          </w:tcPr>
          <w:p w14:paraId="405E115D" w14:textId="77777777" w:rsidR="00231A9A" w:rsidRPr="00DB638E" w:rsidRDefault="00231A9A" w:rsidP="003C21BB">
            <w:pPr>
              <w:spacing w:after="0" w:line="240" w:lineRule="auto"/>
              <w:jc w:val="both"/>
              <w:rPr>
                <w:rFonts w:ascii="Times New Roman" w:hAnsi="Times New Roman"/>
                <w:sz w:val="24"/>
                <w:szCs w:val="24"/>
              </w:rPr>
            </w:pPr>
            <w:r w:rsidRPr="00DB638E">
              <w:rPr>
                <w:rFonts w:ascii="Times New Roman" w:hAnsi="Times New Roman"/>
                <w:sz w:val="24"/>
                <w:szCs w:val="24"/>
              </w:rPr>
              <w:t xml:space="preserve">Медиана </w:t>
            </w:r>
            <w:r w:rsidR="00304BDE" w:rsidRPr="00DB638E">
              <w:rPr>
                <w:rFonts w:ascii="Times New Roman" w:hAnsi="Times New Roman"/>
                <w:sz w:val="24"/>
                <w:szCs w:val="24"/>
              </w:rPr>
              <w:t>ОВ</w:t>
            </w:r>
            <w:r w:rsidRPr="00DB638E">
              <w:rPr>
                <w:rFonts w:ascii="Times New Roman" w:hAnsi="Times New Roman"/>
                <w:sz w:val="24"/>
                <w:szCs w:val="24"/>
                <w:lang w:val="en-US"/>
              </w:rPr>
              <w:t xml:space="preserve"> (95 % </w:t>
            </w:r>
            <w:r w:rsidRPr="00DB638E">
              <w:rPr>
                <w:rFonts w:ascii="Times New Roman" w:hAnsi="Times New Roman"/>
                <w:sz w:val="24"/>
                <w:szCs w:val="24"/>
              </w:rPr>
              <w:t>ДИ), месяцы</w:t>
            </w:r>
          </w:p>
        </w:tc>
        <w:tc>
          <w:tcPr>
            <w:tcW w:w="1368" w:type="pct"/>
            <w:shd w:val="clear" w:color="auto" w:fill="auto"/>
          </w:tcPr>
          <w:p w14:paraId="73CCE5C3" w14:textId="77777777" w:rsidR="00231A9A" w:rsidRPr="00DB638E" w:rsidRDefault="00231A9A" w:rsidP="003C21BB">
            <w:pPr>
              <w:spacing w:after="0" w:line="240" w:lineRule="auto"/>
              <w:jc w:val="center"/>
              <w:rPr>
                <w:rFonts w:ascii="Times New Roman" w:hAnsi="Times New Roman"/>
                <w:sz w:val="24"/>
                <w:szCs w:val="24"/>
              </w:rPr>
            </w:pPr>
            <w:r w:rsidRPr="00DB638E">
              <w:rPr>
                <w:rFonts w:ascii="Times New Roman" w:hAnsi="Times New Roman"/>
                <w:sz w:val="24"/>
                <w:szCs w:val="24"/>
              </w:rPr>
              <w:t>10.2 (9.1, 12.0)</w:t>
            </w:r>
          </w:p>
        </w:tc>
        <w:tc>
          <w:tcPr>
            <w:tcW w:w="1461" w:type="pct"/>
            <w:shd w:val="clear" w:color="auto" w:fill="auto"/>
          </w:tcPr>
          <w:p w14:paraId="169766E6" w14:textId="77777777" w:rsidR="00231A9A" w:rsidRPr="00DB638E" w:rsidRDefault="00231A9A" w:rsidP="003C21BB">
            <w:pPr>
              <w:spacing w:after="0" w:line="240" w:lineRule="auto"/>
              <w:jc w:val="center"/>
              <w:rPr>
                <w:rFonts w:ascii="Times New Roman" w:hAnsi="Times New Roman"/>
                <w:sz w:val="24"/>
                <w:szCs w:val="24"/>
              </w:rPr>
            </w:pPr>
            <w:r w:rsidRPr="00DB638E">
              <w:rPr>
                <w:rFonts w:ascii="Times New Roman" w:hAnsi="Times New Roman"/>
                <w:sz w:val="24"/>
                <w:szCs w:val="24"/>
              </w:rPr>
              <w:t>8.0 (6.8, 9.4)</w:t>
            </w:r>
          </w:p>
        </w:tc>
      </w:tr>
      <w:tr w:rsidR="00231A9A" w:rsidRPr="00DB638E" w14:paraId="39654962" w14:textId="77777777" w:rsidTr="00F80539">
        <w:tc>
          <w:tcPr>
            <w:tcW w:w="2171" w:type="pct"/>
            <w:shd w:val="clear" w:color="auto" w:fill="auto"/>
          </w:tcPr>
          <w:p w14:paraId="19AB6EFA" w14:textId="77777777" w:rsidR="00231A9A" w:rsidRPr="00DB638E" w:rsidRDefault="00304BDE" w:rsidP="003C21BB">
            <w:pPr>
              <w:spacing w:after="0" w:line="240" w:lineRule="auto"/>
              <w:jc w:val="both"/>
              <w:rPr>
                <w:rFonts w:ascii="Times New Roman" w:hAnsi="Times New Roman"/>
                <w:sz w:val="24"/>
                <w:szCs w:val="24"/>
              </w:rPr>
            </w:pPr>
            <w:r w:rsidRPr="00DB638E">
              <w:rPr>
                <w:rFonts w:ascii="Times New Roman" w:hAnsi="Times New Roman"/>
                <w:sz w:val="24"/>
                <w:szCs w:val="24"/>
              </w:rPr>
              <w:t>Соотношение рисков</w:t>
            </w:r>
            <w:r w:rsidR="00231A9A" w:rsidRPr="00DB638E">
              <w:rPr>
                <w:rFonts w:ascii="Times New Roman" w:hAnsi="Times New Roman"/>
                <w:sz w:val="24"/>
                <w:szCs w:val="24"/>
              </w:rPr>
              <w:t xml:space="preserve"> (95% ДИ)</w:t>
            </w:r>
            <w:r w:rsidR="00231A9A" w:rsidRPr="00DB638E">
              <w:rPr>
                <w:rFonts w:ascii="Times New Roman" w:hAnsi="Times New Roman"/>
                <w:sz w:val="24"/>
                <w:szCs w:val="24"/>
                <w:vertAlign w:val="superscript"/>
              </w:rPr>
              <w:t>1,2</w:t>
            </w:r>
          </w:p>
        </w:tc>
        <w:tc>
          <w:tcPr>
            <w:tcW w:w="2829" w:type="pct"/>
            <w:gridSpan w:val="2"/>
            <w:shd w:val="clear" w:color="auto" w:fill="auto"/>
          </w:tcPr>
          <w:p w14:paraId="60CD2730" w14:textId="77777777" w:rsidR="00231A9A" w:rsidRPr="00DB638E" w:rsidRDefault="00231A9A" w:rsidP="003C21BB">
            <w:pPr>
              <w:spacing w:after="0" w:line="240" w:lineRule="auto"/>
              <w:jc w:val="center"/>
              <w:rPr>
                <w:rFonts w:ascii="Times New Roman" w:hAnsi="Times New Roman"/>
                <w:sz w:val="24"/>
                <w:szCs w:val="24"/>
              </w:rPr>
            </w:pPr>
            <w:r w:rsidRPr="00DB638E">
              <w:rPr>
                <w:rFonts w:ascii="Times New Roman" w:hAnsi="Times New Roman"/>
                <w:sz w:val="24"/>
                <w:szCs w:val="24"/>
              </w:rPr>
              <w:t>0.76 (0.63, 0.92)</w:t>
            </w:r>
          </w:p>
        </w:tc>
      </w:tr>
      <w:tr w:rsidR="00231A9A" w:rsidRPr="00DB638E" w14:paraId="6117A6B1" w14:textId="77777777" w:rsidTr="00F80539">
        <w:tc>
          <w:tcPr>
            <w:tcW w:w="2171" w:type="pct"/>
            <w:shd w:val="clear" w:color="auto" w:fill="auto"/>
          </w:tcPr>
          <w:p w14:paraId="7DBD127C" w14:textId="77777777" w:rsidR="00231A9A" w:rsidRPr="00DB638E" w:rsidRDefault="00231A9A" w:rsidP="003C21BB">
            <w:pPr>
              <w:spacing w:after="0" w:line="240" w:lineRule="auto"/>
              <w:jc w:val="both"/>
              <w:rPr>
                <w:rFonts w:ascii="Times New Roman" w:hAnsi="Times New Roman"/>
                <w:sz w:val="24"/>
                <w:szCs w:val="24"/>
              </w:rPr>
            </w:pPr>
            <w:r w:rsidRPr="00DB638E">
              <w:rPr>
                <w:rFonts w:ascii="Times New Roman" w:hAnsi="Times New Roman"/>
                <w:sz w:val="24"/>
                <w:szCs w:val="24"/>
              </w:rPr>
              <w:t>р-значение</w:t>
            </w:r>
            <w:r w:rsidRPr="00DB638E">
              <w:rPr>
                <w:rFonts w:ascii="Times New Roman" w:hAnsi="Times New Roman"/>
                <w:sz w:val="24"/>
                <w:szCs w:val="24"/>
                <w:vertAlign w:val="superscript"/>
              </w:rPr>
              <w:t>1</w:t>
            </w:r>
          </w:p>
        </w:tc>
        <w:tc>
          <w:tcPr>
            <w:tcW w:w="2829" w:type="pct"/>
            <w:gridSpan w:val="2"/>
            <w:shd w:val="clear" w:color="auto" w:fill="auto"/>
          </w:tcPr>
          <w:p w14:paraId="597B0FBD" w14:textId="77777777" w:rsidR="00231A9A" w:rsidRPr="00DB638E" w:rsidRDefault="00231A9A" w:rsidP="003C21BB">
            <w:pPr>
              <w:spacing w:after="0" w:line="240" w:lineRule="auto"/>
              <w:jc w:val="center"/>
              <w:rPr>
                <w:rFonts w:ascii="Times New Roman" w:hAnsi="Times New Roman"/>
                <w:sz w:val="24"/>
                <w:szCs w:val="24"/>
              </w:rPr>
            </w:pPr>
            <w:r w:rsidRPr="00DB638E">
              <w:rPr>
                <w:rFonts w:ascii="Times New Roman" w:hAnsi="Times New Roman"/>
                <w:sz w:val="24"/>
                <w:szCs w:val="24"/>
              </w:rPr>
              <w:t>p=0.0049</w:t>
            </w:r>
          </w:p>
        </w:tc>
      </w:tr>
      <w:tr w:rsidR="00231A9A" w:rsidRPr="00DB638E" w14:paraId="5E01AA92" w14:textId="77777777" w:rsidTr="00F80539">
        <w:tc>
          <w:tcPr>
            <w:tcW w:w="5000" w:type="pct"/>
            <w:gridSpan w:val="3"/>
            <w:shd w:val="clear" w:color="auto" w:fill="auto"/>
          </w:tcPr>
          <w:p w14:paraId="28B5B586" w14:textId="114B2055" w:rsidR="00231A9A" w:rsidRPr="00DB638E" w:rsidRDefault="00231A9A" w:rsidP="003C21BB">
            <w:pPr>
              <w:spacing w:after="0" w:line="240" w:lineRule="auto"/>
              <w:jc w:val="both"/>
              <w:rPr>
                <w:rFonts w:ascii="Times New Roman" w:hAnsi="Times New Roman"/>
                <w:b/>
                <w:sz w:val="24"/>
                <w:szCs w:val="24"/>
              </w:rPr>
            </w:pPr>
            <w:r w:rsidRPr="00DB638E">
              <w:rPr>
                <w:rFonts w:ascii="Times New Roman" w:hAnsi="Times New Roman"/>
                <w:b/>
                <w:sz w:val="24"/>
                <w:szCs w:val="24"/>
              </w:rPr>
              <w:t xml:space="preserve">Выживаемость без прогрессирования </w:t>
            </w:r>
            <w:r w:rsidR="00932FF7" w:rsidRPr="00DB638E">
              <w:rPr>
                <w:rFonts w:ascii="Times New Roman" w:hAnsi="Times New Roman"/>
                <w:b/>
                <w:sz w:val="24"/>
                <w:szCs w:val="24"/>
              </w:rPr>
              <w:t xml:space="preserve">заболевания </w:t>
            </w:r>
            <w:r w:rsidRPr="00DB638E">
              <w:rPr>
                <w:rFonts w:ascii="Times New Roman" w:hAnsi="Times New Roman"/>
                <w:b/>
                <w:sz w:val="24"/>
                <w:szCs w:val="24"/>
              </w:rPr>
              <w:t>(</w:t>
            </w:r>
            <w:r w:rsidR="00932FF7" w:rsidRPr="00DB638E">
              <w:rPr>
                <w:rFonts w:ascii="Times New Roman" w:hAnsi="Times New Roman"/>
                <w:b/>
                <w:sz w:val="24"/>
                <w:szCs w:val="24"/>
              </w:rPr>
              <w:t>ВБПЗ</w:t>
            </w:r>
            <w:r w:rsidRPr="00DB638E">
              <w:rPr>
                <w:rFonts w:ascii="Times New Roman" w:hAnsi="Times New Roman"/>
                <w:b/>
                <w:sz w:val="24"/>
                <w:szCs w:val="24"/>
              </w:rPr>
              <w:t>)</w:t>
            </w:r>
            <w:r w:rsidRPr="00DB638E">
              <w:rPr>
                <w:rFonts w:ascii="Times New Roman" w:hAnsi="Times New Roman"/>
                <w:b/>
                <w:sz w:val="24"/>
                <w:szCs w:val="24"/>
                <w:vertAlign w:val="superscript"/>
              </w:rPr>
              <w:t>3</w:t>
            </w:r>
          </w:p>
        </w:tc>
      </w:tr>
      <w:tr w:rsidR="00231A9A" w:rsidRPr="00DB638E" w14:paraId="02FBA26E" w14:textId="77777777" w:rsidTr="00F80539">
        <w:tc>
          <w:tcPr>
            <w:tcW w:w="2171" w:type="pct"/>
            <w:shd w:val="clear" w:color="auto" w:fill="auto"/>
          </w:tcPr>
          <w:p w14:paraId="00F99B87" w14:textId="7ECB007F" w:rsidR="00231A9A" w:rsidRPr="00DB638E" w:rsidRDefault="00231A9A" w:rsidP="003C21BB">
            <w:pPr>
              <w:spacing w:after="0" w:line="240" w:lineRule="auto"/>
              <w:jc w:val="both"/>
              <w:rPr>
                <w:rFonts w:ascii="Times New Roman" w:hAnsi="Times New Roman"/>
                <w:sz w:val="24"/>
                <w:szCs w:val="24"/>
              </w:rPr>
            </w:pPr>
            <w:r w:rsidRPr="00DB638E">
              <w:rPr>
                <w:rFonts w:ascii="Times New Roman" w:hAnsi="Times New Roman"/>
                <w:sz w:val="24"/>
                <w:szCs w:val="24"/>
              </w:rPr>
              <w:t xml:space="preserve">Медиана </w:t>
            </w:r>
            <w:r w:rsidR="00304BDE" w:rsidRPr="00DB638E">
              <w:rPr>
                <w:rFonts w:ascii="Times New Roman" w:hAnsi="Times New Roman"/>
                <w:sz w:val="24"/>
                <w:szCs w:val="24"/>
              </w:rPr>
              <w:t>ВБП</w:t>
            </w:r>
            <w:r w:rsidR="00932FF7" w:rsidRPr="00DB638E">
              <w:rPr>
                <w:rFonts w:ascii="Times New Roman" w:hAnsi="Times New Roman"/>
                <w:sz w:val="24"/>
                <w:szCs w:val="24"/>
              </w:rPr>
              <w:t>З</w:t>
            </w:r>
            <w:r w:rsidRPr="00DB638E">
              <w:rPr>
                <w:rFonts w:ascii="Times New Roman" w:hAnsi="Times New Roman"/>
                <w:sz w:val="24"/>
                <w:szCs w:val="24"/>
              </w:rPr>
              <w:t xml:space="preserve"> в месяцах (95 % ДИ)</w:t>
            </w:r>
          </w:p>
        </w:tc>
        <w:tc>
          <w:tcPr>
            <w:tcW w:w="1368" w:type="pct"/>
            <w:shd w:val="clear" w:color="auto" w:fill="auto"/>
          </w:tcPr>
          <w:p w14:paraId="02D04085" w14:textId="77777777" w:rsidR="00231A9A" w:rsidRPr="00DB638E" w:rsidRDefault="00231A9A" w:rsidP="003C21BB">
            <w:pPr>
              <w:spacing w:after="0" w:line="240" w:lineRule="auto"/>
              <w:jc w:val="center"/>
              <w:rPr>
                <w:rFonts w:ascii="Times New Roman" w:hAnsi="Times New Roman"/>
                <w:sz w:val="24"/>
                <w:szCs w:val="24"/>
              </w:rPr>
            </w:pPr>
            <w:r w:rsidRPr="00DB638E">
              <w:rPr>
                <w:rFonts w:ascii="Times New Roman" w:hAnsi="Times New Roman"/>
                <w:sz w:val="24"/>
                <w:szCs w:val="24"/>
              </w:rPr>
              <w:t>5.2 (4.0, 5.5)</w:t>
            </w:r>
          </w:p>
        </w:tc>
        <w:tc>
          <w:tcPr>
            <w:tcW w:w="1461" w:type="pct"/>
            <w:shd w:val="clear" w:color="auto" w:fill="auto"/>
          </w:tcPr>
          <w:p w14:paraId="0A47E3D2" w14:textId="77777777" w:rsidR="00231A9A" w:rsidRPr="00DB638E" w:rsidRDefault="00231A9A" w:rsidP="003C21BB">
            <w:pPr>
              <w:spacing w:after="0" w:line="240" w:lineRule="auto"/>
              <w:jc w:val="center"/>
              <w:rPr>
                <w:rFonts w:ascii="Times New Roman" w:hAnsi="Times New Roman"/>
                <w:sz w:val="24"/>
                <w:szCs w:val="24"/>
              </w:rPr>
            </w:pPr>
            <w:r w:rsidRPr="00DB638E">
              <w:rPr>
                <w:rFonts w:ascii="Times New Roman" w:hAnsi="Times New Roman"/>
                <w:sz w:val="24"/>
                <w:szCs w:val="24"/>
              </w:rPr>
              <w:t>1.9 (1.9, 1.9)</w:t>
            </w:r>
          </w:p>
        </w:tc>
      </w:tr>
      <w:tr w:rsidR="00231A9A" w:rsidRPr="00DB638E" w14:paraId="544D0850" w14:textId="77777777" w:rsidTr="00F80539">
        <w:tc>
          <w:tcPr>
            <w:tcW w:w="2171" w:type="pct"/>
            <w:shd w:val="clear" w:color="auto" w:fill="auto"/>
          </w:tcPr>
          <w:p w14:paraId="0A930478" w14:textId="77777777" w:rsidR="00231A9A" w:rsidRPr="00DB638E" w:rsidRDefault="00304BDE" w:rsidP="003C21BB">
            <w:pPr>
              <w:spacing w:after="0" w:line="240" w:lineRule="auto"/>
              <w:jc w:val="both"/>
              <w:rPr>
                <w:rFonts w:ascii="Times New Roman" w:hAnsi="Times New Roman"/>
                <w:sz w:val="24"/>
                <w:szCs w:val="24"/>
              </w:rPr>
            </w:pPr>
            <w:r w:rsidRPr="00DB638E">
              <w:rPr>
                <w:rFonts w:ascii="Times New Roman" w:hAnsi="Times New Roman"/>
                <w:sz w:val="24"/>
                <w:szCs w:val="24"/>
              </w:rPr>
              <w:t xml:space="preserve">Соотношение рисков </w:t>
            </w:r>
            <w:r w:rsidR="00231A9A" w:rsidRPr="00DB638E">
              <w:rPr>
                <w:rFonts w:ascii="Times New Roman" w:hAnsi="Times New Roman"/>
                <w:sz w:val="24"/>
                <w:szCs w:val="24"/>
              </w:rPr>
              <w:t>(95% ДИ)</w:t>
            </w:r>
            <w:r w:rsidR="00231A9A" w:rsidRPr="00DB638E">
              <w:rPr>
                <w:rFonts w:ascii="Times New Roman" w:hAnsi="Times New Roman"/>
                <w:sz w:val="24"/>
                <w:szCs w:val="24"/>
                <w:vertAlign w:val="superscript"/>
              </w:rPr>
              <w:t>1</w:t>
            </w:r>
          </w:p>
        </w:tc>
        <w:tc>
          <w:tcPr>
            <w:tcW w:w="2829" w:type="pct"/>
            <w:gridSpan w:val="2"/>
            <w:shd w:val="clear" w:color="auto" w:fill="auto"/>
          </w:tcPr>
          <w:p w14:paraId="451F13F2" w14:textId="77777777" w:rsidR="00231A9A" w:rsidRPr="00DB638E" w:rsidRDefault="00231A9A" w:rsidP="003C21BB">
            <w:pPr>
              <w:spacing w:after="0" w:line="240" w:lineRule="auto"/>
              <w:jc w:val="center"/>
              <w:rPr>
                <w:rFonts w:ascii="Times New Roman" w:hAnsi="Times New Roman"/>
                <w:sz w:val="24"/>
                <w:szCs w:val="24"/>
              </w:rPr>
            </w:pPr>
            <w:r w:rsidRPr="00DB638E">
              <w:rPr>
                <w:rFonts w:ascii="Times New Roman" w:hAnsi="Times New Roman"/>
                <w:sz w:val="24"/>
                <w:szCs w:val="24"/>
              </w:rPr>
              <w:t>0.44 (0.36, 0.52)</w:t>
            </w:r>
          </w:p>
        </w:tc>
      </w:tr>
      <w:tr w:rsidR="00231A9A" w:rsidRPr="00DB638E" w14:paraId="324431F3" w14:textId="77777777" w:rsidTr="00F80539">
        <w:tc>
          <w:tcPr>
            <w:tcW w:w="2171" w:type="pct"/>
            <w:shd w:val="clear" w:color="auto" w:fill="auto"/>
          </w:tcPr>
          <w:p w14:paraId="2A44BBAE" w14:textId="77777777" w:rsidR="00231A9A" w:rsidRPr="00DB638E" w:rsidRDefault="00231A9A" w:rsidP="003C21BB">
            <w:pPr>
              <w:spacing w:after="0" w:line="240" w:lineRule="auto"/>
              <w:jc w:val="both"/>
              <w:rPr>
                <w:rFonts w:ascii="Times New Roman" w:hAnsi="Times New Roman"/>
                <w:sz w:val="24"/>
                <w:szCs w:val="24"/>
              </w:rPr>
            </w:pPr>
            <w:r w:rsidRPr="00DB638E">
              <w:rPr>
                <w:rFonts w:ascii="Times New Roman" w:hAnsi="Times New Roman"/>
                <w:sz w:val="24"/>
                <w:szCs w:val="24"/>
              </w:rPr>
              <w:t>р-значение</w:t>
            </w:r>
            <w:r w:rsidRPr="00DB638E">
              <w:rPr>
                <w:rFonts w:ascii="Times New Roman" w:hAnsi="Times New Roman"/>
                <w:sz w:val="24"/>
                <w:szCs w:val="24"/>
                <w:vertAlign w:val="superscript"/>
              </w:rPr>
              <w:t>1</w:t>
            </w:r>
          </w:p>
        </w:tc>
        <w:tc>
          <w:tcPr>
            <w:tcW w:w="2829" w:type="pct"/>
            <w:gridSpan w:val="2"/>
            <w:shd w:val="clear" w:color="auto" w:fill="auto"/>
          </w:tcPr>
          <w:p w14:paraId="29E0DB27" w14:textId="77777777" w:rsidR="00231A9A" w:rsidRPr="00DB638E" w:rsidRDefault="00231A9A" w:rsidP="003C21BB">
            <w:pPr>
              <w:spacing w:after="0" w:line="240" w:lineRule="auto"/>
              <w:jc w:val="center"/>
              <w:rPr>
                <w:rFonts w:ascii="Times New Roman" w:hAnsi="Times New Roman"/>
                <w:sz w:val="24"/>
                <w:szCs w:val="24"/>
              </w:rPr>
            </w:pPr>
            <w:r w:rsidRPr="00DB638E">
              <w:rPr>
                <w:rFonts w:ascii="Times New Roman" w:hAnsi="Times New Roman"/>
                <w:sz w:val="24"/>
                <w:szCs w:val="24"/>
              </w:rPr>
              <w:t>p</w:t>
            </w:r>
            <w:r w:rsidR="00234F1D" w:rsidRPr="00DB638E">
              <w:rPr>
                <w:rFonts w:ascii="Times New Roman" w:hAnsi="Times New Roman"/>
                <w:sz w:val="24"/>
                <w:szCs w:val="24"/>
              </w:rPr>
              <w:t xml:space="preserve"> </w:t>
            </w:r>
            <w:r w:rsidRPr="00DB638E">
              <w:rPr>
                <w:rFonts w:ascii="Times New Roman" w:hAnsi="Times New Roman"/>
                <w:sz w:val="24"/>
                <w:szCs w:val="24"/>
              </w:rPr>
              <w:t>&lt;0.0001</w:t>
            </w:r>
          </w:p>
        </w:tc>
      </w:tr>
      <w:tr w:rsidR="00231A9A" w:rsidRPr="00DB638E" w14:paraId="269EED6C" w14:textId="77777777" w:rsidTr="00F80539">
        <w:tc>
          <w:tcPr>
            <w:tcW w:w="5000" w:type="pct"/>
            <w:gridSpan w:val="3"/>
            <w:shd w:val="clear" w:color="auto" w:fill="auto"/>
          </w:tcPr>
          <w:p w14:paraId="7D3CF564" w14:textId="77777777" w:rsidR="00231A9A" w:rsidRPr="00DB638E" w:rsidRDefault="00231A9A" w:rsidP="003C21BB">
            <w:pPr>
              <w:spacing w:after="0" w:line="240" w:lineRule="auto"/>
              <w:jc w:val="both"/>
              <w:rPr>
                <w:rFonts w:ascii="Times New Roman" w:hAnsi="Times New Roman"/>
                <w:b/>
                <w:sz w:val="24"/>
                <w:szCs w:val="24"/>
              </w:rPr>
            </w:pPr>
            <w:r w:rsidRPr="00DB638E">
              <w:rPr>
                <w:rFonts w:ascii="Times New Roman" w:hAnsi="Times New Roman"/>
                <w:b/>
                <w:sz w:val="24"/>
                <w:szCs w:val="24"/>
              </w:rPr>
              <w:t>Оценка точек выживаемости по методу Каплана-Мейера процента пациентов без событий на протяжении 3 месяцев</w:t>
            </w:r>
          </w:p>
        </w:tc>
      </w:tr>
      <w:tr w:rsidR="00231A9A" w:rsidRPr="00DB638E" w14:paraId="440E2265" w14:textId="77777777" w:rsidTr="00F80539">
        <w:tc>
          <w:tcPr>
            <w:tcW w:w="2171" w:type="pct"/>
            <w:shd w:val="clear" w:color="auto" w:fill="auto"/>
          </w:tcPr>
          <w:p w14:paraId="3A0717E2" w14:textId="77777777" w:rsidR="00231A9A" w:rsidRPr="00DB638E" w:rsidRDefault="00231A9A" w:rsidP="003C21BB">
            <w:pPr>
              <w:spacing w:after="0" w:line="240" w:lineRule="auto"/>
              <w:jc w:val="both"/>
              <w:rPr>
                <w:rFonts w:ascii="Times New Roman" w:hAnsi="Times New Roman"/>
                <w:sz w:val="24"/>
                <w:szCs w:val="24"/>
              </w:rPr>
            </w:pPr>
            <w:r w:rsidRPr="00DB638E">
              <w:rPr>
                <w:rFonts w:ascii="Times New Roman" w:hAnsi="Times New Roman"/>
                <w:sz w:val="24"/>
                <w:szCs w:val="24"/>
              </w:rPr>
              <w:t>% (95 % ДИ)</w:t>
            </w:r>
          </w:p>
        </w:tc>
        <w:tc>
          <w:tcPr>
            <w:tcW w:w="1368" w:type="pct"/>
            <w:shd w:val="clear" w:color="auto" w:fill="auto"/>
          </w:tcPr>
          <w:p w14:paraId="3D2C162A" w14:textId="77777777" w:rsidR="00231A9A" w:rsidRPr="00DB638E" w:rsidRDefault="00231A9A" w:rsidP="003C21BB">
            <w:pPr>
              <w:spacing w:after="0" w:line="240" w:lineRule="auto"/>
              <w:jc w:val="both"/>
              <w:rPr>
                <w:rFonts w:ascii="Times New Roman" w:hAnsi="Times New Roman"/>
                <w:sz w:val="24"/>
                <w:szCs w:val="24"/>
              </w:rPr>
            </w:pPr>
            <w:r w:rsidRPr="00DB638E">
              <w:rPr>
                <w:rFonts w:ascii="Times New Roman" w:hAnsi="Times New Roman"/>
                <w:sz w:val="24"/>
                <w:szCs w:val="24"/>
              </w:rPr>
              <w:t>67.0% (62.2%, 71.3%)</w:t>
            </w:r>
          </w:p>
        </w:tc>
        <w:tc>
          <w:tcPr>
            <w:tcW w:w="1461" w:type="pct"/>
            <w:shd w:val="clear" w:color="auto" w:fill="auto"/>
          </w:tcPr>
          <w:p w14:paraId="5F5B13A9" w14:textId="77777777" w:rsidR="00231A9A" w:rsidRPr="00DB638E" w:rsidRDefault="00231A9A" w:rsidP="003C21BB">
            <w:pPr>
              <w:spacing w:after="0" w:line="240" w:lineRule="auto"/>
              <w:jc w:val="both"/>
              <w:rPr>
                <w:rFonts w:ascii="Times New Roman" w:hAnsi="Times New Roman"/>
                <w:sz w:val="24"/>
                <w:szCs w:val="24"/>
              </w:rPr>
            </w:pPr>
            <w:r w:rsidRPr="00DB638E">
              <w:rPr>
                <w:rFonts w:ascii="Times New Roman" w:hAnsi="Times New Roman"/>
                <w:sz w:val="24"/>
                <w:szCs w:val="24"/>
              </w:rPr>
              <w:t>33.3% (27.1%, 39.7%)</w:t>
            </w:r>
          </w:p>
        </w:tc>
      </w:tr>
      <w:tr w:rsidR="00231A9A" w:rsidRPr="00DB638E" w14:paraId="5892E951" w14:textId="77777777" w:rsidTr="00F80539">
        <w:tc>
          <w:tcPr>
            <w:tcW w:w="5000" w:type="pct"/>
            <w:gridSpan w:val="3"/>
            <w:shd w:val="clear" w:color="auto" w:fill="auto"/>
          </w:tcPr>
          <w:p w14:paraId="6D4A5B06" w14:textId="0A2422A4" w:rsidR="00231A9A" w:rsidRPr="00DB638E" w:rsidRDefault="00231A9A" w:rsidP="003C21BB">
            <w:pPr>
              <w:spacing w:after="0" w:line="240" w:lineRule="auto"/>
              <w:jc w:val="both"/>
              <w:rPr>
                <w:rFonts w:ascii="Times New Roman" w:hAnsi="Times New Roman"/>
                <w:b/>
                <w:sz w:val="24"/>
                <w:szCs w:val="24"/>
              </w:rPr>
            </w:pPr>
            <w:r w:rsidRPr="00DB638E">
              <w:rPr>
                <w:rFonts w:ascii="Times New Roman" w:hAnsi="Times New Roman"/>
                <w:b/>
                <w:sz w:val="24"/>
                <w:szCs w:val="24"/>
              </w:rPr>
              <w:t>Частота объективного ответа (</w:t>
            </w:r>
            <w:r w:rsidR="00932FF7" w:rsidRPr="00DB638E">
              <w:rPr>
                <w:rFonts w:ascii="Times New Roman" w:hAnsi="Times New Roman"/>
                <w:b/>
                <w:sz w:val="24"/>
                <w:szCs w:val="24"/>
              </w:rPr>
              <w:t>ЧОО</w:t>
            </w:r>
            <w:r w:rsidRPr="00DB638E">
              <w:rPr>
                <w:rFonts w:ascii="Times New Roman" w:hAnsi="Times New Roman"/>
                <w:b/>
                <w:sz w:val="24"/>
                <w:szCs w:val="24"/>
              </w:rPr>
              <w:t xml:space="preserve">), </w:t>
            </w:r>
            <w:r w:rsidRPr="00DB638E">
              <w:rPr>
                <w:rFonts w:ascii="Times New Roman" w:hAnsi="Times New Roman"/>
                <w:b/>
                <w:sz w:val="24"/>
                <w:szCs w:val="24"/>
                <w:lang w:val="en-US"/>
              </w:rPr>
              <w:t>n</w:t>
            </w:r>
            <w:r w:rsidRPr="00DB638E">
              <w:rPr>
                <w:rFonts w:ascii="Times New Roman" w:hAnsi="Times New Roman"/>
                <w:b/>
                <w:sz w:val="24"/>
                <w:szCs w:val="24"/>
              </w:rPr>
              <w:t xml:space="preserve"> (%)</w:t>
            </w:r>
            <w:r w:rsidRPr="00DB638E">
              <w:rPr>
                <w:rFonts w:ascii="Times New Roman" w:hAnsi="Times New Roman"/>
                <w:b/>
                <w:sz w:val="24"/>
                <w:szCs w:val="24"/>
                <w:vertAlign w:val="superscript"/>
              </w:rPr>
              <w:t>3</w:t>
            </w:r>
          </w:p>
        </w:tc>
      </w:tr>
      <w:tr w:rsidR="00231A9A" w:rsidRPr="00DB638E" w14:paraId="79BA3FB3" w14:textId="77777777" w:rsidTr="00F80539">
        <w:tc>
          <w:tcPr>
            <w:tcW w:w="2171" w:type="pct"/>
            <w:shd w:val="clear" w:color="auto" w:fill="auto"/>
          </w:tcPr>
          <w:p w14:paraId="170DB73F" w14:textId="023A80A6" w:rsidR="00231A9A" w:rsidRPr="00DB638E" w:rsidRDefault="00231A9A" w:rsidP="003C21BB">
            <w:pPr>
              <w:spacing w:after="0" w:line="240" w:lineRule="auto"/>
              <w:jc w:val="both"/>
              <w:rPr>
                <w:rFonts w:ascii="Times New Roman" w:hAnsi="Times New Roman"/>
                <w:sz w:val="24"/>
                <w:szCs w:val="24"/>
              </w:rPr>
            </w:pPr>
            <w:r w:rsidRPr="00DB638E">
              <w:rPr>
                <w:rFonts w:ascii="Times New Roman" w:hAnsi="Times New Roman"/>
                <w:sz w:val="24"/>
                <w:szCs w:val="24"/>
              </w:rPr>
              <w:t>Полн</w:t>
            </w:r>
            <w:r w:rsidR="00932FF7" w:rsidRPr="00DB638E">
              <w:rPr>
                <w:rFonts w:ascii="Times New Roman" w:hAnsi="Times New Roman"/>
                <w:sz w:val="24"/>
                <w:szCs w:val="24"/>
              </w:rPr>
              <w:t>ый</w:t>
            </w:r>
            <w:r w:rsidRPr="00DB638E">
              <w:rPr>
                <w:rFonts w:ascii="Times New Roman" w:hAnsi="Times New Roman"/>
                <w:sz w:val="24"/>
                <w:szCs w:val="24"/>
              </w:rPr>
              <w:t xml:space="preserve"> </w:t>
            </w:r>
            <w:r w:rsidR="00932FF7" w:rsidRPr="00DB638E">
              <w:rPr>
                <w:rFonts w:ascii="Times New Roman" w:hAnsi="Times New Roman"/>
                <w:sz w:val="24"/>
                <w:szCs w:val="24"/>
              </w:rPr>
              <w:t xml:space="preserve">ответ </w:t>
            </w:r>
            <w:r w:rsidRPr="00DB638E">
              <w:rPr>
                <w:rFonts w:ascii="Times New Roman" w:hAnsi="Times New Roman"/>
                <w:sz w:val="24"/>
                <w:szCs w:val="24"/>
              </w:rPr>
              <w:t>(</w:t>
            </w:r>
            <w:r w:rsidR="00932FF7" w:rsidRPr="00DB638E">
              <w:rPr>
                <w:rFonts w:ascii="Times New Roman" w:hAnsi="Times New Roman"/>
                <w:sz w:val="24"/>
                <w:szCs w:val="24"/>
              </w:rPr>
              <w:t>ПО</w:t>
            </w:r>
            <w:r w:rsidRPr="00DB638E">
              <w:rPr>
                <w:rFonts w:ascii="Times New Roman" w:hAnsi="Times New Roman"/>
                <w:sz w:val="24"/>
                <w:szCs w:val="24"/>
              </w:rPr>
              <w:t>)</w:t>
            </w:r>
          </w:p>
        </w:tc>
        <w:tc>
          <w:tcPr>
            <w:tcW w:w="1368" w:type="pct"/>
            <w:shd w:val="clear" w:color="auto" w:fill="auto"/>
          </w:tcPr>
          <w:p w14:paraId="043BB82B" w14:textId="77777777" w:rsidR="00231A9A" w:rsidRPr="00DB638E" w:rsidRDefault="00231A9A" w:rsidP="003C21BB">
            <w:pPr>
              <w:spacing w:after="0" w:line="240" w:lineRule="auto"/>
              <w:jc w:val="center"/>
              <w:rPr>
                <w:rFonts w:ascii="Times New Roman" w:hAnsi="Times New Roman"/>
                <w:sz w:val="24"/>
                <w:szCs w:val="24"/>
                <w:lang w:val="en-US"/>
              </w:rPr>
            </w:pPr>
            <w:r w:rsidRPr="00DB638E">
              <w:rPr>
                <w:rFonts w:ascii="Times New Roman" w:hAnsi="Times New Roman"/>
                <w:sz w:val="24"/>
                <w:szCs w:val="24"/>
                <w:lang w:val="en-US"/>
              </w:rPr>
              <w:t>0</w:t>
            </w:r>
          </w:p>
        </w:tc>
        <w:tc>
          <w:tcPr>
            <w:tcW w:w="1461" w:type="pct"/>
            <w:shd w:val="clear" w:color="auto" w:fill="auto"/>
          </w:tcPr>
          <w:p w14:paraId="0214F9A7" w14:textId="77777777" w:rsidR="00231A9A" w:rsidRPr="00DB638E" w:rsidRDefault="00231A9A" w:rsidP="003C21BB">
            <w:pPr>
              <w:spacing w:after="0" w:line="240" w:lineRule="auto"/>
              <w:jc w:val="center"/>
              <w:rPr>
                <w:rFonts w:ascii="Times New Roman" w:hAnsi="Times New Roman"/>
                <w:sz w:val="24"/>
                <w:szCs w:val="24"/>
                <w:lang w:val="en-US"/>
              </w:rPr>
            </w:pPr>
            <w:r w:rsidRPr="00DB638E">
              <w:rPr>
                <w:rFonts w:ascii="Times New Roman" w:hAnsi="Times New Roman"/>
                <w:sz w:val="24"/>
                <w:szCs w:val="24"/>
                <w:lang w:val="en-US"/>
              </w:rPr>
              <w:t>0</w:t>
            </w:r>
          </w:p>
        </w:tc>
      </w:tr>
      <w:tr w:rsidR="00231A9A" w:rsidRPr="00DB638E" w14:paraId="50BA77D5" w14:textId="77777777" w:rsidTr="00F80539">
        <w:tc>
          <w:tcPr>
            <w:tcW w:w="2171" w:type="pct"/>
            <w:shd w:val="clear" w:color="auto" w:fill="auto"/>
          </w:tcPr>
          <w:p w14:paraId="792AB388" w14:textId="196616DB" w:rsidR="00231A9A" w:rsidRPr="00DB638E" w:rsidRDefault="00231A9A" w:rsidP="003C21BB">
            <w:pPr>
              <w:spacing w:after="0" w:line="240" w:lineRule="auto"/>
              <w:jc w:val="both"/>
              <w:rPr>
                <w:rFonts w:ascii="Times New Roman" w:hAnsi="Times New Roman"/>
                <w:sz w:val="24"/>
                <w:szCs w:val="24"/>
                <w:lang w:val="en-US"/>
              </w:rPr>
            </w:pPr>
            <w:r w:rsidRPr="00DB638E">
              <w:rPr>
                <w:rFonts w:ascii="Times New Roman" w:hAnsi="Times New Roman"/>
                <w:sz w:val="24"/>
                <w:szCs w:val="24"/>
              </w:rPr>
              <w:t>Частичный ответ (</w:t>
            </w:r>
            <w:r w:rsidR="00932FF7" w:rsidRPr="00DB638E">
              <w:rPr>
                <w:rFonts w:ascii="Times New Roman" w:hAnsi="Times New Roman"/>
                <w:sz w:val="24"/>
                <w:szCs w:val="24"/>
              </w:rPr>
              <w:t>ЧО</w:t>
            </w:r>
            <w:r w:rsidRPr="00DB638E">
              <w:rPr>
                <w:rFonts w:ascii="Times New Roman" w:hAnsi="Times New Roman"/>
                <w:sz w:val="24"/>
                <w:szCs w:val="24"/>
                <w:lang w:val="en-US"/>
              </w:rPr>
              <w:t>)</w:t>
            </w:r>
          </w:p>
        </w:tc>
        <w:tc>
          <w:tcPr>
            <w:tcW w:w="1368" w:type="pct"/>
            <w:shd w:val="clear" w:color="auto" w:fill="auto"/>
          </w:tcPr>
          <w:p w14:paraId="763662C3" w14:textId="77777777" w:rsidR="00231A9A" w:rsidRPr="00DB638E" w:rsidRDefault="00231A9A" w:rsidP="003C21BB">
            <w:pPr>
              <w:spacing w:after="0" w:line="240" w:lineRule="auto"/>
              <w:jc w:val="center"/>
              <w:rPr>
                <w:rFonts w:ascii="Times New Roman" w:hAnsi="Times New Roman"/>
                <w:sz w:val="24"/>
                <w:szCs w:val="24"/>
                <w:lang w:val="en-US"/>
              </w:rPr>
            </w:pPr>
            <w:r w:rsidRPr="00DB638E">
              <w:rPr>
                <w:rFonts w:ascii="Times New Roman" w:hAnsi="Times New Roman"/>
                <w:sz w:val="24"/>
                <w:szCs w:val="24"/>
                <w:lang w:val="en-US"/>
              </w:rPr>
              <w:t>18 (4)</w:t>
            </w:r>
          </w:p>
        </w:tc>
        <w:tc>
          <w:tcPr>
            <w:tcW w:w="1461" w:type="pct"/>
            <w:shd w:val="clear" w:color="auto" w:fill="auto"/>
          </w:tcPr>
          <w:p w14:paraId="1F77C482" w14:textId="77777777" w:rsidR="00231A9A" w:rsidRPr="00DB638E" w:rsidRDefault="00231A9A" w:rsidP="003C21BB">
            <w:pPr>
              <w:spacing w:after="0" w:line="240" w:lineRule="auto"/>
              <w:jc w:val="center"/>
              <w:rPr>
                <w:rFonts w:ascii="Times New Roman" w:hAnsi="Times New Roman"/>
                <w:sz w:val="24"/>
                <w:szCs w:val="24"/>
                <w:lang w:val="en-US"/>
              </w:rPr>
            </w:pPr>
            <w:r w:rsidRPr="00DB638E">
              <w:rPr>
                <w:rFonts w:ascii="Times New Roman" w:hAnsi="Times New Roman"/>
                <w:sz w:val="24"/>
                <w:szCs w:val="24"/>
                <w:lang w:val="en-US"/>
              </w:rPr>
              <w:t>1 (0.4)</w:t>
            </w:r>
          </w:p>
        </w:tc>
      </w:tr>
      <w:tr w:rsidR="00231A9A" w:rsidRPr="00DB638E" w14:paraId="63E28DDB" w14:textId="77777777" w:rsidTr="00F80539">
        <w:tc>
          <w:tcPr>
            <w:tcW w:w="2171" w:type="pct"/>
            <w:shd w:val="clear" w:color="auto" w:fill="auto"/>
          </w:tcPr>
          <w:p w14:paraId="1C940098" w14:textId="4D232F31" w:rsidR="00231A9A" w:rsidRPr="00DB638E" w:rsidRDefault="00304BDE" w:rsidP="003C21BB">
            <w:pPr>
              <w:spacing w:after="0" w:line="240" w:lineRule="auto"/>
              <w:jc w:val="both"/>
              <w:rPr>
                <w:rFonts w:ascii="Times New Roman" w:hAnsi="Times New Roman"/>
                <w:sz w:val="24"/>
                <w:szCs w:val="24"/>
              </w:rPr>
            </w:pPr>
            <w:r w:rsidRPr="00DB638E">
              <w:rPr>
                <w:rFonts w:ascii="Times New Roman" w:hAnsi="Times New Roman"/>
                <w:sz w:val="24"/>
                <w:szCs w:val="24"/>
              </w:rPr>
              <w:t>ЧОО</w:t>
            </w:r>
            <w:r w:rsidR="00231A9A" w:rsidRPr="00DB638E">
              <w:rPr>
                <w:rFonts w:ascii="Times New Roman" w:hAnsi="Times New Roman"/>
                <w:sz w:val="24"/>
                <w:szCs w:val="24"/>
              </w:rPr>
              <w:t xml:space="preserve"> (</w:t>
            </w:r>
            <w:r w:rsidR="00932FF7" w:rsidRPr="00DB638E">
              <w:rPr>
                <w:rFonts w:ascii="Times New Roman" w:hAnsi="Times New Roman"/>
                <w:sz w:val="24"/>
                <w:szCs w:val="24"/>
              </w:rPr>
              <w:t>ПО+ЧО</w:t>
            </w:r>
            <w:r w:rsidR="00231A9A" w:rsidRPr="00DB638E">
              <w:rPr>
                <w:rFonts w:ascii="Times New Roman" w:hAnsi="Times New Roman"/>
                <w:sz w:val="24"/>
                <w:szCs w:val="24"/>
              </w:rPr>
              <w:t>)</w:t>
            </w:r>
          </w:p>
        </w:tc>
        <w:tc>
          <w:tcPr>
            <w:tcW w:w="1368" w:type="pct"/>
            <w:shd w:val="clear" w:color="auto" w:fill="auto"/>
          </w:tcPr>
          <w:p w14:paraId="74E7955E" w14:textId="77777777" w:rsidR="00231A9A" w:rsidRPr="00DB638E" w:rsidRDefault="00231A9A" w:rsidP="003C21BB">
            <w:pPr>
              <w:spacing w:after="0" w:line="240" w:lineRule="auto"/>
              <w:jc w:val="center"/>
              <w:rPr>
                <w:rFonts w:ascii="Times New Roman" w:hAnsi="Times New Roman"/>
                <w:sz w:val="24"/>
                <w:szCs w:val="24"/>
                <w:lang w:val="en-US"/>
              </w:rPr>
            </w:pPr>
            <w:r w:rsidRPr="00DB638E">
              <w:rPr>
                <w:rFonts w:ascii="Times New Roman" w:hAnsi="Times New Roman"/>
                <w:sz w:val="24"/>
                <w:szCs w:val="24"/>
                <w:lang w:val="en-US"/>
              </w:rPr>
              <w:t>18 (4)</w:t>
            </w:r>
          </w:p>
        </w:tc>
        <w:tc>
          <w:tcPr>
            <w:tcW w:w="1461" w:type="pct"/>
            <w:shd w:val="clear" w:color="auto" w:fill="auto"/>
          </w:tcPr>
          <w:p w14:paraId="735A224B" w14:textId="77777777" w:rsidR="00231A9A" w:rsidRPr="00DB638E" w:rsidRDefault="00231A9A" w:rsidP="003C21BB">
            <w:pPr>
              <w:spacing w:after="0" w:line="240" w:lineRule="auto"/>
              <w:jc w:val="center"/>
              <w:rPr>
                <w:rFonts w:ascii="Times New Roman" w:hAnsi="Times New Roman"/>
                <w:sz w:val="24"/>
                <w:szCs w:val="24"/>
                <w:lang w:val="en-US"/>
              </w:rPr>
            </w:pPr>
            <w:r w:rsidRPr="00DB638E">
              <w:rPr>
                <w:rFonts w:ascii="Times New Roman" w:hAnsi="Times New Roman"/>
                <w:sz w:val="24"/>
                <w:szCs w:val="24"/>
                <w:lang w:val="en-US"/>
              </w:rPr>
              <w:t>1 (0.4)</w:t>
            </w:r>
          </w:p>
        </w:tc>
      </w:tr>
      <w:tr w:rsidR="00231A9A" w:rsidRPr="00DB638E" w14:paraId="4FD358C8" w14:textId="77777777" w:rsidTr="00F80539">
        <w:tc>
          <w:tcPr>
            <w:tcW w:w="2171" w:type="pct"/>
            <w:shd w:val="clear" w:color="auto" w:fill="auto"/>
          </w:tcPr>
          <w:p w14:paraId="0568F915" w14:textId="77777777" w:rsidR="00231A9A" w:rsidRPr="00DB638E" w:rsidRDefault="00231A9A" w:rsidP="003C21BB">
            <w:pPr>
              <w:spacing w:after="0" w:line="240" w:lineRule="auto"/>
              <w:jc w:val="both"/>
              <w:rPr>
                <w:rFonts w:ascii="Times New Roman" w:hAnsi="Times New Roman"/>
                <w:sz w:val="24"/>
                <w:szCs w:val="24"/>
              </w:rPr>
            </w:pPr>
            <w:r w:rsidRPr="00DB638E">
              <w:rPr>
                <w:rFonts w:ascii="Times New Roman" w:hAnsi="Times New Roman"/>
                <w:sz w:val="24"/>
                <w:szCs w:val="24"/>
              </w:rPr>
              <w:t>р</w:t>
            </w:r>
            <w:r w:rsidRPr="00DB638E">
              <w:rPr>
                <w:rFonts w:ascii="Times New Roman" w:hAnsi="Times New Roman"/>
                <w:sz w:val="24"/>
                <w:szCs w:val="24"/>
                <w:lang w:val="en-US"/>
              </w:rPr>
              <w:t>-</w:t>
            </w:r>
            <w:r w:rsidRPr="00DB638E">
              <w:rPr>
                <w:rFonts w:ascii="Times New Roman" w:hAnsi="Times New Roman"/>
                <w:sz w:val="24"/>
                <w:szCs w:val="24"/>
              </w:rPr>
              <w:t>значение</w:t>
            </w:r>
            <w:r w:rsidRPr="00DB638E">
              <w:rPr>
                <w:rFonts w:ascii="Times New Roman" w:hAnsi="Times New Roman"/>
                <w:sz w:val="24"/>
                <w:szCs w:val="24"/>
                <w:vertAlign w:val="superscript"/>
              </w:rPr>
              <w:t>1,4</w:t>
            </w:r>
            <w:r w:rsidRPr="00DB638E">
              <w:rPr>
                <w:rFonts w:ascii="Times New Roman" w:hAnsi="Times New Roman"/>
                <w:sz w:val="24"/>
                <w:szCs w:val="24"/>
              </w:rPr>
              <w:t xml:space="preserve"> </w:t>
            </w:r>
          </w:p>
        </w:tc>
        <w:tc>
          <w:tcPr>
            <w:tcW w:w="2829" w:type="pct"/>
            <w:gridSpan w:val="2"/>
            <w:shd w:val="clear" w:color="auto" w:fill="auto"/>
          </w:tcPr>
          <w:p w14:paraId="27284B09" w14:textId="77777777" w:rsidR="00231A9A" w:rsidRPr="00DB638E" w:rsidRDefault="00231A9A" w:rsidP="003C21BB">
            <w:pPr>
              <w:spacing w:after="0" w:line="240" w:lineRule="auto"/>
              <w:jc w:val="center"/>
              <w:rPr>
                <w:rFonts w:ascii="Times New Roman" w:hAnsi="Times New Roman"/>
                <w:sz w:val="24"/>
                <w:szCs w:val="24"/>
                <w:lang w:val="en-US"/>
              </w:rPr>
            </w:pPr>
            <w:r w:rsidRPr="00DB638E">
              <w:rPr>
                <w:rFonts w:ascii="Times New Roman" w:hAnsi="Times New Roman"/>
                <w:sz w:val="24"/>
                <w:szCs w:val="24"/>
                <w:lang w:val="en-US"/>
              </w:rPr>
              <w:t>p=0.0086</w:t>
            </w:r>
          </w:p>
        </w:tc>
      </w:tr>
      <w:tr w:rsidR="00231A9A" w:rsidRPr="00DB638E" w14:paraId="100440B6" w14:textId="77777777" w:rsidTr="00F80539">
        <w:tc>
          <w:tcPr>
            <w:tcW w:w="2171" w:type="pct"/>
            <w:shd w:val="clear" w:color="auto" w:fill="auto"/>
          </w:tcPr>
          <w:p w14:paraId="7A01D98D" w14:textId="77777777" w:rsidR="00231A9A" w:rsidRPr="00DB638E" w:rsidRDefault="00231A9A" w:rsidP="003C21BB">
            <w:pPr>
              <w:spacing w:after="0" w:line="240" w:lineRule="auto"/>
              <w:jc w:val="both"/>
              <w:rPr>
                <w:rFonts w:ascii="Times New Roman" w:hAnsi="Times New Roman"/>
                <w:sz w:val="24"/>
                <w:szCs w:val="24"/>
              </w:rPr>
            </w:pPr>
            <w:r w:rsidRPr="00DB638E">
              <w:rPr>
                <w:rFonts w:ascii="Times New Roman" w:hAnsi="Times New Roman"/>
                <w:sz w:val="24"/>
                <w:szCs w:val="24"/>
              </w:rPr>
              <w:t>Стабилизация заболевания</w:t>
            </w:r>
          </w:p>
        </w:tc>
        <w:tc>
          <w:tcPr>
            <w:tcW w:w="1368" w:type="pct"/>
            <w:shd w:val="clear" w:color="auto" w:fill="auto"/>
          </w:tcPr>
          <w:p w14:paraId="340401D1" w14:textId="77777777" w:rsidR="00231A9A" w:rsidRPr="00DB638E" w:rsidRDefault="00231A9A" w:rsidP="003C21BB">
            <w:pPr>
              <w:spacing w:after="0" w:line="240" w:lineRule="auto"/>
              <w:jc w:val="center"/>
              <w:rPr>
                <w:rFonts w:ascii="Times New Roman" w:hAnsi="Times New Roman"/>
                <w:sz w:val="24"/>
                <w:szCs w:val="24"/>
                <w:lang w:val="en-US"/>
              </w:rPr>
            </w:pPr>
            <w:r w:rsidRPr="00DB638E">
              <w:rPr>
                <w:rFonts w:ascii="Times New Roman" w:hAnsi="Times New Roman"/>
                <w:sz w:val="24"/>
                <w:szCs w:val="24"/>
                <w:lang w:val="en-US"/>
              </w:rPr>
              <w:t>282 (60)</w:t>
            </w:r>
          </w:p>
        </w:tc>
        <w:tc>
          <w:tcPr>
            <w:tcW w:w="1461" w:type="pct"/>
            <w:shd w:val="clear" w:color="auto" w:fill="auto"/>
          </w:tcPr>
          <w:p w14:paraId="18C671B1" w14:textId="77777777" w:rsidR="00231A9A" w:rsidRPr="00DB638E" w:rsidRDefault="00231A9A" w:rsidP="003C21BB">
            <w:pPr>
              <w:spacing w:after="0" w:line="240" w:lineRule="auto"/>
              <w:jc w:val="center"/>
              <w:rPr>
                <w:rFonts w:ascii="Times New Roman" w:hAnsi="Times New Roman"/>
                <w:sz w:val="24"/>
                <w:szCs w:val="24"/>
                <w:lang w:val="en-US"/>
              </w:rPr>
            </w:pPr>
            <w:r w:rsidRPr="00DB638E">
              <w:rPr>
                <w:rFonts w:ascii="Times New Roman" w:hAnsi="Times New Roman"/>
                <w:sz w:val="24"/>
                <w:szCs w:val="24"/>
                <w:lang w:val="en-US"/>
              </w:rPr>
              <w:t>78 (33)</w:t>
            </w:r>
          </w:p>
        </w:tc>
      </w:tr>
      <w:tr w:rsidR="00231A9A" w:rsidRPr="00DB638E" w14:paraId="37C80346" w14:textId="77777777" w:rsidTr="00F80539">
        <w:tc>
          <w:tcPr>
            <w:tcW w:w="2171" w:type="pct"/>
            <w:shd w:val="clear" w:color="auto" w:fill="auto"/>
          </w:tcPr>
          <w:p w14:paraId="0E333C72" w14:textId="77777777" w:rsidR="00231A9A" w:rsidRPr="00DB638E" w:rsidRDefault="00231A9A" w:rsidP="003C21BB">
            <w:pPr>
              <w:spacing w:after="0" w:line="240" w:lineRule="auto"/>
              <w:jc w:val="both"/>
              <w:rPr>
                <w:rFonts w:ascii="Times New Roman" w:hAnsi="Times New Roman"/>
                <w:sz w:val="24"/>
                <w:szCs w:val="24"/>
              </w:rPr>
            </w:pPr>
            <w:r w:rsidRPr="00DB638E">
              <w:rPr>
                <w:rFonts w:ascii="Times New Roman" w:hAnsi="Times New Roman"/>
                <w:sz w:val="24"/>
                <w:szCs w:val="24"/>
              </w:rPr>
              <w:t>Прогрессирование заболевания</w:t>
            </w:r>
          </w:p>
        </w:tc>
        <w:tc>
          <w:tcPr>
            <w:tcW w:w="1368" w:type="pct"/>
            <w:shd w:val="clear" w:color="auto" w:fill="auto"/>
          </w:tcPr>
          <w:p w14:paraId="5EA288FA" w14:textId="77777777" w:rsidR="00231A9A" w:rsidRPr="00DB638E" w:rsidRDefault="00231A9A" w:rsidP="003C21BB">
            <w:pPr>
              <w:spacing w:after="0" w:line="240" w:lineRule="auto"/>
              <w:jc w:val="center"/>
              <w:rPr>
                <w:rFonts w:ascii="Times New Roman" w:hAnsi="Times New Roman"/>
                <w:sz w:val="24"/>
                <w:szCs w:val="24"/>
                <w:lang w:val="en-US"/>
              </w:rPr>
            </w:pPr>
            <w:r w:rsidRPr="00DB638E">
              <w:rPr>
                <w:rFonts w:ascii="Times New Roman" w:hAnsi="Times New Roman"/>
                <w:sz w:val="24"/>
                <w:szCs w:val="24"/>
                <w:lang w:val="en-US"/>
              </w:rPr>
              <w:t>98 (21)</w:t>
            </w:r>
          </w:p>
        </w:tc>
        <w:tc>
          <w:tcPr>
            <w:tcW w:w="1461" w:type="pct"/>
            <w:shd w:val="clear" w:color="auto" w:fill="auto"/>
          </w:tcPr>
          <w:p w14:paraId="1C6DB511" w14:textId="77777777" w:rsidR="00231A9A" w:rsidRPr="00DB638E" w:rsidRDefault="00231A9A" w:rsidP="003C21BB">
            <w:pPr>
              <w:spacing w:after="0" w:line="240" w:lineRule="auto"/>
              <w:jc w:val="center"/>
              <w:rPr>
                <w:rFonts w:ascii="Times New Roman" w:hAnsi="Times New Roman"/>
                <w:sz w:val="24"/>
                <w:szCs w:val="24"/>
                <w:lang w:val="en-US"/>
              </w:rPr>
            </w:pPr>
            <w:r w:rsidRPr="00DB638E">
              <w:rPr>
                <w:rFonts w:ascii="Times New Roman" w:hAnsi="Times New Roman"/>
                <w:sz w:val="24"/>
                <w:szCs w:val="24"/>
                <w:lang w:val="en-US"/>
              </w:rPr>
              <w:t>131 (55)</w:t>
            </w:r>
          </w:p>
        </w:tc>
      </w:tr>
    </w:tbl>
    <w:bookmarkEnd w:id="135"/>
    <w:p w14:paraId="0F3273D1" w14:textId="77777777" w:rsidR="00231A9A" w:rsidRPr="00DB638E" w:rsidRDefault="00231A9A" w:rsidP="00231A9A">
      <w:pPr>
        <w:spacing w:after="0" w:line="240" w:lineRule="auto"/>
        <w:jc w:val="both"/>
        <w:rPr>
          <w:rFonts w:ascii="Times New Roman" w:hAnsi="Times New Roman"/>
          <w:sz w:val="20"/>
          <w:szCs w:val="20"/>
        </w:rPr>
      </w:pPr>
      <w:r w:rsidRPr="00DB638E">
        <w:rPr>
          <w:rFonts w:ascii="Times New Roman" w:hAnsi="Times New Roman"/>
          <w:sz w:val="20"/>
          <w:szCs w:val="20"/>
          <w:vertAlign w:val="superscript"/>
        </w:rPr>
        <w:t>1</w:t>
      </w:r>
      <w:r w:rsidRPr="00DB638E">
        <w:rPr>
          <w:rFonts w:ascii="Times New Roman" w:hAnsi="Times New Roman"/>
          <w:sz w:val="20"/>
          <w:szCs w:val="20"/>
        </w:rPr>
        <w:t xml:space="preserve"> – Двухсторонний стратифицированный логарифмический тест с этиологией заболевания (Вирус гепатита В [с или без вируса гепатита С], Вирус гепатита С [без вируса гепатита В] или др.), географическим </w:t>
      </w:r>
      <w:r w:rsidRPr="00DB638E">
        <w:rPr>
          <w:rFonts w:ascii="Times New Roman" w:hAnsi="Times New Roman"/>
          <w:sz w:val="20"/>
          <w:szCs w:val="20"/>
        </w:rPr>
        <w:lastRenderedPageBreak/>
        <w:t xml:space="preserve">регионом (Азия, другие регионы) и наличием внепеченочного распространения заболевания и/или макрососудистая инвазия (да, нет) в качестве факторов стратификации (по данным IVRS) </w:t>
      </w:r>
    </w:p>
    <w:p w14:paraId="1D91D52C" w14:textId="77777777" w:rsidR="00231A9A" w:rsidRPr="00DB638E" w:rsidRDefault="00231A9A" w:rsidP="00231A9A">
      <w:pPr>
        <w:spacing w:after="0" w:line="240" w:lineRule="auto"/>
        <w:jc w:val="both"/>
        <w:rPr>
          <w:rFonts w:ascii="Times New Roman" w:hAnsi="Times New Roman"/>
          <w:sz w:val="20"/>
          <w:szCs w:val="20"/>
        </w:rPr>
      </w:pPr>
      <w:r w:rsidRPr="00DB638E">
        <w:rPr>
          <w:rFonts w:ascii="Times New Roman" w:hAnsi="Times New Roman"/>
          <w:sz w:val="20"/>
          <w:szCs w:val="20"/>
          <w:vertAlign w:val="superscript"/>
        </w:rPr>
        <w:t>2</w:t>
      </w:r>
      <w:r w:rsidRPr="00DB638E">
        <w:rPr>
          <w:rFonts w:ascii="Times New Roman" w:hAnsi="Times New Roman"/>
          <w:sz w:val="20"/>
          <w:szCs w:val="20"/>
        </w:rPr>
        <w:t xml:space="preserve"> – оценивается с использованием модели пропорциональной опасности Кокс</w:t>
      </w:r>
    </w:p>
    <w:p w14:paraId="7EABADF5" w14:textId="77777777" w:rsidR="00231A9A" w:rsidRPr="00DB638E" w:rsidRDefault="00231A9A" w:rsidP="00231A9A">
      <w:pPr>
        <w:spacing w:after="0" w:line="240" w:lineRule="auto"/>
        <w:jc w:val="both"/>
        <w:rPr>
          <w:rFonts w:ascii="Times New Roman" w:hAnsi="Times New Roman"/>
          <w:sz w:val="20"/>
          <w:szCs w:val="20"/>
        </w:rPr>
      </w:pPr>
      <w:r w:rsidRPr="00DB638E">
        <w:rPr>
          <w:rFonts w:ascii="Times New Roman" w:hAnsi="Times New Roman"/>
          <w:sz w:val="20"/>
          <w:szCs w:val="20"/>
          <w:vertAlign w:val="superscript"/>
        </w:rPr>
        <w:t>3</w:t>
      </w:r>
      <w:r w:rsidRPr="00DB638E">
        <w:rPr>
          <w:rFonts w:ascii="Times New Roman" w:hAnsi="Times New Roman"/>
          <w:sz w:val="20"/>
          <w:szCs w:val="20"/>
        </w:rPr>
        <w:t xml:space="preserve"> – по оценке исследователя согласно RECIST 1.1 </w:t>
      </w:r>
    </w:p>
    <w:p w14:paraId="1B3D79F5" w14:textId="77777777" w:rsidR="00231A9A" w:rsidRPr="00DB638E" w:rsidRDefault="00231A9A" w:rsidP="00231A9A">
      <w:pPr>
        <w:spacing w:after="0" w:line="240" w:lineRule="auto"/>
        <w:jc w:val="both"/>
        <w:rPr>
          <w:rFonts w:ascii="Times New Roman" w:hAnsi="Times New Roman"/>
          <w:sz w:val="20"/>
          <w:szCs w:val="20"/>
          <w:u w:val="single"/>
        </w:rPr>
      </w:pPr>
      <w:r w:rsidRPr="00DB638E">
        <w:rPr>
          <w:rFonts w:ascii="Times New Roman" w:hAnsi="Times New Roman"/>
          <w:sz w:val="20"/>
          <w:szCs w:val="20"/>
          <w:vertAlign w:val="superscript"/>
        </w:rPr>
        <w:t>4</w:t>
      </w:r>
      <w:r w:rsidRPr="00DB638E">
        <w:rPr>
          <w:rFonts w:ascii="Times New Roman" w:hAnsi="Times New Roman"/>
          <w:sz w:val="20"/>
          <w:szCs w:val="20"/>
        </w:rPr>
        <w:t>-стратифицированный критерий теста Кохрана-Мантеля-Хензеля (CMH)</w:t>
      </w:r>
    </w:p>
    <w:p w14:paraId="207C597D" w14:textId="77777777" w:rsidR="00231A9A" w:rsidRPr="00DB638E" w:rsidRDefault="00231A9A" w:rsidP="00231A9A">
      <w:pPr>
        <w:spacing w:after="0" w:line="240" w:lineRule="auto"/>
        <w:jc w:val="both"/>
        <w:rPr>
          <w:rFonts w:ascii="Times New Roman" w:hAnsi="Times New Roman"/>
          <w:sz w:val="24"/>
          <w:szCs w:val="24"/>
          <w:u w:val="single"/>
        </w:rPr>
      </w:pPr>
    </w:p>
    <w:p w14:paraId="5D81CDB3" w14:textId="77777777" w:rsidR="00231A9A" w:rsidRPr="00DB638E" w:rsidRDefault="00231A9A" w:rsidP="00231A9A">
      <w:pPr>
        <w:spacing w:after="0" w:line="240" w:lineRule="auto"/>
        <w:jc w:val="both"/>
        <w:rPr>
          <w:rFonts w:ascii="Times New Roman" w:hAnsi="Times New Roman"/>
          <w:b/>
          <w:bCs/>
          <w:sz w:val="24"/>
          <w:szCs w:val="24"/>
        </w:rPr>
      </w:pPr>
      <w:r w:rsidRPr="00DB638E">
        <w:rPr>
          <w:rFonts w:ascii="Times New Roman" w:hAnsi="Times New Roman"/>
          <w:b/>
          <w:bCs/>
          <w:sz w:val="24"/>
          <w:szCs w:val="24"/>
        </w:rPr>
        <w:t xml:space="preserve">Рис. 6: Кривая Каплана Мейера </w:t>
      </w:r>
      <w:r w:rsidR="000361FF" w:rsidRPr="00DB638E">
        <w:rPr>
          <w:rFonts w:ascii="Times New Roman" w:hAnsi="Times New Roman"/>
          <w:b/>
          <w:bCs/>
          <w:sz w:val="24"/>
          <w:szCs w:val="24"/>
        </w:rPr>
        <w:t>при</w:t>
      </w:r>
      <w:r w:rsidRPr="00DB638E">
        <w:rPr>
          <w:rFonts w:ascii="Times New Roman" w:hAnsi="Times New Roman"/>
          <w:b/>
          <w:bCs/>
          <w:sz w:val="24"/>
          <w:szCs w:val="24"/>
        </w:rPr>
        <w:t xml:space="preserve"> общей выживаемости (CELESTIAL)</w:t>
      </w:r>
    </w:p>
    <w:p w14:paraId="57BD3C32" w14:textId="2B846D28" w:rsidR="00231A9A" w:rsidRPr="00DB638E" w:rsidRDefault="00BA3091" w:rsidP="000361FF">
      <w:pPr>
        <w:spacing w:after="0" w:line="240" w:lineRule="auto"/>
        <w:jc w:val="center"/>
        <w:rPr>
          <w:rFonts w:ascii="Times New Roman" w:hAnsi="Times New Roman"/>
          <w:sz w:val="24"/>
          <w:szCs w:val="24"/>
          <w:u w:val="single"/>
        </w:rPr>
      </w:pPr>
      <w:bookmarkStart w:id="136" w:name="_Hlk75287991"/>
      <w:r w:rsidRPr="00DB638E">
        <w:rPr>
          <w:noProof/>
          <w:sz w:val="24"/>
          <w:szCs w:val="24"/>
        </w:rPr>
        <mc:AlternateContent>
          <mc:Choice Requires="wps">
            <w:drawing>
              <wp:anchor distT="0" distB="0" distL="114300" distR="114300" simplePos="0" relativeHeight="251658240" behindDoc="0" locked="0" layoutInCell="1" allowOverlap="1" wp14:anchorId="1A6CCED7" wp14:editId="0FDCFA8B">
                <wp:simplePos x="0" y="0"/>
                <wp:positionH relativeFrom="column">
                  <wp:posOffset>1307465</wp:posOffset>
                </wp:positionH>
                <wp:positionV relativeFrom="paragraph">
                  <wp:posOffset>1773555</wp:posOffset>
                </wp:positionV>
                <wp:extent cx="990600" cy="422910"/>
                <wp:effectExtent l="0" t="0" r="3175" b="0"/>
                <wp:wrapNone/>
                <wp:docPr id="13"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76766" w14:textId="77777777" w:rsidR="00A66A19" w:rsidRPr="00A66A19" w:rsidRDefault="00A66A19" w:rsidP="00231A9A">
                            <w:pPr>
                              <w:spacing w:after="100"/>
                              <w:rPr>
                                <w:rFonts w:ascii="Times New Roman" w:hAnsi="Times New Roman"/>
                                <w:sz w:val="18"/>
                              </w:rPr>
                            </w:pPr>
                            <w:r w:rsidRPr="00A66A19">
                              <w:rPr>
                                <w:rFonts w:ascii="Times New Roman" w:hAnsi="Times New Roman"/>
                                <w:sz w:val="18"/>
                              </w:rPr>
                              <w:t xml:space="preserve">Кабозантиниб </w:t>
                            </w:r>
                          </w:p>
                          <w:p w14:paraId="0016A5F3" w14:textId="77777777" w:rsidR="00231A9A" w:rsidRPr="00A66A19" w:rsidRDefault="00231A9A" w:rsidP="00231A9A">
                            <w:pPr>
                              <w:spacing w:after="100"/>
                              <w:rPr>
                                <w:rFonts w:ascii="Times New Roman" w:hAnsi="Times New Roman"/>
                                <w:sz w:val="18"/>
                              </w:rPr>
                            </w:pPr>
                            <w:r w:rsidRPr="00A66A19">
                              <w:rPr>
                                <w:rFonts w:ascii="Times New Roman" w:hAnsi="Times New Roman"/>
                                <w:sz w:val="18"/>
                              </w:rPr>
                              <w:t>Плацебо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CCED7" id="Надпись 14" o:spid="_x0000_s1037" type="#_x0000_t202" style="position:absolute;left:0;text-align:left;margin-left:102.95pt;margin-top:139.65pt;width:78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" stroked="f">
                <v:textbox>
                  <w:txbxContent>
                    <w:p w14:paraId="5D076766" w14:textId="77777777" w:rsidR="00A66A19" w:rsidRPr="00A66A19" w:rsidRDefault="00A66A19" w:rsidP="00231A9A">
                      <w:pPr>
                        <w:spacing w:after="100"/>
                        <w:rPr>
                          <w:rFonts w:ascii="Times New Roman" w:hAnsi="Times New Roman"/>
                          <w:sz w:val="18"/>
                        </w:rPr>
                      </w:pPr>
                      <w:r w:rsidRPr="00A66A19">
                        <w:rPr>
                          <w:rFonts w:ascii="Times New Roman" w:hAnsi="Times New Roman"/>
                          <w:sz w:val="18"/>
                        </w:rPr>
                        <w:t xml:space="preserve">Кабозантиниб </w:t>
                      </w:r>
                    </w:p>
                    <w:p w14:paraId="0016A5F3" w14:textId="77777777" w:rsidR="00231A9A" w:rsidRPr="00A66A19" w:rsidRDefault="00231A9A" w:rsidP="00231A9A">
                      <w:pPr>
                        <w:spacing w:after="100"/>
                        <w:rPr>
                          <w:rFonts w:ascii="Times New Roman" w:hAnsi="Times New Roman"/>
                          <w:sz w:val="18"/>
                        </w:rPr>
                      </w:pPr>
                      <w:r w:rsidRPr="00A66A19">
                        <w:rPr>
                          <w:rFonts w:ascii="Times New Roman" w:hAnsi="Times New Roman"/>
                          <w:sz w:val="18"/>
                        </w:rPr>
                        <w:t>Плацебо</w:t>
                      </w:r>
                    </w:p>
                  </w:txbxContent>
                </v:textbox>
              </v:shape>
            </w:pict>
          </mc:Fallback>
        </mc:AlternateContent>
      </w:r>
      <w:r w:rsidRPr="00DB638E">
        <w:rPr>
          <w:noProof/>
          <w:sz w:val="24"/>
          <w:szCs w:val="24"/>
        </w:rPr>
        <mc:AlternateContent>
          <mc:Choice Requires="wps">
            <w:drawing>
              <wp:anchor distT="0" distB="0" distL="114300" distR="114300" simplePos="0" relativeHeight="251657216" behindDoc="0" locked="0" layoutInCell="1" allowOverlap="1" wp14:anchorId="5B47D06A" wp14:editId="70DFF94F">
                <wp:simplePos x="0" y="0"/>
                <wp:positionH relativeFrom="column">
                  <wp:posOffset>-1102995</wp:posOffset>
                </wp:positionH>
                <wp:positionV relativeFrom="paragraph">
                  <wp:posOffset>1310640</wp:posOffset>
                </wp:positionV>
                <wp:extent cx="2674620" cy="292735"/>
                <wp:effectExtent l="0" t="3810" r="0" b="0"/>
                <wp:wrapNone/>
                <wp:docPr id="12"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1CD95" w14:textId="77777777" w:rsidR="00231A9A" w:rsidRPr="00A66A19" w:rsidRDefault="00231A9A" w:rsidP="00231A9A">
                            <w:pPr>
                              <w:jc w:val="center"/>
                              <w:rPr>
                                <w:rFonts w:ascii="Times New Roman" w:hAnsi="Times New Roman"/>
                                <w:b/>
                                <w:sz w:val="24"/>
                                <w:szCs w:val="28"/>
                              </w:rPr>
                            </w:pPr>
                            <w:r w:rsidRPr="00A66A19">
                              <w:rPr>
                                <w:rFonts w:ascii="Times New Roman" w:hAnsi="Times New Roman"/>
                                <w:b/>
                                <w:sz w:val="24"/>
                                <w:szCs w:val="28"/>
                              </w:rPr>
                              <w:t xml:space="preserve">Вероятность выживаемости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7D06A" id="Надпись 9" o:spid="_x0000_s1038" type="#_x0000_t202" style="position:absolute;left:0;text-align:left;margin-left:-86.85pt;margin-top:103.2pt;width:210.6pt;height:23.0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" filled="f" stroked="f">
                <v:textbox style="layout-flow:vertical;mso-layout-flow-alt:bottom-to-top">
                  <w:txbxContent>
                    <w:p w14:paraId="2B71CD95" w14:textId="77777777" w:rsidR="00231A9A" w:rsidRPr="00A66A19" w:rsidRDefault="00231A9A" w:rsidP="00231A9A">
                      <w:pPr>
                        <w:jc w:val="center"/>
                        <w:rPr>
                          <w:rFonts w:ascii="Times New Roman" w:hAnsi="Times New Roman"/>
                          <w:b/>
                          <w:sz w:val="24"/>
                          <w:szCs w:val="28"/>
                        </w:rPr>
                      </w:pPr>
                      <w:r w:rsidRPr="00A66A19">
                        <w:rPr>
                          <w:rFonts w:ascii="Times New Roman" w:hAnsi="Times New Roman"/>
                          <w:b/>
                          <w:sz w:val="24"/>
                          <w:szCs w:val="28"/>
                        </w:rPr>
                        <w:t xml:space="preserve">Вероятность выживаемости </w:t>
                      </w:r>
                    </w:p>
                  </w:txbxContent>
                </v:textbox>
              </v:shape>
            </w:pict>
          </mc:Fallback>
        </mc:AlternateContent>
      </w:r>
      <w:r w:rsidRPr="00DB638E">
        <w:rPr>
          <w:rFonts w:ascii="Times New Roman" w:hAnsi="Times New Roman"/>
          <w:noProof/>
          <w:sz w:val="24"/>
          <w:szCs w:val="24"/>
          <w:lang w:eastAsia="ru-RU"/>
        </w:rPr>
        <w:drawing>
          <wp:inline distT="0" distB="0" distL="0" distR="0" wp14:anchorId="12B05E8F" wp14:editId="63583478">
            <wp:extent cx="4290060" cy="24765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b="18681"/>
                    <a:stretch>
                      <a:fillRect/>
                    </a:stretch>
                  </pic:blipFill>
                  <pic:spPr bwMode="auto">
                    <a:xfrm>
                      <a:off x="0" y="0"/>
                      <a:ext cx="4290060" cy="2476500"/>
                    </a:xfrm>
                    <a:prstGeom prst="rect">
                      <a:avLst/>
                    </a:prstGeom>
                    <a:noFill/>
                    <a:ln>
                      <a:noFill/>
                    </a:ln>
                  </pic:spPr>
                </pic:pic>
              </a:graphicData>
            </a:graphic>
          </wp:inline>
        </w:drawing>
      </w:r>
    </w:p>
    <w:bookmarkEnd w:id="136"/>
    <w:p w14:paraId="11BB20C9" w14:textId="77777777" w:rsidR="00A66A19" w:rsidRPr="00DB638E" w:rsidRDefault="00A66A19" w:rsidP="00A66A19">
      <w:pPr>
        <w:spacing w:after="0" w:line="240" w:lineRule="auto"/>
        <w:jc w:val="center"/>
        <w:rPr>
          <w:rFonts w:ascii="Times New Roman" w:hAnsi="Times New Roman"/>
          <w:b/>
          <w:bCs/>
          <w:sz w:val="24"/>
          <w:szCs w:val="24"/>
        </w:rPr>
      </w:pPr>
    </w:p>
    <w:p w14:paraId="52E57198" w14:textId="77777777" w:rsidR="00A66A19" w:rsidRPr="00DB638E" w:rsidRDefault="00A66A19" w:rsidP="00A66A19">
      <w:pPr>
        <w:spacing w:after="0" w:line="240" w:lineRule="auto"/>
        <w:jc w:val="center"/>
        <w:rPr>
          <w:rFonts w:ascii="Times New Roman" w:hAnsi="Times New Roman"/>
          <w:b/>
          <w:bCs/>
          <w:sz w:val="20"/>
          <w:szCs w:val="20"/>
        </w:rPr>
      </w:pPr>
      <w:r w:rsidRPr="00DB638E">
        <w:rPr>
          <w:rFonts w:ascii="Times New Roman" w:hAnsi="Times New Roman"/>
          <w:b/>
          <w:bCs/>
          <w:sz w:val="20"/>
          <w:szCs w:val="20"/>
        </w:rPr>
        <w:t>Месяцы</w:t>
      </w:r>
    </w:p>
    <w:p w14:paraId="4743C55C" w14:textId="77777777" w:rsidR="00A66A19" w:rsidRPr="00DB638E" w:rsidRDefault="00A66A19" w:rsidP="00A66A19">
      <w:pPr>
        <w:spacing w:after="0" w:line="240" w:lineRule="auto"/>
        <w:rPr>
          <w:rFonts w:ascii="Times New Roman" w:hAnsi="Times New Roman"/>
          <w:b/>
          <w:bCs/>
          <w:sz w:val="20"/>
          <w:szCs w:val="20"/>
        </w:rPr>
      </w:pPr>
      <w:r w:rsidRPr="00DB638E">
        <w:rPr>
          <w:rFonts w:ascii="Times New Roman" w:hAnsi="Times New Roman"/>
          <w:b/>
          <w:bCs/>
          <w:sz w:val="20"/>
          <w:szCs w:val="20"/>
        </w:rPr>
        <w:t>Число в риске</w:t>
      </w:r>
    </w:p>
    <w:tbl>
      <w:tblPr>
        <w:tblW w:w="5000" w:type="pct"/>
        <w:tblLook w:val="04A0" w:firstRow="1" w:lastRow="0" w:firstColumn="1" w:lastColumn="0" w:noHBand="0" w:noVBand="1"/>
      </w:tblPr>
      <w:tblGrid>
        <w:gridCol w:w="1784"/>
        <w:gridCol w:w="929"/>
        <w:gridCol w:w="929"/>
        <w:gridCol w:w="931"/>
        <w:gridCol w:w="909"/>
        <w:gridCol w:w="909"/>
        <w:gridCol w:w="909"/>
        <w:gridCol w:w="887"/>
        <w:gridCol w:w="884"/>
      </w:tblGrid>
      <w:tr w:rsidR="00A66A19" w:rsidRPr="00DB638E" w14:paraId="06E70CE7" w14:textId="77777777" w:rsidTr="003C21BB">
        <w:tc>
          <w:tcPr>
            <w:tcW w:w="984" w:type="pct"/>
            <w:shd w:val="clear" w:color="auto" w:fill="auto"/>
          </w:tcPr>
          <w:p w14:paraId="0DF73EE7"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Кабозантиниб</w:t>
            </w:r>
          </w:p>
        </w:tc>
        <w:tc>
          <w:tcPr>
            <w:tcW w:w="512" w:type="pct"/>
            <w:shd w:val="clear" w:color="auto" w:fill="auto"/>
          </w:tcPr>
          <w:p w14:paraId="6134EDA5"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470</w:t>
            </w:r>
          </w:p>
        </w:tc>
        <w:tc>
          <w:tcPr>
            <w:tcW w:w="512" w:type="pct"/>
            <w:shd w:val="clear" w:color="auto" w:fill="auto"/>
          </w:tcPr>
          <w:p w14:paraId="468DC8F4"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281</w:t>
            </w:r>
          </w:p>
        </w:tc>
        <w:tc>
          <w:tcPr>
            <w:tcW w:w="513" w:type="pct"/>
            <w:shd w:val="clear" w:color="auto" w:fill="auto"/>
          </w:tcPr>
          <w:p w14:paraId="486315B4"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159</w:t>
            </w:r>
          </w:p>
        </w:tc>
        <w:tc>
          <w:tcPr>
            <w:tcW w:w="501" w:type="pct"/>
            <w:shd w:val="clear" w:color="auto" w:fill="auto"/>
          </w:tcPr>
          <w:p w14:paraId="1C4464CC"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93</w:t>
            </w:r>
          </w:p>
        </w:tc>
        <w:tc>
          <w:tcPr>
            <w:tcW w:w="501" w:type="pct"/>
            <w:shd w:val="clear" w:color="auto" w:fill="auto"/>
          </w:tcPr>
          <w:p w14:paraId="06DBA7C0"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44</w:t>
            </w:r>
          </w:p>
        </w:tc>
        <w:tc>
          <w:tcPr>
            <w:tcW w:w="501" w:type="pct"/>
            <w:shd w:val="clear" w:color="auto" w:fill="auto"/>
          </w:tcPr>
          <w:p w14:paraId="33BF28B9"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22</w:t>
            </w:r>
          </w:p>
        </w:tc>
        <w:tc>
          <w:tcPr>
            <w:tcW w:w="489" w:type="pct"/>
            <w:shd w:val="clear" w:color="auto" w:fill="auto"/>
          </w:tcPr>
          <w:p w14:paraId="478A0EFC"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4</w:t>
            </w:r>
          </w:p>
        </w:tc>
        <w:tc>
          <w:tcPr>
            <w:tcW w:w="489" w:type="pct"/>
            <w:shd w:val="clear" w:color="auto" w:fill="auto"/>
          </w:tcPr>
          <w:p w14:paraId="166DA1DB"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0</w:t>
            </w:r>
          </w:p>
        </w:tc>
      </w:tr>
      <w:tr w:rsidR="00A66A19" w:rsidRPr="00DB638E" w14:paraId="4BD3D593" w14:textId="77777777" w:rsidTr="003C21BB">
        <w:tc>
          <w:tcPr>
            <w:tcW w:w="984" w:type="pct"/>
            <w:shd w:val="clear" w:color="auto" w:fill="auto"/>
          </w:tcPr>
          <w:p w14:paraId="68E6B230"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Плацебо</w:t>
            </w:r>
          </w:p>
        </w:tc>
        <w:tc>
          <w:tcPr>
            <w:tcW w:w="512" w:type="pct"/>
            <w:shd w:val="clear" w:color="auto" w:fill="auto"/>
          </w:tcPr>
          <w:p w14:paraId="754EC515"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237</w:t>
            </w:r>
          </w:p>
        </w:tc>
        <w:tc>
          <w:tcPr>
            <w:tcW w:w="512" w:type="pct"/>
            <w:shd w:val="clear" w:color="auto" w:fill="auto"/>
          </w:tcPr>
          <w:p w14:paraId="69EBBB2D"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117</w:t>
            </w:r>
          </w:p>
        </w:tc>
        <w:tc>
          <w:tcPr>
            <w:tcW w:w="513" w:type="pct"/>
            <w:shd w:val="clear" w:color="auto" w:fill="auto"/>
          </w:tcPr>
          <w:p w14:paraId="137893A1"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57</w:t>
            </w:r>
          </w:p>
        </w:tc>
        <w:tc>
          <w:tcPr>
            <w:tcW w:w="501" w:type="pct"/>
            <w:shd w:val="clear" w:color="auto" w:fill="auto"/>
          </w:tcPr>
          <w:p w14:paraId="13C438A5"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25</w:t>
            </w:r>
          </w:p>
        </w:tc>
        <w:tc>
          <w:tcPr>
            <w:tcW w:w="501" w:type="pct"/>
            <w:shd w:val="clear" w:color="auto" w:fill="auto"/>
          </w:tcPr>
          <w:p w14:paraId="69BDCB69"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15</w:t>
            </w:r>
          </w:p>
        </w:tc>
        <w:tc>
          <w:tcPr>
            <w:tcW w:w="501" w:type="pct"/>
            <w:shd w:val="clear" w:color="auto" w:fill="auto"/>
          </w:tcPr>
          <w:p w14:paraId="31316133"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7</w:t>
            </w:r>
          </w:p>
        </w:tc>
        <w:tc>
          <w:tcPr>
            <w:tcW w:w="489" w:type="pct"/>
            <w:shd w:val="clear" w:color="auto" w:fill="auto"/>
          </w:tcPr>
          <w:p w14:paraId="4E6AA423"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3</w:t>
            </w:r>
          </w:p>
        </w:tc>
        <w:tc>
          <w:tcPr>
            <w:tcW w:w="489" w:type="pct"/>
            <w:shd w:val="clear" w:color="auto" w:fill="auto"/>
          </w:tcPr>
          <w:p w14:paraId="6C27BEE9" w14:textId="77777777" w:rsidR="00A66A19" w:rsidRPr="00DB638E" w:rsidRDefault="00A66A19" w:rsidP="003C21BB">
            <w:pPr>
              <w:spacing w:after="0" w:line="240" w:lineRule="auto"/>
              <w:rPr>
                <w:rFonts w:ascii="Times New Roman" w:hAnsi="Times New Roman"/>
                <w:sz w:val="20"/>
                <w:szCs w:val="20"/>
              </w:rPr>
            </w:pPr>
            <w:r w:rsidRPr="00DB638E">
              <w:rPr>
                <w:rFonts w:ascii="Times New Roman" w:hAnsi="Times New Roman"/>
                <w:sz w:val="20"/>
                <w:szCs w:val="20"/>
              </w:rPr>
              <w:t>0</w:t>
            </w:r>
          </w:p>
        </w:tc>
      </w:tr>
    </w:tbl>
    <w:p w14:paraId="18B535A8" w14:textId="77777777" w:rsidR="00231A9A" w:rsidRPr="00DB638E" w:rsidRDefault="00231A9A" w:rsidP="00231A9A">
      <w:pPr>
        <w:spacing w:after="0" w:line="240" w:lineRule="auto"/>
        <w:jc w:val="both"/>
        <w:rPr>
          <w:rFonts w:ascii="Times New Roman" w:hAnsi="Times New Roman"/>
          <w:b/>
          <w:sz w:val="24"/>
          <w:szCs w:val="24"/>
        </w:rPr>
      </w:pPr>
    </w:p>
    <w:p w14:paraId="7AD82BEB" w14:textId="721CF800" w:rsidR="00231A9A" w:rsidRPr="00DB638E" w:rsidRDefault="00231A9A" w:rsidP="00231A9A">
      <w:pPr>
        <w:spacing w:after="0" w:line="240" w:lineRule="auto"/>
        <w:jc w:val="both"/>
        <w:rPr>
          <w:rFonts w:ascii="Times New Roman" w:hAnsi="Times New Roman"/>
          <w:b/>
          <w:sz w:val="24"/>
          <w:szCs w:val="24"/>
        </w:rPr>
      </w:pPr>
      <w:r w:rsidRPr="00DB638E">
        <w:rPr>
          <w:rFonts w:ascii="Times New Roman" w:hAnsi="Times New Roman"/>
          <w:b/>
          <w:sz w:val="24"/>
          <w:szCs w:val="24"/>
        </w:rPr>
        <w:t xml:space="preserve">Рис. 7: Кривая Каплана Мейера </w:t>
      </w:r>
      <w:r w:rsidR="000361FF" w:rsidRPr="00DB638E">
        <w:rPr>
          <w:rFonts w:ascii="Times New Roman" w:hAnsi="Times New Roman"/>
          <w:b/>
          <w:sz w:val="24"/>
          <w:szCs w:val="24"/>
        </w:rPr>
        <w:t>при</w:t>
      </w:r>
      <w:r w:rsidRPr="00DB638E">
        <w:rPr>
          <w:rFonts w:ascii="Times New Roman" w:hAnsi="Times New Roman"/>
          <w:b/>
          <w:sz w:val="24"/>
          <w:szCs w:val="24"/>
        </w:rPr>
        <w:t xml:space="preserve"> выживаемости без прогрессирования </w:t>
      </w:r>
      <w:bookmarkStart w:id="137" w:name="_Hlk75288099"/>
      <w:r w:rsidR="00932FF7" w:rsidRPr="00DB638E">
        <w:rPr>
          <w:rFonts w:ascii="Times New Roman" w:hAnsi="Times New Roman"/>
          <w:b/>
          <w:sz w:val="24"/>
          <w:szCs w:val="24"/>
        </w:rPr>
        <w:t xml:space="preserve">заболевания </w:t>
      </w:r>
      <w:r w:rsidRPr="00DB638E">
        <w:rPr>
          <w:rFonts w:ascii="Times New Roman" w:hAnsi="Times New Roman"/>
          <w:b/>
          <w:sz w:val="24"/>
          <w:szCs w:val="24"/>
        </w:rPr>
        <w:t>(CELESTIAL)</w:t>
      </w:r>
    </w:p>
    <w:p w14:paraId="5219D7EC" w14:textId="09C81222" w:rsidR="00231A9A" w:rsidRPr="00DB638E" w:rsidRDefault="00BA3091" w:rsidP="00231A9A">
      <w:pPr>
        <w:spacing w:after="0" w:line="240" w:lineRule="auto"/>
        <w:jc w:val="both"/>
        <w:rPr>
          <w:rFonts w:ascii="Times New Roman" w:hAnsi="Times New Roman"/>
          <w:sz w:val="24"/>
          <w:szCs w:val="24"/>
        </w:rPr>
      </w:pPr>
      <w:r w:rsidRPr="00DB638E">
        <w:rPr>
          <w:rFonts w:ascii="Times New Roman" w:hAnsi="Times New Roman"/>
          <w:b/>
          <w:noProof/>
          <w:sz w:val="24"/>
          <w:szCs w:val="24"/>
        </w:rPr>
        <mc:AlternateContent>
          <mc:Choice Requires="wps">
            <w:drawing>
              <wp:anchor distT="0" distB="0" distL="114300" distR="114300" simplePos="0" relativeHeight="251665408" behindDoc="0" locked="0" layoutInCell="1" allowOverlap="1" wp14:anchorId="6D136931" wp14:editId="3E4575E1">
                <wp:simplePos x="0" y="0"/>
                <wp:positionH relativeFrom="column">
                  <wp:posOffset>-689610</wp:posOffset>
                </wp:positionH>
                <wp:positionV relativeFrom="paragraph">
                  <wp:posOffset>862965</wp:posOffset>
                </wp:positionV>
                <wp:extent cx="2286000" cy="551815"/>
                <wp:effectExtent l="0" t="0" r="635" b="3810"/>
                <wp:wrapNone/>
                <wp:docPr id="11"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28600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43F4F" w14:textId="77777777" w:rsidR="00E1156E" w:rsidRPr="00A66A19" w:rsidRDefault="00E1156E" w:rsidP="00E1156E">
                            <w:pPr>
                              <w:jc w:val="center"/>
                              <w:rPr>
                                <w:rFonts w:ascii="Times New Roman" w:hAnsi="Times New Roman"/>
                                <w:b/>
                                <w:sz w:val="24"/>
                                <w:szCs w:val="28"/>
                              </w:rPr>
                            </w:pPr>
                            <w:r w:rsidRPr="00A66A19">
                              <w:rPr>
                                <w:rFonts w:ascii="Times New Roman" w:hAnsi="Times New Roman"/>
                                <w:b/>
                                <w:sz w:val="24"/>
                                <w:szCs w:val="28"/>
                              </w:rPr>
                              <w:t>Вероятность выживаемости</w:t>
                            </w:r>
                            <w:r>
                              <w:rPr>
                                <w:rFonts w:ascii="Times New Roman" w:hAnsi="Times New Roman"/>
                                <w:b/>
                                <w:sz w:val="24"/>
                                <w:szCs w:val="28"/>
                              </w:rPr>
                              <w:t xml:space="preserve"> без прогрессирования</w:t>
                            </w:r>
                            <w:r w:rsidRPr="00A66A19">
                              <w:rPr>
                                <w:rFonts w:ascii="Times New Roman" w:hAnsi="Times New Roman"/>
                                <w:b/>
                                <w:sz w:val="24"/>
                                <w:szCs w:val="28"/>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36931" id="_x0000_s1039" type="#_x0000_t202" style="position:absolute;left:0;text-align:left;margin-left:-54.3pt;margin-top:67.95pt;width:180pt;height:43.4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" filled="f" stroked="f">
                <v:textbox style="layout-flow:vertical;mso-layout-flow-alt:bottom-to-top">
                  <w:txbxContent>
                    <w:p w14:paraId="3EB43F4F" w14:textId="77777777" w:rsidR="00E1156E" w:rsidRPr="00A66A19" w:rsidRDefault="00E1156E" w:rsidP="00E1156E">
                      <w:pPr>
                        <w:jc w:val="center"/>
                        <w:rPr>
                          <w:rFonts w:ascii="Times New Roman" w:hAnsi="Times New Roman"/>
                          <w:b/>
                          <w:sz w:val="24"/>
                          <w:szCs w:val="28"/>
                        </w:rPr>
                      </w:pPr>
                      <w:r w:rsidRPr="00A66A19">
                        <w:rPr>
                          <w:rFonts w:ascii="Times New Roman" w:hAnsi="Times New Roman"/>
                          <w:b/>
                          <w:sz w:val="24"/>
                          <w:szCs w:val="28"/>
                        </w:rPr>
                        <w:t>Вероятность выживаемости</w:t>
                      </w:r>
                      <w:r>
                        <w:rPr>
                          <w:rFonts w:ascii="Times New Roman" w:hAnsi="Times New Roman"/>
                          <w:b/>
                          <w:sz w:val="24"/>
                          <w:szCs w:val="28"/>
                        </w:rPr>
                        <w:t xml:space="preserve"> без прогрессирования</w:t>
                      </w:r>
                      <w:r w:rsidRPr="00A66A19">
                        <w:rPr>
                          <w:rFonts w:ascii="Times New Roman" w:hAnsi="Times New Roman"/>
                          <w:b/>
                          <w:sz w:val="24"/>
                          <w:szCs w:val="28"/>
                        </w:rPr>
                        <w:t xml:space="preserve"> </w:t>
                      </w:r>
                    </w:p>
                  </w:txbxContent>
                </v:textbox>
              </v:shape>
            </w:pict>
          </mc:Fallback>
        </mc:AlternateContent>
      </w:r>
      <w:r w:rsidRPr="00DB638E">
        <w:rPr>
          <w:noProof/>
        </w:rPr>
        <w:drawing>
          <wp:anchor distT="0" distB="0" distL="114300" distR="114300" simplePos="0" relativeHeight="251663360" behindDoc="1" locked="0" layoutInCell="1" allowOverlap="1" wp14:anchorId="1CB77237" wp14:editId="6547AE33">
            <wp:simplePos x="0" y="0"/>
            <wp:positionH relativeFrom="column">
              <wp:posOffset>579755</wp:posOffset>
            </wp:positionH>
            <wp:positionV relativeFrom="paragraph">
              <wp:posOffset>71120</wp:posOffset>
            </wp:positionV>
            <wp:extent cx="4029710" cy="2309495"/>
            <wp:effectExtent l="0" t="0" r="0" b="0"/>
            <wp:wrapTight wrapText="bothSides">
              <wp:wrapPolygon edited="0">
                <wp:start x="0" y="0"/>
                <wp:lineTo x="0" y="21380"/>
                <wp:lineTo x="21546" y="21380"/>
                <wp:lineTo x="21546" y="0"/>
                <wp:lineTo x="0"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9710" cy="2309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31A9A" w:rsidRPr="00DB638E">
        <w:rPr>
          <w:rFonts w:ascii="Times New Roman" w:hAnsi="Times New Roman"/>
          <w:sz w:val="24"/>
          <w:szCs w:val="24"/>
        </w:rPr>
        <w:t xml:space="preserve">                          </w:t>
      </w:r>
    </w:p>
    <w:bookmarkEnd w:id="137"/>
    <w:p w14:paraId="447D54D2" w14:textId="60CC0CDE" w:rsidR="00231A9A" w:rsidRPr="00DB638E" w:rsidRDefault="00BA3091" w:rsidP="00231A9A">
      <w:pPr>
        <w:spacing w:after="0" w:line="240" w:lineRule="auto"/>
        <w:jc w:val="both"/>
        <w:rPr>
          <w:rFonts w:ascii="Times New Roman" w:hAnsi="Times New Roman"/>
          <w:sz w:val="24"/>
          <w:szCs w:val="24"/>
        </w:rPr>
      </w:pPr>
      <w:r w:rsidRPr="00DB638E">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44A573BC" wp14:editId="04F5B276">
                <wp:simplePos x="0" y="0"/>
                <wp:positionH relativeFrom="column">
                  <wp:posOffset>3432810</wp:posOffset>
                </wp:positionH>
                <wp:positionV relativeFrom="paragraph">
                  <wp:posOffset>68580</wp:posOffset>
                </wp:positionV>
                <wp:extent cx="990600" cy="422910"/>
                <wp:effectExtent l="0" t="0" r="1905" b="635"/>
                <wp:wrapNone/>
                <wp:docPr id="10"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88A7F" w14:textId="77777777" w:rsidR="000361FF" w:rsidRPr="00A66A19" w:rsidRDefault="000361FF" w:rsidP="000361FF">
                            <w:pPr>
                              <w:spacing w:after="100"/>
                              <w:rPr>
                                <w:rFonts w:ascii="Times New Roman" w:hAnsi="Times New Roman"/>
                                <w:sz w:val="18"/>
                              </w:rPr>
                            </w:pPr>
                            <w:r w:rsidRPr="00A66A19">
                              <w:rPr>
                                <w:rFonts w:ascii="Times New Roman" w:hAnsi="Times New Roman"/>
                                <w:sz w:val="18"/>
                              </w:rPr>
                              <w:t xml:space="preserve">Кабозантиниб </w:t>
                            </w:r>
                          </w:p>
                          <w:p w14:paraId="53561C67" w14:textId="77777777" w:rsidR="000361FF" w:rsidRPr="00A66A19" w:rsidRDefault="000361FF" w:rsidP="000361FF">
                            <w:pPr>
                              <w:spacing w:after="100"/>
                              <w:rPr>
                                <w:rFonts w:ascii="Times New Roman" w:hAnsi="Times New Roman"/>
                                <w:sz w:val="18"/>
                              </w:rPr>
                            </w:pPr>
                            <w:r w:rsidRPr="00A66A19">
                              <w:rPr>
                                <w:rFonts w:ascii="Times New Roman" w:hAnsi="Times New Roman"/>
                                <w:sz w:val="18"/>
                              </w:rPr>
                              <w:t>Плацебо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573BC" id="_x0000_s1040" type="#_x0000_t202" style="position:absolute;left:0;text-align:left;margin-left:270.3pt;margin-top:5.4pt;width:78pt;height:3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" stroked="f">
                <v:textbox>
                  <w:txbxContent>
                    <w:p w14:paraId="69288A7F" w14:textId="77777777" w:rsidR="000361FF" w:rsidRPr="00A66A19" w:rsidRDefault="000361FF" w:rsidP="000361FF">
                      <w:pPr>
                        <w:spacing w:after="100"/>
                        <w:rPr>
                          <w:rFonts w:ascii="Times New Roman" w:hAnsi="Times New Roman"/>
                          <w:sz w:val="18"/>
                        </w:rPr>
                      </w:pPr>
                      <w:r w:rsidRPr="00A66A19">
                        <w:rPr>
                          <w:rFonts w:ascii="Times New Roman" w:hAnsi="Times New Roman"/>
                          <w:sz w:val="18"/>
                        </w:rPr>
                        <w:t xml:space="preserve">Кабозантиниб </w:t>
                      </w:r>
                    </w:p>
                    <w:p w14:paraId="53561C67" w14:textId="77777777" w:rsidR="000361FF" w:rsidRPr="00A66A19" w:rsidRDefault="000361FF" w:rsidP="000361FF">
                      <w:pPr>
                        <w:spacing w:after="100"/>
                        <w:rPr>
                          <w:rFonts w:ascii="Times New Roman" w:hAnsi="Times New Roman"/>
                          <w:sz w:val="18"/>
                        </w:rPr>
                      </w:pPr>
                      <w:r w:rsidRPr="00A66A19">
                        <w:rPr>
                          <w:rFonts w:ascii="Times New Roman" w:hAnsi="Times New Roman"/>
                          <w:sz w:val="18"/>
                        </w:rPr>
                        <w:t>Плацебо</w:t>
                      </w:r>
                    </w:p>
                  </w:txbxContent>
                </v:textbox>
              </v:shape>
            </w:pict>
          </mc:Fallback>
        </mc:AlternateContent>
      </w:r>
    </w:p>
    <w:p w14:paraId="172BDF32" w14:textId="77777777" w:rsidR="00A66A19" w:rsidRPr="00DB638E" w:rsidRDefault="00A66A19" w:rsidP="00231A9A">
      <w:pPr>
        <w:spacing w:after="0" w:line="240" w:lineRule="auto"/>
        <w:jc w:val="both"/>
        <w:rPr>
          <w:rFonts w:ascii="Times New Roman" w:hAnsi="Times New Roman"/>
          <w:sz w:val="24"/>
          <w:szCs w:val="24"/>
        </w:rPr>
      </w:pPr>
    </w:p>
    <w:p w14:paraId="091E5204" w14:textId="77777777" w:rsidR="00A66A19" w:rsidRPr="00DB638E" w:rsidRDefault="00A66A19" w:rsidP="00231A9A">
      <w:pPr>
        <w:spacing w:after="0" w:line="240" w:lineRule="auto"/>
        <w:jc w:val="both"/>
        <w:rPr>
          <w:rFonts w:ascii="Times New Roman" w:hAnsi="Times New Roman"/>
          <w:sz w:val="24"/>
          <w:szCs w:val="24"/>
        </w:rPr>
      </w:pPr>
    </w:p>
    <w:p w14:paraId="6B3D168D" w14:textId="77777777" w:rsidR="00A66A19" w:rsidRPr="00DB638E" w:rsidRDefault="00A66A19" w:rsidP="00231A9A">
      <w:pPr>
        <w:spacing w:after="0" w:line="240" w:lineRule="auto"/>
        <w:jc w:val="both"/>
        <w:rPr>
          <w:rFonts w:ascii="Times New Roman" w:hAnsi="Times New Roman"/>
          <w:sz w:val="24"/>
          <w:szCs w:val="24"/>
        </w:rPr>
      </w:pPr>
    </w:p>
    <w:p w14:paraId="21971AC8" w14:textId="77777777" w:rsidR="00231A9A" w:rsidRPr="00DB638E" w:rsidRDefault="00231A9A" w:rsidP="00231A9A">
      <w:pPr>
        <w:spacing w:after="0" w:line="240" w:lineRule="auto"/>
        <w:jc w:val="both"/>
        <w:rPr>
          <w:rFonts w:ascii="Times New Roman" w:hAnsi="Times New Roman"/>
          <w:sz w:val="24"/>
          <w:szCs w:val="24"/>
        </w:rPr>
      </w:pPr>
    </w:p>
    <w:p w14:paraId="3CEB325D" w14:textId="77777777" w:rsidR="00A66A19" w:rsidRPr="00DB638E" w:rsidRDefault="00A66A19" w:rsidP="00231A9A">
      <w:pPr>
        <w:spacing w:after="0" w:line="240" w:lineRule="auto"/>
        <w:jc w:val="both"/>
        <w:rPr>
          <w:rFonts w:ascii="Times New Roman" w:hAnsi="Times New Roman"/>
          <w:sz w:val="24"/>
          <w:szCs w:val="24"/>
        </w:rPr>
      </w:pPr>
    </w:p>
    <w:p w14:paraId="25F7ED1B" w14:textId="77777777" w:rsidR="00A66A19" w:rsidRPr="00DB638E" w:rsidRDefault="00A66A19" w:rsidP="00231A9A">
      <w:pPr>
        <w:spacing w:after="0" w:line="240" w:lineRule="auto"/>
        <w:jc w:val="both"/>
        <w:rPr>
          <w:rFonts w:ascii="Times New Roman" w:hAnsi="Times New Roman"/>
          <w:sz w:val="24"/>
          <w:szCs w:val="24"/>
        </w:rPr>
      </w:pPr>
    </w:p>
    <w:p w14:paraId="334FFE0D" w14:textId="77777777" w:rsidR="00A66A19" w:rsidRPr="00DB638E" w:rsidRDefault="00A66A19" w:rsidP="00231A9A">
      <w:pPr>
        <w:spacing w:after="0" w:line="240" w:lineRule="auto"/>
        <w:jc w:val="both"/>
        <w:rPr>
          <w:rFonts w:ascii="Times New Roman" w:hAnsi="Times New Roman"/>
          <w:sz w:val="24"/>
          <w:szCs w:val="24"/>
        </w:rPr>
      </w:pPr>
    </w:p>
    <w:p w14:paraId="1ED1F903" w14:textId="77777777" w:rsidR="00A66A19" w:rsidRPr="00DB638E" w:rsidRDefault="00A66A19" w:rsidP="00231A9A">
      <w:pPr>
        <w:spacing w:after="0" w:line="240" w:lineRule="auto"/>
        <w:jc w:val="both"/>
        <w:rPr>
          <w:rFonts w:ascii="Times New Roman" w:hAnsi="Times New Roman"/>
          <w:sz w:val="24"/>
          <w:szCs w:val="24"/>
        </w:rPr>
      </w:pPr>
    </w:p>
    <w:p w14:paraId="784ABC15" w14:textId="77777777" w:rsidR="00A66A19" w:rsidRPr="00DB638E" w:rsidRDefault="00A66A19" w:rsidP="00231A9A">
      <w:pPr>
        <w:spacing w:after="0" w:line="240" w:lineRule="auto"/>
        <w:jc w:val="both"/>
        <w:rPr>
          <w:rFonts w:ascii="Times New Roman" w:hAnsi="Times New Roman"/>
          <w:sz w:val="24"/>
          <w:szCs w:val="24"/>
        </w:rPr>
      </w:pPr>
    </w:p>
    <w:p w14:paraId="661E6338" w14:textId="77777777" w:rsidR="00A66A19" w:rsidRPr="00DB638E" w:rsidRDefault="00A66A19" w:rsidP="00231A9A">
      <w:pPr>
        <w:spacing w:after="0" w:line="240" w:lineRule="auto"/>
        <w:jc w:val="both"/>
        <w:rPr>
          <w:rFonts w:ascii="Times New Roman" w:hAnsi="Times New Roman"/>
          <w:sz w:val="24"/>
          <w:szCs w:val="24"/>
        </w:rPr>
      </w:pPr>
    </w:p>
    <w:p w14:paraId="36D14345" w14:textId="77777777" w:rsidR="00A66A19" w:rsidRPr="00DB638E" w:rsidRDefault="00A66A19" w:rsidP="00231A9A">
      <w:pPr>
        <w:spacing w:after="0" w:line="240" w:lineRule="auto"/>
        <w:jc w:val="both"/>
        <w:rPr>
          <w:rFonts w:ascii="Times New Roman" w:hAnsi="Times New Roman"/>
          <w:sz w:val="24"/>
          <w:szCs w:val="24"/>
        </w:rPr>
      </w:pPr>
    </w:p>
    <w:p w14:paraId="150E8570" w14:textId="77777777" w:rsidR="00A66A19" w:rsidRPr="00DB638E" w:rsidRDefault="00A66A19" w:rsidP="00231A9A">
      <w:pPr>
        <w:spacing w:after="0" w:line="240" w:lineRule="auto"/>
        <w:jc w:val="both"/>
        <w:rPr>
          <w:rFonts w:ascii="Times New Roman" w:hAnsi="Times New Roman"/>
          <w:sz w:val="24"/>
          <w:szCs w:val="24"/>
        </w:rPr>
      </w:pPr>
    </w:p>
    <w:p w14:paraId="6921C538" w14:textId="77777777" w:rsidR="00A66A19" w:rsidRPr="00DB638E" w:rsidRDefault="000361FF" w:rsidP="000361FF">
      <w:pPr>
        <w:spacing w:after="0" w:line="240" w:lineRule="auto"/>
        <w:jc w:val="center"/>
        <w:rPr>
          <w:rFonts w:ascii="Times New Roman" w:hAnsi="Times New Roman"/>
          <w:b/>
          <w:bCs/>
          <w:sz w:val="20"/>
          <w:szCs w:val="20"/>
        </w:rPr>
      </w:pPr>
      <w:r w:rsidRPr="00DB638E">
        <w:rPr>
          <w:rFonts w:ascii="Times New Roman" w:hAnsi="Times New Roman"/>
          <w:b/>
          <w:bCs/>
          <w:sz w:val="20"/>
          <w:szCs w:val="20"/>
        </w:rPr>
        <w:t>Месяцы</w:t>
      </w:r>
    </w:p>
    <w:p w14:paraId="4F97E3A3" w14:textId="77777777" w:rsidR="000361FF" w:rsidRPr="00DB638E" w:rsidRDefault="000361FF" w:rsidP="00304BDE">
      <w:pPr>
        <w:spacing w:after="0" w:line="240" w:lineRule="auto"/>
        <w:rPr>
          <w:rFonts w:ascii="Times New Roman" w:hAnsi="Times New Roman"/>
          <w:b/>
          <w:bCs/>
          <w:sz w:val="24"/>
          <w:szCs w:val="24"/>
        </w:rPr>
      </w:pPr>
    </w:p>
    <w:p w14:paraId="1104CC71" w14:textId="77777777" w:rsidR="000361FF" w:rsidRPr="00DB638E" w:rsidRDefault="000361FF" w:rsidP="000361FF">
      <w:pPr>
        <w:spacing w:after="0" w:line="240" w:lineRule="auto"/>
        <w:rPr>
          <w:rFonts w:ascii="Times New Roman" w:hAnsi="Times New Roman"/>
          <w:sz w:val="24"/>
          <w:szCs w:val="24"/>
        </w:rPr>
      </w:pPr>
      <w:r w:rsidRPr="00DB638E">
        <w:rPr>
          <w:rFonts w:ascii="Times New Roman" w:hAnsi="Times New Roman"/>
          <w:b/>
          <w:bCs/>
          <w:sz w:val="24"/>
          <w:szCs w:val="24"/>
        </w:rPr>
        <w:t>Число в риске</w:t>
      </w:r>
    </w:p>
    <w:tbl>
      <w:tblPr>
        <w:tblW w:w="0" w:type="auto"/>
        <w:tblLook w:val="04A0" w:firstRow="1" w:lastRow="0" w:firstColumn="1" w:lastColumn="0" w:noHBand="0" w:noVBand="1"/>
      </w:tblPr>
      <w:tblGrid>
        <w:gridCol w:w="1425"/>
        <w:gridCol w:w="1121"/>
        <w:gridCol w:w="1123"/>
        <w:gridCol w:w="1099"/>
        <w:gridCol w:w="1099"/>
        <w:gridCol w:w="1074"/>
        <w:gridCol w:w="1074"/>
        <w:gridCol w:w="1056"/>
      </w:tblGrid>
      <w:tr w:rsidR="000361FF" w:rsidRPr="00DB638E" w14:paraId="59859B3B" w14:textId="77777777" w:rsidTr="00044F3E">
        <w:trPr>
          <w:trHeight w:val="277"/>
        </w:trPr>
        <w:tc>
          <w:tcPr>
            <w:tcW w:w="1425" w:type="dxa"/>
            <w:shd w:val="clear" w:color="auto" w:fill="auto"/>
          </w:tcPr>
          <w:p w14:paraId="0023D7EE" w14:textId="77777777" w:rsidR="000361FF" w:rsidRPr="00DB638E" w:rsidRDefault="000361FF" w:rsidP="00044F3E">
            <w:pPr>
              <w:spacing w:after="0" w:line="240" w:lineRule="auto"/>
              <w:rPr>
                <w:rFonts w:ascii="Times New Roman" w:hAnsi="Times New Roman"/>
                <w:sz w:val="18"/>
              </w:rPr>
            </w:pPr>
            <w:r w:rsidRPr="00DB638E">
              <w:rPr>
                <w:rFonts w:ascii="Times New Roman" w:hAnsi="Times New Roman"/>
                <w:sz w:val="20"/>
                <w:szCs w:val="24"/>
              </w:rPr>
              <w:t xml:space="preserve">Кабозантиниб </w:t>
            </w:r>
          </w:p>
        </w:tc>
        <w:tc>
          <w:tcPr>
            <w:tcW w:w="1149" w:type="dxa"/>
            <w:shd w:val="clear" w:color="auto" w:fill="auto"/>
          </w:tcPr>
          <w:p w14:paraId="7A1F86DF"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470</w:t>
            </w:r>
          </w:p>
        </w:tc>
        <w:tc>
          <w:tcPr>
            <w:tcW w:w="1150" w:type="dxa"/>
            <w:shd w:val="clear" w:color="auto" w:fill="auto"/>
          </w:tcPr>
          <w:p w14:paraId="268608CF"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131</w:t>
            </w:r>
          </w:p>
        </w:tc>
        <w:tc>
          <w:tcPr>
            <w:tcW w:w="1129" w:type="dxa"/>
            <w:shd w:val="clear" w:color="auto" w:fill="auto"/>
          </w:tcPr>
          <w:p w14:paraId="7F0CAF5B"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39</w:t>
            </w:r>
          </w:p>
        </w:tc>
        <w:tc>
          <w:tcPr>
            <w:tcW w:w="1129" w:type="dxa"/>
            <w:shd w:val="clear" w:color="auto" w:fill="auto"/>
          </w:tcPr>
          <w:p w14:paraId="24B0452C"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10</w:t>
            </w:r>
          </w:p>
        </w:tc>
        <w:tc>
          <w:tcPr>
            <w:tcW w:w="1108" w:type="dxa"/>
            <w:shd w:val="clear" w:color="auto" w:fill="auto"/>
          </w:tcPr>
          <w:p w14:paraId="195A806E"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3</w:t>
            </w:r>
          </w:p>
        </w:tc>
        <w:tc>
          <w:tcPr>
            <w:tcW w:w="1108" w:type="dxa"/>
            <w:shd w:val="clear" w:color="auto" w:fill="auto"/>
          </w:tcPr>
          <w:p w14:paraId="3FFDAE77"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2</w:t>
            </w:r>
          </w:p>
        </w:tc>
        <w:tc>
          <w:tcPr>
            <w:tcW w:w="1089" w:type="dxa"/>
            <w:shd w:val="clear" w:color="auto" w:fill="auto"/>
          </w:tcPr>
          <w:p w14:paraId="021ACF0B"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0</w:t>
            </w:r>
          </w:p>
        </w:tc>
      </w:tr>
      <w:tr w:rsidR="000361FF" w:rsidRPr="00DB638E" w14:paraId="1F009AFE" w14:textId="77777777" w:rsidTr="00044F3E">
        <w:tc>
          <w:tcPr>
            <w:tcW w:w="1425" w:type="dxa"/>
            <w:shd w:val="clear" w:color="auto" w:fill="auto"/>
          </w:tcPr>
          <w:p w14:paraId="75A11627" w14:textId="77777777" w:rsidR="000361FF" w:rsidRPr="00DB638E" w:rsidRDefault="000361FF" w:rsidP="00044F3E">
            <w:pPr>
              <w:spacing w:after="0" w:line="240" w:lineRule="auto"/>
              <w:rPr>
                <w:rFonts w:ascii="Times New Roman" w:hAnsi="Times New Roman"/>
                <w:sz w:val="24"/>
                <w:szCs w:val="24"/>
              </w:rPr>
            </w:pPr>
            <w:r w:rsidRPr="00DB638E">
              <w:rPr>
                <w:rFonts w:ascii="Times New Roman" w:hAnsi="Times New Roman"/>
                <w:sz w:val="20"/>
                <w:szCs w:val="20"/>
              </w:rPr>
              <w:t>Плацебо</w:t>
            </w:r>
          </w:p>
        </w:tc>
        <w:tc>
          <w:tcPr>
            <w:tcW w:w="1149" w:type="dxa"/>
            <w:shd w:val="clear" w:color="auto" w:fill="auto"/>
          </w:tcPr>
          <w:p w14:paraId="3FDBC057"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237</w:t>
            </w:r>
          </w:p>
        </w:tc>
        <w:tc>
          <w:tcPr>
            <w:tcW w:w="1150" w:type="dxa"/>
            <w:shd w:val="clear" w:color="auto" w:fill="auto"/>
          </w:tcPr>
          <w:p w14:paraId="6C6EB247"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21</w:t>
            </w:r>
          </w:p>
        </w:tc>
        <w:tc>
          <w:tcPr>
            <w:tcW w:w="1129" w:type="dxa"/>
            <w:shd w:val="clear" w:color="auto" w:fill="auto"/>
          </w:tcPr>
          <w:p w14:paraId="6DBA447A"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5</w:t>
            </w:r>
          </w:p>
        </w:tc>
        <w:tc>
          <w:tcPr>
            <w:tcW w:w="1129" w:type="dxa"/>
            <w:shd w:val="clear" w:color="auto" w:fill="auto"/>
          </w:tcPr>
          <w:p w14:paraId="1DE1F1BC"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2</w:t>
            </w:r>
          </w:p>
        </w:tc>
        <w:tc>
          <w:tcPr>
            <w:tcW w:w="1108" w:type="dxa"/>
            <w:shd w:val="clear" w:color="auto" w:fill="auto"/>
          </w:tcPr>
          <w:p w14:paraId="0003850E"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1</w:t>
            </w:r>
          </w:p>
        </w:tc>
        <w:tc>
          <w:tcPr>
            <w:tcW w:w="1108" w:type="dxa"/>
            <w:shd w:val="clear" w:color="auto" w:fill="auto"/>
          </w:tcPr>
          <w:p w14:paraId="22140FB4"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0</w:t>
            </w:r>
          </w:p>
        </w:tc>
        <w:tc>
          <w:tcPr>
            <w:tcW w:w="1089" w:type="dxa"/>
            <w:shd w:val="clear" w:color="auto" w:fill="auto"/>
          </w:tcPr>
          <w:p w14:paraId="76AB26E8" w14:textId="77777777" w:rsidR="000361FF" w:rsidRPr="00DB638E" w:rsidRDefault="000361FF" w:rsidP="00044F3E">
            <w:pPr>
              <w:spacing w:after="0" w:line="240" w:lineRule="auto"/>
              <w:rPr>
                <w:rFonts w:ascii="Times New Roman" w:hAnsi="Times New Roman"/>
                <w:sz w:val="20"/>
                <w:szCs w:val="20"/>
              </w:rPr>
            </w:pPr>
            <w:r w:rsidRPr="00DB638E">
              <w:rPr>
                <w:rFonts w:ascii="Times New Roman" w:hAnsi="Times New Roman"/>
                <w:sz w:val="20"/>
                <w:szCs w:val="20"/>
              </w:rPr>
              <w:t>0</w:t>
            </w:r>
          </w:p>
        </w:tc>
      </w:tr>
    </w:tbl>
    <w:p w14:paraId="7546B226" w14:textId="77777777" w:rsidR="000361FF" w:rsidRPr="00DB638E" w:rsidRDefault="000361FF" w:rsidP="000361FF">
      <w:pPr>
        <w:spacing w:after="0" w:line="240" w:lineRule="auto"/>
        <w:rPr>
          <w:rFonts w:ascii="Times New Roman" w:hAnsi="Times New Roman"/>
          <w:b/>
          <w:bCs/>
          <w:sz w:val="24"/>
          <w:szCs w:val="24"/>
        </w:rPr>
      </w:pPr>
    </w:p>
    <w:p w14:paraId="342D5EA1" w14:textId="59D6477C"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Частота системной нерадиационной и локальной печеночно-направленной системной непротокольной противоопухолевой терапии (NPACT) составила 26% в группе кабозантиниба и 33% в группе плацебо. Субъекты, получающие эти методы лечения, должны были прекратить лечение в рамках исследования. Поисковый цензурирующий анализ общей выживаемости для использования NPACT подтвердил первичный анализ: </w:t>
      </w:r>
      <w:r w:rsidR="00086905" w:rsidRPr="00DB638E">
        <w:rPr>
          <w:rFonts w:ascii="Times New Roman" w:hAnsi="Times New Roman"/>
          <w:bCs/>
          <w:iCs/>
          <w:sz w:val="24"/>
          <w:szCs w:val="24"/>
        </w:rPr>
        <w:lastRenderedPageBreak/>
        <w:t>Отношение рисков</w:t>
      </w:r>
      <w:r w:rsidRPr="00DB638E">
        <w:rPr>
          <w:rFonts w:ascii="Times New Roman" w:hAnsi="Times New Roman"/>
          <w:sz w:val="24"/>
          <w:szCs w:val="24"/>
        </w:rPr>
        <w:t>, скорректированный с учетом факторов стратификации (по IxRS), составил 0,66 (95% ДИ: 0,52, 0,84; p-значение стратифицированного логранка = 0,0005). Оценки Каплана-Мейера для средней продолжительности общей выживаемости составляли 11,1 месяца в группе кабозантиниба по сравнению с 6,9 месяцами в группе плацебо, что составляет примерно 4,2 месяца в медиане.</w:t>
      </w:r>
    </w:p>
    <w:p w14:paraId="4B942605" w14:textId="77777777" w:rsidR="00231A9A" w:rsidRPr="00DB638E" w:rsidRDefault="00231A9A" w:rsidP="00231A9A">
      <w:pPr>
        <w:spacing w:after="0" w:line="240" w:lineRule="auto"/>
        <w:jc w:val="both"/>
        <w:rPr>
          <w:rFonts w:ascii="Times New Roman" w:hAnsi="Times New Roman"/>
          <w:sz w:val="24"/>
          <w:szCs w:val="24"/>
        </w:rPr>
      </w:pPr>
      <w:r w:rsidRPr="00DB638E">
        <w:rPr>
          <w:rFonts w:ascii="Times New Roman" w:hAnsi="Times New Roman"/>
          <w:sz w:val="24"/>
          <w:szCs w:val="24"/>
        </w:rPr>
        <w:t xml:space="preserve">Качество жизни, не зависящее от заболевания (QoL), оценивали с использованием EuroQoL EQ-5D-5L. В первые недели лечения наблюдалось негативное влияние </w:t>
      </w:r>
      <w:r w:rsidR="004A4981" w:rsidRPr="00DB638E">
        <w:rPr>
          <w:rFonts w:ascii="Times New Roman" w:hAnsi="Times New Roman"/>
          <w:sz w:val="24"/>
          <w:szCs w:val="24"/>
        </w:rPr>
        <w:t>кабозантиниба</w:t>
      </w:r>
      <w:r w:rsidRPr="00DB638E">
        <w:rPr>
          <w:rFonts w:ascii="Times New Roman" w:hAnsi="Times New Roman"/>
          <w:sz w:val="24"/>
          <w:szCs w:val="24"/>
        </w:rPr>
        <w:t xml:space="preserve"> по сравнению с плацебо на показатель полезности индекса EQ-5D. Только ограниченные данные QoL доступны после этого периода.</w:t>
      </w:r>
    </w:p>
    <w:p w14:paraId="0D837E5D" w14:textId="3BEA51DD" w:rsidR="006B4F8D" w:rsidRPr="00DB638E" w:rsidRDefault="006B4F8D" w:rsidP="006B4F8D">
      <w:pPr>
        <w:spacing w:after="0" w:line="240" w:lineRule="auto"/>
        <w:jc w:val="both"/>
        <w:rPr>
          <w:rFonts w:ascii="Times New Roman" w:hAnsi="Times New Roman"/>
          <w:i/>
          <w:iCs/>
          <w:sz w:val="24"/>
          <w:szCs w:val="24"/>
        </w:rPr>
      </w:pPr>
      <w:r w:rsidRPr="00DB638E">
        <w:rPr>
          <w:rFonts w:ascii="Times New Roman" w:hAnsi="Times New Roman"/>
          <w:i/>
          <w:iCs/>
          <w:sz w:val="24"/>
          <w:szCs w:val="24"/>
        </w:rPr>
        <w:t>Дифференцированн</w:t>
      </w:r>
      <w:r w:rsidR="006D37D7" w:rsidRPr="00DB638E">
        <w:rPr>
          <w:rFonts w:ascii="Times New Roman" w:hAnsi="Times New Roman"/>
          <w:i/>
          <w:iCs/>
          <w:sz w:val="24"/>
          <w:szCs w:val="24"/>
        </w:rPr>
        <w:t>ая</w:t>
      </w:r>
      <w:r w:rsidRPr="00DB638E">
        <w:rPr>
          <w:rFonts w:ascii="Times New Roman" w:hAnsi="Times New Roman"/>
          <w:i/>
          <w:iCs/>
          <w:sz w:val="24"/>
          <w:szCs w:val="24"/>
        </w:rPr>
        <w:t xml:space="preserve"> </w:t>
      </w:r>
      <w:r w:rsidR="006D37D7" w:rsidRPr="00DB638E">
        <w:rPr>
          <w:rFonts w:ascii="Times New Roman" w:hAnsi="Times New Roman"/>
          <w:i/>
          <w:iCs/>
          <w:sz w:val="24"/>
          <w:szCs w:val="24"/>
        </w:rPr>
        <w:t>карцинома</w:t>
      </w:r>
      <w:r w:rsidRPr="00DB638E">
        <w:rPr>
          <w:rFonts w:ascii="Times New Roman" w:hAnsi="Times New Roman"/>
          <w:i/>
          <w:iCs/>
          <w:sz w:val="24"/>
          <w:szCs w:val="24"/>
        </w:rPr>
        <w:t xml:space="preserve"> щитовидной железы (Д</w:t>
      </w:r>
      <w:r w:rsidR="006D37D7" w:rsidRPr="00DB638E">
        <w:rPr>
          <w:rFonts w:ascii="Times New Roman" w:hAnsi="Times New Roman"/>
          <w:i/>
          <w:iCs/>
          <w:sz w:val="24"/>
          <w:szCs w:val="24"/>
        </w:rPr>
        <w:t>К</w:t>
      </w:r>
      <w:r w:rsidRPr="00DB638E">
        <w:rPr>
          <w:rFonts w:ascii="Times New Roman" w:hAnsi="Times New Roman"/>
          <w:i/>
          <w:iCs/>
          <w:sz w:val="24"/>
          <w:szCs w:val="24"/>
        </w:rPr>
        <w:t>ЩЖ)</w:t>
      </w:r>
    </w:p>
    <w:p w14:paraId="08936285" w14:textId="77777777" w:rsidR="006B4F8D" w:rsidRPr="00DB638E" w:rsidRDefault="006B4F8D" w:rsidP="006B4F8D">
      <w:pPr>
        <w:spacing w:after="0" w:line="240" w:lineRule="auto"/>
        <w:jc w:val="both"/>
        <w:rPr>
          <w:rFonts w:ascii="Times New Roman" w:hAnsi="Times New Roman"/>
          <w:i/>
          <w:iCs/>
          <w:sz w:val="24"/>
          <w:szCs w:val="24"/>
          <w:u w:val="single"/>
        </w:rPr>
      </w:pPr>
      <w:r w:rsidRPr="00DB638E">
        <w:rPr>
          <w:rFonts w:ascii="Times New Roman" w:hAnsi="Times New Roman"/>
          <w:i/>
          <w:iCs/>
          <w:sz w:val="24"/>
          <w:szCs w:val="24"/>
          <w:u w:val="single"/>
        </w:rPr>
        <w:t>Плацебо-контролируемое исследование у взрослых пациентов, ранее получавших системную терапию и невосприимчивых к радиоактивному йоду или не подходящих для него (COSMIC-311)</w:t>
      </w:r>
    </w:p>
    <w:p w14:paraId="19374CA7" w14:textId="556BEEFD" w:rsidR="006B4F8D" w:rsidRPr="00DB638E" w:rsidRDefault="006B4F8D" w:rsidP="006B4F8D">
      <w:pPr>
        <w:spacing w:after="0" w:line="240" w:lineRule="auto"/>
        <w:jc w:val="both"/>
        <w:rPr>
          <w:rFonts w:ascii="Times New Roman" w:hAnsi="Times New Roman"/>
          <w:sz w:val="24"/>
          <w:szCs w:val="24"/>
        </w:rPr>
      </w:pPr>
      <w:r w:rsidRPr="00DB638E">
        <w:rPr>
          <w:rFonts w:ascii="Times New Roman" w:hAnsi="Times New Roman"/>
          <w:sz w:val="24"/>
          <w:szCs w:val="24"/>
        </w:rPr>
        <w:t>Безопасность и эффективность кабозантиниба оценивали в рандомизированном (2:1), двойном слепом, плацебо-контролируемом, многоцентровом исследовании COSMIC-311 у взрослых пациентов с местнораспространенным или метастатическим заболеванием с дифференцированным раком щитовидной железы, прогрессировавшим после двух предшествующих терапий, нацеленных на VEGFR (включая, но не ограничиваясь ленватинибом или сорафенибом) и были резистентны к радиоактивному йоду или не подходили для лечения. Пациенты с поддающимся измерению заболеванием и документально подтвержденными рентгенологическими данными прогрессировани</w:t>
      </w:r>
      <w:r w:rsidR="00C95A90" w:rsidRPr="00DB638E">
        <w:rPr>
          <w:rFonts w:ascii="Times New Roman" w:hAnsi="Times New Roman"/>
          <w:sz w:val="24"/>
          <w:szCs w:val="24"/>
        </w:rPr>
        <w:t>я</w:t>
      </w:r>
      <w:r w:rsidRPr="00DB638E">
        <w:rPr>
          <w:rFonts w:ascii="Times New Roman" w:hAnsi="Times New Roman"/>
          <w:strike/>
          <w:sz w:val="24"/>
          <w:szCs w:val="24"/>
        </w:rPr>
        <w:t xml:space="preserve"> </w:t>
      </w:r>
      <w:r w:rsidR="00C95A90" w:rsidRPr="00DB638E">
        <w:rPr>
          <w:rFonts w:ascii="Times New Roman" w:hAnsi="Times New Roman"/>
          <w:sz w:val="24"/>
          <w:szCs w:val="24"/>
        </w:rPr>
        <w:t xml:space="preserve">согласно RECIST </w:t>
      </w:r>
      <w:r w:rsidRPr="00DB638E">
        <w:rPr>
          <w:rFonts w:ascii="Times New Roman" w:hAnsi="Times New Roman"/>
          <w:sz w:val="24"/>
          <w:szCs w:val="24"/>
        </w:rPr>
        <w:t>1</w:t>
      </w:r>
      <w:r w:rsidR="00C95A90" w:rsidRPr="00DB638E">
        <w:rPr>
          <w:rFonts w:ascii="Times New Roman" w:hAnsi="Times New Roman"/>
          <w:sz w:val="24"/>
          <w:szCs w:val="24"/>
        </w:rPr>
        <w:t>.</w:t>
      </w:r>
      <w:r w:rsidRPr="00DB638E">
        <w:rPr>
          <w:rFonts w:ascii="Times New Roman" w:hAnsi="Times New Roman"/>
          <w:sz w:val="24"/>
          <w:szCs w:val="24"/>
        </w:rPr>
        <w:t xml:space="preserve">1 </w:t>
      </w:r>
      <w:r w:rsidR="00A25C08" w:rsidRPr="00DB638E">
        <w:rPr>
          <w:rFonts w:ascii="Times New Roman" w:hAnsi="Times New Roman"/>
          <w:sz w:val="24"/>
          <w:szCs w:val="24"/>
        </w:rPr>
        <w:t xml:space="preserve">по мнению </w:t>
      </w:r>
      <w:r w:rsidRPr="00DB638E">
        <w:rPr>
          <w:rFonts w:ascii="Times New Roman" w:hAnsi="Times New Roman"/>
          <w:sz w:val="24"/>
          <w:szCs w:val="24"/>
        </w:rPr>
        <w:t xml:space="preserve">исследователя во время или после лечения </w:t>
      </w:r>
      <w:r w:rsidR="00A25C08" w:rsidRPr="00DB638E">
        <w:rPr>
          <w:rFonts w:ascii="Times New Roman" w:hAnsi="Times New Roman"/>
          <w:sz w:val="24"/>
          <w:szCs w:val="24"/>
        </w:rPr>
        <w:t xml:space="preserve">TKI, нацеленного на </w:t>
      </w:r>
      <w:r w:rsidRPr="00DB638E">
        <w:rPr>
          <w:rFonts w:ascii="Times New Roman" w:hAnsi="Times New Roman"/>
          <w:sz w:val="24"/>
          <w:szCs w:val="24"/>
        </w:rPr>
        <w:t>VEGFR, были рандомизированы (N=258) для приема кабозантиниба в дозе 60 мг перорально один раз в день (N=170) или плацебо (N=88).</w:t>
      </w:r>
    </w:p>
    <w:p w14:paraId="68AF6FA8" w14:textId="5D3F5FC8" w:rsidR="006B4F8D" w:rsidRPr="00DB638E" w:rsidRDefault="006B4F8D" w:rsidP="006B4F8D">
      <w:pPr>
        <w:spacing w:after="0" w:line="240" w:lineRule="auto"/>
        <w:jc w:val="both"/>
        <w:rPr>
          <w:rFonts w:ascii="Times New Roman" w:hAnsi="Times New Roman"/>
          <w:sz w:val="24"/>
          <w:szCs w:val="24"/>
        </w:rPr>
      </w:pPr>
      <w:r w:rsidRPr="00DB638E">
        <w:rPr>
          <w:rFonts w:ascii="Times New Roman" w:hAnsi="Times New Roman"/>
          <w:sz w:val="24"/>
          <w:szCs w:val="24"/>
        </w:rPr>
        <w:t>Рандомизация была стратифицирована по предшествующему приему ленватиниба (да или нет) и возрасту (≤ 65 лет против &gt; 65 лет). Подходящим пациентам, рандомизированным в группу плацебо, разрешалось переходить на кабозантиниб после подтверждения прогрессирования заболевания слепым независимым комитетом по радиологическому обзору (BIRC).</w:t>
      </w:r>
      <w:r w:rsidR="00A90DC8" w:rsidRPr="00DB638E">
        <w:rPr>
          <w:rFonts w:ascii="Times New Roman" w:hAnsi="Times New Roman"/>
          <w:sz w:val="24"/>
          <w:szCs w:val="24"/>
        </w:rPr>
        <w:t xml:space="preserve"> </w:t>
      </w:r>
      <w:r w:rsidRPr="00DB638E">
        <w:rPr>
          <w:rFonts w:ascii="Times New Roman" w:hAnsi="Times New Roman"/>
          <w:sz w:val="24"/>
          <w:szCs w:val="24"/>
        </w:rPr>
        <w:t xml:space="preserve">Субъекты продолжали лечение в слепом исследовании до тех пор, пока не наблюдалась клиническая польза или пока не проявилась неприемлемая токсичность. Первичными показателями эффективности были выживаемость без прогрессирования </w:t>
      </w:r>
      <w:r w:rsidR="00910E6A" w:rsidRPr="00DB638E">
        <w:rPr>
          <w:rFonts w:ascii="Times New Roman" w:hAnsi="Times New Roman"/>
          <w:sz w:val="24"/>
          <w:szCs w:val="24"/>
        </w:rPr>
        <w:t xml:space="preserve">заболевания </w:t>
      </w:r>
      <w:r w:rsidRPr="00DB638E">
        <w:rPr>
          <w:rFonts w:ascii="Times New Roman" w:hAnsi="Times New Roman"/>
          <w:sz w:val="24"/>
          <w:szCs w:val="24"/>
        </w:rPr>
        <w:t>(ВБП</w:t>
      </w:r>
      <w:r w:rsidR="00910E6A" w:rsidRPr="00DB638E">
        <w:rPr>
          <w:rFonts w:ascii="Times New Roman" w:hAnsi="Times New Roman"/>
          <w:sz w:val="24"/>
          <w:szCs w:val="24"/>
        </w:rPr>
        <w:t>З</w:t>
      </w:r>
      <w:r w:rsidRPr="00DB638E">
        <w:rPr>
          <w:rFonts w:ascii="Times New Roman" w:hAnsi="Times New Roman"/>
          <w:sz w:val="24"/>
          <w:szCs w:val="24"/>
        </w:rPr>
        <w:t>) в популяции ITT и частота объективных ответов (ЧОО) у первых 100 рандомизированных пациентов по оценке BIRC в соответствии с RECIST 1.1. Оценку опухоли проводили каждые 8 недель после рандомизации в течение первых 12 месяцев исследования, а затем каждые 12 недель. Общая выживаемость (ОВ) была дополнительной конечной точкой.</w:t>
      </w:r>
    </w:p>
    <w:p w14:paraId="2D5B7C57" w14:textId="634A67C7" w:rsidR="00661809" w:rsidRPr="00DB638E" w:rsidRDefault="00661809" w:rsidP="00661809">
      <w:pPr>
        <w:spacing w:after="0" w:line="240" w:lineRule="auto"/>
        <w:jc w:val="both"/>
        <w:rPr>
          <w:rFonts w:ascii="Times New Roman" w:hAnsi="Times New Roman"/>
          <w:sz w:val="24"/>
          <w:szCs w:val="24"/>
        </w:rPr>
      </w:pPr>
      <w:r w:rsidRPr="00DB638E">
        <w:rPr>
          <w:rFonts w:ascii="Times New Roman" w:hAnsi="Times New Roman"/>
          <w:sz w:val="24"/>
          <w:szCs w:val="24"/>
        </w:rPr>
        <w:t>Первичный анализ ВБП</w:t>
      </w:r>
      <w:r w:rsidR="00910E6A" w:rsidRPr="00DB638E">
        <w:rPr>
          <w:rFonts w:ascii="Times New Roman" w:hAnsi="Times New Roman"/>
          <w:sz w:val="24"/>
          <w:szCs w:val="24"/>
        </w:rPr>
        <w:t>З</w:t>
      </w:r>
      <w:r w:rsidRPr="00DB638E">
        <w:rPr>
          <w:rFonts w:ascii="Times New Roman" w:hAnsi="Times New Roman"/>
          <w:sz w:val="24"/>
          <w:szCs w:val="24"/>
        </w:rPr>
        <w:t xml:space="preserve"> включал 187 рандомизированных пациентов, 125 из которых принимали кабозантиниб, а 62 — плацебо. Исходные демографические характеристики и характеристики заболевания в целом были сбалансированы для обеих групп лечения. Медиана возраста составила 66 лет (от 32 до 85 лет), 51% были в возрасте ≥ 65 лет, 13% — в возрасте ≥ 75 лет. Большинство пациентов были белыми (70%), 18% пациентов были азиатами и 55% были женщинами. Гистологически у 55% был подтвержден диагноз папиллярной карциномы щитовидной железы, у 48% — фолликулярная карцинома щитовидной железы, в том числе у 17% — рак щитовидной железы из клеток Гюртле. Метастазы присутствовали у 95% пациентов: легкие у 68%, лимфатические узлы у 67%, кости у 29%, плевра у 18% и печень у 15%. Пять пациентов ранее не получали RAI из-за неприемлемости, 63% ранее получали ленватиниб, 60% ранее получали сорафениб и 23% получали как сорафениб, так и ленватиниб. Исходный статус работоспособности по шкале ECOG был 0 (48%) или 1 (52%).</w:t>
      </w:r>
    </w:p>
    <w:p w14:paraId="29BDD632" w14:textId="77777777" w:rsidR="00661809" w:rsidRPr="00DB638E" w:rsidRDefault="00661809" w:rsidP="00661809">
      <w:pPr>
        <w:spacing w:after="0" w:line="240" w:lineRule="auto"/>
        <w:jc w:val="both"/>
        <w:rPr>
          <w:rFonts w:ascii="Times New Roman" w:hAnsi="Times New Roman"/>
          <w:sz w:val="24"/>
          <w:szCs w:val="24"/>
        </w:rPr>
      </w:pPr>
      <w:r w:rsidRPr="00DB638E">
        <w:rPr>
          <w:rFonts w:ascii="Times New Roman" w:hAnsi="Times New Roman"/>
          <w:sz w:val="24"/>
          <w:szCs w:val="24"/>
        </w:rPr>
        <w:t>Средняя продолжительность лечения составила 4,4 месяца в группе кабозантиниба и 2,3 месяца в группе плацебо.</w:t>
      </w:r>
    </w:p>
    <w:p w14:paraId="72CF05AA" w14:textId="2041A7B1" w:rsidR="00661809" w:rsidRPr="00DB638E" w:rsidRDefault="00661809" w:rsidP="00661809">
      <w:pPr>
        <w:spacing w:after="0" w:line="240" w:lineRule="auto"/>
        <w:jc w:val="both"/>
        <w:rPr>
          <w:rFonts w:ascii="Times New Roman" w:hAnsi="Times New Roman"/>
          <w:sz w:val="24"/>
          <w:szCs w:val="24"/>
        </w:rPr>
      </w:pPr>
      <w:r w:rsidRPr="00DB638E">
        <w:rPr>
          <w:rFonts w:ascii="Times New Roman" w:hAnsi="Times New Roman"/>
          <w:sz w:val="24"/>
          <w:szCs w:val="24"/>
        </w:rPr>
        <w:lastRenderedPageBreak/>
        <w:t>Результаты первичного анализа (с датой отсечки 19 августа 2020 г. и медианой периода наблюдения 6,2 месяца для ВБП</w:t>
      </w:r>
      <w:r w:rsidR="00910E6A" w:rsidRPr="00DB638E">
        <w:rPr>
          <w:rFonts w:ascii="Times New Roman" w:hAnsi="Times New Roman"/>
          <w:sz w:val="24"/>
          <w:szCs w:val="24"/>
        </w:rPr>
        <w:t>З</w:t>
      </w:r>
      <w:r w:rsidRPr="00DB638E">
        <w:rPr>
          <w:rFonts w:ascii="Times New Roman" w:hAnsi="Times New Roman"/>
          <w:sz w:val="24"/>
          <w:szCs w:val="24"/>
        </w:rPr>
        <w:t>) и обновленного анализа (с датой отсечки 08 февраля 2021 г. и медианой периода наблюдения 10,1 месяца для ВБП</w:t>
      </w:r>
      <w:r w:rsidR="00910E6A" w:rsidRPr="00DB638E">
        <w:rPr>
          <w:rFonts w:ascii="Times New Roman" w:hAnsi="Times New Roman"/>
          <w:sz w:val="24"/>
          <w:szCs w:val="24"/>
        </w:rPr>
        <w:t>З</w:t>
      </w:r>
      <w:r w:rsidRPr="00DB638E">
        <w:rPr>
          <w:rFonts w:ascii="Times New Roman" w:hAnsi="Times New Roman"/>
          <w:sz w:val="24"/>
          <w:szCs w:val="24"/>
        </w:rPr>
        <w:t>) представлены в таблице 9. Исследование не продемонстрировало статистически значимого улучшения ЧОО для пациентов, рандомизированных в группу кабозантиниба (n=67), по сравнению с плацебо (n=33): 15% против 0%. Исследование продемонстрировало статистически значимое улучшение ВБП</w:t>
      </w:r>
      <w:r w:rsidR="00683FE9" w:rsidRPr="00DB638E">
        <w:rPr>
          <w:rFonts w:ascii="Times New Roman" w:hAnsi="Times New Roman"/>
          <w:sz w:val="24"/>
          <w:szCs w:val="24"/>
        </w:rPr>
        <w:t>З</w:t>
      </w:r>
      <w:r w:rsidRPr="00DB638E">
        <w:rPr>
          <w:rFonts w:ascii="Times New Roman" w:hAnsi="Times New Roman"/>
          <w:sz w:val="24"/>
          <w:szCs w:val="24"/>
        </w:rPr>
        <w:t xml:space="preserve"> (медиана наблюдения 6,2 месяца) у пациентов, рандомизированных в группу кабозантиниба (n=125), по сравнению с плацебо (n=62).</w:t>
      </w:r>
    </w:p>
    <w:p w14:paraId="0B19523B" w14:textId="11CAE6A7" w:rsidR="00661809" w:rsidRPr="00DB638E" w:rsidRDefault="00661809" w:rsidP="00661809">
      <w:pPr>
        <w:spacing w:after="0" w:line="240" w:lineRule="auto"/>
        <w:jc w:val="both"/>
        <w:rPr>
          <w:rFonts w:ascii="Times New Roman" w:hAnsi="Times New Roman"/>
          <w:sz w:val="24"/>
          <w:szCs w:val="24"/>
        </w:rPr>
      </w:pPr>
      <w:r w:rsidRPr="00DB638E">
        <w:rPr>
          <w:rFonts w:ascii="Times New Roman" w:hAnsi="Times New Roman"/>
          <w:sz w:val="24"/>
          <w:szCs w:val="24"/>
        </w:rPr>
        <w:t>Был проведен обновленный анализ ВБП</w:t>
      </w:r>
      <w:r w:rsidR="00683FE9" w:rsidRPr="00DB638E">
        <w:rPr>
          <w:rFonts w:ascii="Times New Roman" w:hAnsi="Times New Roman"/>
          <w:sz w:val="24"/>
          <w:szCs w:val="24"/>
        </w:rPr>
        <w:t>З</w:t>
      </w:r>
      <w:r w:rsidRPr="00DB638E">
        <w:rPr>
          <w:rFonts w:ascii="Times New Roman" w:hAnsi="Times New Roman"/>
          <w:sz w:val="24"/>
          <w:szCs w:val="24"/>
        </w:rPr>
        <w:t xml:space="preserve"> и ОВ (медиана наблюдения 10,1 месяца) с участием 258 рандомизированных пациентов, 170 из которых принимали кабозантиниб и 88 — плацебо.</w:t>
      </w:r>
    </w:p>
    <w:p w14:paraId="6574647E" w14:textId="2FFF54BC" w:rsidR="00661809" w:rsidRPr="00DB638E" w:rsidRDefault="00661809" w:rsidP="00661809">
      <w:pPr>
        <w:spacing w:after="0" w:line="240" w:lineRule="auto"/>
        <w:jc w:val="both"/>
        <w:rPr>
          <w:rFonts w:ascii="Times New Roman" w:hAnsi="Times New Roman"/>
          <w:sz w:val="24"/>
          <w:szCs w:val="24"/>
        </w:rPr>
      </w:pPr>
      <w:r w:rsidRPr="00DB638E">
        <w:rPr>
          <w:rFonts w:ascii="Times New Roman" w:hAnsi="Times New Roman"/>
          <w:sz w:val="24"/>
          <w:szCs w:val="24"/>
        </w:rPr>
        <w:t>Анализ общей выживаемости был ошибочным, поскольку субъекты, получавшие плацебо, с подтвержденным прогрессированием заболевания имели возможность перейти на кабозантиниб.</w:t>
      </w:r>
    </w:p>
    <w:p w14:paraId="71626F62" w14:textId="77777777" w:rsidR="00683FE9" w:rsidRPr="00DB638E" w:rsidRDefault="00683FE9" w:rsidP="00661809">
      <w:pPr>
        <w:spacing w:after="0" w:line="240" w:lineRule="auto"/>
        <w:jc w:val="both"/>
        <w:rPr>
          <w:rFonts w:ascii="Times New Roman" w:hAnsi="Times New Roman"/>
          <w:sz w:val="24"/>
          <w:szCs w:val="24"/>
        </w:rPr>
      </w:pPr>
    </w:p>
    <w:p w14:paraId="5F91315A" w14:textId="2EFD5C3F" w:rsidR="00160933" w:rsidRPr="00DB638E" w:rsidRDefault="00160933" w:rsidP="00661809">
      <w:pPr>
        <w:spacing w:after="0" w:line="240" w:lineRule="auto"/>
        <w:jc w:val="both"/>
        <w:rPr>
          <w:rFonts w:ascii="Times New Roman" w:hAnsi="Times New Roman"/>
          <w:b/>
          <w:bCs/>
          <w:sz w:val="24"/>
          <w:szCs w:val="24"/>
        </w:rPr>
      </w:pPr>
      <w:r w:rsidRPr="00DB638E">
        <w:rPr>
          <w:rFonts w:ascii="Times New Roman" w:hAnsi="Times New Roman"/>
          <w:b/>
          <w:bCs/>
          <w:sz w:val="24"/>
          <w:szCs w:val="24"/>
        </w:rPr>
        <w:t>Таблица 9: Результаты эффективности (COSMIC-311)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1418"/>
        <w:gridCol w:w="1843"/>
        <w:gridCol w:w="1269"/>
      </w:tblGrid>
      <w:tr w:rsidR="00057D52" w:rsidRPr="00DB638E" w14:paraId="0EC65CAD" w14:textId="77777777" w:rsidTr="00F2194A">
        <w:tc>
          <w:tcPr>
            <w:tcW w:w="2689" w:type="dxa"/>
            <w:shd w:val="clear" w:color="auto" w:fill="auto"/>
          </w:tcPr>
          <w:p w14:paraId="3D40256B" w14:textId="77777777" w:rsidR="00057D52" w:rsidRPr="00DB638E" w:rsidRDefault="00057D52" w:rsidP="00044F3E">
            <w:pPr>
              <w:spacing w:after="0" w:line="240" w:lineRule="auto"/>
              <w:jc w:val="both"/>
              <w:rPr>
                <w:rFonts w:ascii="Times New Roman" w:hAnsi="Times New Roman"/>
                <w:sz w:val="24"/>
                <w:szCs w:val="24"/>
              </w:rPr>
            </w:pPr>
          </w:p>
        </w:tc>
        <w:tc>
          <w:tcPr>
            <w:tcW w:w="3260" w:type="dxa"/>
            <w:gridSpan w:val="2"/>
            <w:shd w:val="clear" w:color="auto" w:fill="auto"/>
            <w:vAlign w:val="center"/>
          </w:tcPr>
          <w:p w14:paraId="60E84612" w14:textId="77777777" w:rsidR="00057D52" w:rsidRPr="00DB638E" w:rsidRDefault="00057D52" w:rsidP="00F2194A">
            <w:pPr>
              <w:spacing w:after="0" w:line="240" w:lineRule="auto"/>
              <w:jc w:val="center"/>
              <w:rPr>
                <w:rFonts w:ascii="Times New Roman" w:hAnsi="Times New Roman"/>
                <w:b/>
                <w:bCs/>
                <w:sz w:val="24"/>
                <w:szCs w:val="24"/>
                <w:lang w:val="en-US"/>
              </w:rPr>
            </w:pPr>
            <w:r w:rsidRPr="00DB638E">
              <w:rPr>
                <w:rFonts w:ascii="Times New Roman" w:hAnsi="Times New Roman"/>
                <w:b/>
                <w:bCs/>
                <w:sz w:val="24"/>
                <w:szCs w:val="24"/>
              </w:rPr>
              <w:t>Первичный анализ</w:t>
            </w:r>
            <w:r w:rsidRPr="00DB638E">
              <w:rPr>
                <w:rFonts w:ascii="Times New Roman" w:hAnsi="Times New Roman"/>
                <w:b/>
                <w:bCs/>
                <w:sz w:val="24"/>
                <w:szCs w:val="24"/>
                <w:vertAlign w:val="superscript"/>
              </w:rPr>
              <w:t>1</w:t>
            </w:r>
            <w:r w:rsidRPr="00DB638E">
              <w:rPr>
                <w:rFonts w:ascii="Times New Roman" w:hAnsi="Times New Roman"/>
                <w:b/>
                <w:bCs/>
                <w:sz w:val="24"/>
                <w:szCs w:val="24"/>
              </w:rPr>
              <w:t xml:space="preserve"> (</w:t>
            </w:r>
            <w:r w:rsidRPr="00DB638E">
              <w:rPr>
                <w:rFonts w:ascii="Times New Roman" w:hAnsi="Times New Roman"/>
                <w:b/>
                <w:bCs/>
                <w:sz w:val="24"/>
                <w:szCs w:val="24"/>
                <w:lang w:val="en-US"/>
              </w:rPr>
              <w:t>ITT)</w:t>
            </w:r>
          </w:p>
        </w:tc>
        <w:tc>
          <w:tcPr>
            <w:tcW w:w="3112" w:type="dxa"/>
            <w:gridSpan w:val="2"/>
            <w:shd w:val="clear" w:color="auto" w:fill="auto"/>
            <w:vAlign w:val="center"/>
          </w:tcPr>
          <w:p w14:paraId="49D51653" w14:textId="77777777" w:rsidR="00057D52" w:rsidRPr="00DB638E" w:rsidRDefault="00057D52"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Обновленный анализ</w:t>
            </w:r>
            <w:r w:rsidRPr="00DB638E">
              <w:rPr>
                <w:rFonts w:ascii="Times New Roman" w:hAnsi="Times New Roman"/>
                <w:b/>
                <w:bCs/>
                <w:sz w:val="24"/>
                <w:szCs w:val="24"/>
                <w:vertAlign w:val="superscript"/>
              </w:rPr>
              <w:t>2</w:t>
            </w:r>
            <w:r w:rsidRPr="00DB638E">
              <w:rPr>
                <w:rFonts w:ascii="Times New Roman" w:hAnsi="Times New Roman"/>
                <w:b/>
                <w:bCs/>
                <w:sz w:val="24"/>
                <w:szCs w:val="24"/>
              </w:rPr>
              <w:t xml:space="preserve"> (Полный </w:t>
            </w:r>
            <w:r w:rsidRPr="00DB638E">
              <w:rPr>
                <w:rFonts w:ascii="Times New Roman" w:hAnsi="Times New Roman"/>
                <w:b/>
                <w:bCs/>
                <w:sz w:val="24"/>
                <w:szCs w:val="24"/>
                <w:lang w:val="en-US"/>
              </w:rPr>
              <w:t>ITT</w:t>
            </w:r>
            <w:r w:rsidRPr="00DB638E">
              <w:rPr>
                <w:rFonts w:ascii="Times New Roman" w:hAnsi="Times New Roman"/>
                <w:b/>
                <w:bCs/>
                <w:sz w:val="24"/>
                <w:szCs w:val="24"/>
              </w:rPr>
              <w:t>)</w:t>
            </w:r>
          </w:p>
        </w:tc>
      </w:tr>
      <w:tr w:rsidR="00057D52" w:rsidRPr="00DB638E" w14:paraId="08296602" w14:textId="77777777" w:rsidTr="00F2194A">
        <w:tc>
          <w:tcPr>
            <w:tcW w:w="2689" w:type="dxa"/>
            <w:shd w:val="clear" w:color="auto" w:fill="auto"/>
          </w:tcPr>
          <w:p w14:paraId="6ADE0940" w14:textId="77777777" w:rsidR="00057D52" w:rsidRPr="00DB638E" w:rsidRDefault="00057D52" w:rsidP="00057D52">
            <w:pPr>
              <w:spacing w:after="0" w:line="240" w:lineRule="auto"/>
              <w:jc w:val="both"/>
              <w:rPr>
                <w:rFonts w:ascii="Times New Roman" w:hAnsi="Times New Roman"/>
                <w:sz w:val="24"/>
                <w:szCs w:val="24"/>
              </w:rPr>
            </w:pPr>
          </w:p>
        </w:tc>
        <w:tc>
          <w:tcPr>
            <w:tcW w:w="1842" w:type="dxa"/>
            <w:shd w:val="clear" w:color="auto" w:fill="auto"/>
            <w:vAlign w:val="center"/>
          </w:tcPr>
          <w:p w14:paraId="6315C320" w14:textId="77777777" w:rsidR="00057D52" w:rsidRPr="00DB638E" w:rsidRDefault="00057D52"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Кабозантиниб</w:t>
            </w:r>
          </w:p>
          <w:p w14:paraId="54EB8B99" w14:textId="77777777" w:rsidR="00057D52" w:rsidRPr="00DB638E" w:rsidRDefault="00057D52"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w:t>
            </w:r>
            <w:r w:rsidRPr="00DB638E">
              <w:rPr>
                <w:rFonts w:ascii="Times New Roman" w:hAnsi="Times New Roman"/>
                <w:b/>
                <w:bCs/>
                <w:sz w:val="24"/>
                <w:szCs w:val="24"/>
                <w:lang w:val="en-US"/>
              </w:rPr>
              <w:t>n = 125</w:t>
            </w:r>
            <w:r w:rsidRPr="00DB638E">
              <w:rPr>
                <w:rFonts w:ascii="Times New Roman" w:hAnsi="Times New Roman"/>
                <w:b/>
                <w:bCs/>
                <w:sz w:val="24"/>
                <w:szCs w:val="24"/>
              </w:rPr>
              <w:t>)</w:t>
            </w:r>
          </w:p>
        </w:tc>
        <w:tc>
          <w:tcPr>
            <w:tcW w:w="1418" w:type="dxa"/>
            <w:shd w:val="clear" w:color="auto" w:fill="auto"/>
            <w:vAlign w:val="center"/>
          </w:tcPr>
          <w:p w14:paraId="6B5758C7" w14:textId="77777777" w:rsidR="00057D52" w:rsidRPr="00DB638E" w:rsidRDefault="00057D52"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Плацебо</w:t>
            </w:r>
          </w:p>
          <w:p w14:paraId="10F5AF39" w14:textId="77777777" w:rsidR="00057D52" w:rsidRPr="00DB638E" w:rsidRDefault="00057D52"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w:t>
            </w:r>
            <w:r w:rsidRPr="00DB638E">
              <w:rPr>
                <w:rFonts w:ascii="Times New Roman" w:hAnsi="Times New Roman"/>
                <w:b/>
                <w:bCs/>
                <w:sz w:val="24"/>
                <w:szCs w:val="24"/>
                <w:lang w:val="en-US"/>
              </w:rPr>
              <w:t>n = 62</w:t>
            </w:r>
            <w:r w:rsidRPr="00DB638E">
              <w:rPr>
                <w:rFonts w:ascii="Times New Roman" w:hAnsi="Times New Roman"/>
                <w:b/>
                <w:bCs/>
                <w:sz w:val="24"/>
                <w:szCs w:val="24"/>
              </w:rPr>
              <w:t>)</w:t>
            </w:r>
          </w:p>
        </w:tc>
        <w:tc>
          <w:tcPr>
            <w:tcW w:w="1843" w:type="dxa"/>
            <w:shd w:val="clear" w:color="auto" w:fill="auto"/>
            <w:vAlign w:val="center"/>
          </w:tcPr>
          <w:p w14:paraId="3C4FEAF5" w14:textId="77777777" w:rsidR="00057D52" w:rsidRPr="00DB638E" w:rsidRDefault="00057D52"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Кабозантиниб</w:t>
            </w:r>
          </w:p>
          <w:p w14:paraId="60F59D42" w14:textId="77777777" w:rsidR="00057D52" w:rsidRPr="00DB638E" w:rsidRDefault="00057D52"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w:t>
            </w:r>
            <w:r w:rsidRPr="00DB638E">
              <w:rPr>
                <w:rFonts w:ascii="Times New Roman" w:hAnsi="Times New Roman"/>
                <w:b/>
                <w:bCs/>
                <w:sz w:val="24"/>
                <w:szCs w:val="24"/>
                <w:lang w:val="en-US"/>
              </w:rPr>
              <w:t xml:space="preserve">n = </w:t>
            </w:r>
            <w:r w:rsidRPr="00DB638E">
              <w:rPr>
                <w:rFonts w:ascii="Times New Roman" w:hAnsi="Times New Roman"/>
                <w:b/>
                <w:bCs/>
                <w:sz w:val="24"/>
                <w:szCs w:val="24"/>
              </w:rPr>
              <w:t>170)</w:t>
            </w:r>
          </w:p>
        </w:tc>
        <w:tc>
          <w:tcPr>
            <w:tcW w:w="1269" w:type="dxa"/>
            <w:shd w:val="clear" w:color="auto" w:fill="auto"/>
            <w:vAlign w:val="center"/>
          </w:tcPr>
          <w:p w14:paraId="499EC82A" w14:textId="77777777" w:rsidR="00057D52" w:rsidRPr="00DB638E" w:rsidRDefault="00057D52"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Плацебо</w:t>
            </w:r>
          </w:p>
          <w:p w14:paraId="6B71CF44" w14:textId="77777777" w:rsidR="00057D52" w:rsidRPr="00DB638E" w:rsidRDefault="00057D52"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w:t>
            </w:r>
            <w:r w:rsidRPr="00DB638E">
              <w:rPr>
                <w:rFonts w:ascii="Times New Roman" w:hAnsi="Times New Roman"/>
                <w:b/>
                <w:bCs/>
                <w:sz w:val="24"/>
                <w:szCs w:val="24"/>
                <w:lang w:val="en-US"/>
              </w:rPr>
              <w:t xml:space="preserve">n = </w:t>
            </w:r>
            <w:r w:rsidRPr="00DB638E">
              <w:rPr>
                <w:rFonts w:ascii="Times New Roman" w:hAnsi="Times New Roman"/>
                <w:b/>
                <w:bCs/>
                <w:sz w:val="24"/>
                <w:szCs w:val="24"/>
              </w:rPr>
              <w:t>88)</w:t>
            </w:r>
          </w:p>
        </w:tc>
      </w:tr>
      <w:tr w:rsidR="004275FF" w:rsidRPr="00DB638E" w14:paraId="0D83FB07" w14:textId="77777777" w:rsidTr="00F2194A">
        <w:tc>
          <w:tcPr>
            <w:tcW w:w="2689" w:type="dxa"/>
            <w:shd w:val="clear" w:color="auto" w:fill="auto"/>
          </w:tcPr>
          <w:p w14:paraId="373B0968" w14:textId="77777777" w:rsidR="004275FF" w:rsidRPr="00DB638E" w:rsidRDefault="00057D52" w:rsidP="00044F3E">
            <w:pPr>
              <w:spacing w:after="0" w:line="240" w:lineRule="auto"/>
              <w:jc w:val="both"/>
              <w:rPr>
                <w:rFonts w:ascii="Times New Roman" w:hAnsi="Times New Roman"/>
                <w:b/>
                <w:bCs/>
                <w:sz w:val="24"/>
                <w:szCs w:val="24"/>
              </w:rPr>
            </w:pPr>
            <w:r w:rsidRPr="00DB638E">
              <w:rPr>
                <w:rFonts w:ascii="Times New Roman" w:hAnsi="Times New Roman"/>
                <w:b/>
                <w:bCs/>
                <w:sz w:val="24"/>
                <w:szCs w:val="24"/>
              </w:rPr>
              <w:t>Выживание без прогрессирования*</w:t>
            </w:r>
          </w:p>
        </w:tc>
        <w:tc>
          <w:tcPr>
            <w:tcW w:w="1842" w:type="dxa"/>
            <w:shd w:val="clear" w:color="auto" w:fill="auto"/>
            <w:vAlign w:val="center"/>
          </w:tcPr>
          <w:p w14:paraId="6EE4BAD6" w14:textId="77777777" w:rsidR="004275FF" w:rsidRPr="00DB638E" w:rsidRDefault="004275FF" w:rsidP="00F2194A">
            <w:pPr>
              <w:spacing w:after="0" w:line="240" w:lineRule="auto"/>
              <w:jc w:val="center"/>
              <w:rPr>
                <w:rFonts w:ascii="Times New Roman" w:hAnsi="Times New Roman"/>
                <w:sz w:val="24"/>
                <w:szCs w:val="24"/>
              </w:rPr>
            </w:pPr>
          </w:p>
        </w:tc>
        <w:tc>
          <w:tcPr>
            <w:tcW w:w="1418" w:type="dxa"/>
            <w:shd w:val="clear" w:color="auto" w:fill="auto"/>
            <w:vAlign w:val="center"/>
          </w:tcPr>
          <w:p w14:paraId="57E09EB3" w14:textId="77777777" w:rsidR="004275FF" w:rsidRPr="00DB638E" w:rsidRDefault="004275FF" w:rsidP="00F2194A">
            <w:pPr>
              <w:spacing w:after="0" w:line="240" w:lineRule="auto"/>
              <w:jc w:val="center"/>
              <w:rPr>
                <w:rFonts w:ascii="Times New Roman" w:hAnsi="Times New Roman"/>
                <w:sz w:val="24"/>
                <w:szCs w:val="24"/>
              </w:rPr>
            </w:pPr>
          </w:p>
        </w:tc>
        <w:tc>
          <w:tcPr>
            <w:tcW w:w="1843" w:type="dxa"/>
            <w:shd w:val="clear" w:color="auto" w:fill="auto"/>
            <w:vAlign w:val="center"/>
          </w:tcPr>
          <w:p w14:paraId="5F3515B6" w14:textId="77777777" w:rsidR="004275FF" w:rsidRPr="00DB638E" w:rsidRDefault="004275FF" w:rsidP="00F2194A">
            <w:pPr>
              <w:spacing w:after="0" w:line="240" w:lineRule="auto"/>
              <w:jc w:val="center"/>
              <w:rPr>
                <w:rFonts w:ascii="Times New Roman" w:hAnsi="Times New Roman"/>
                <w:sz w:val="24"/>
                <w:szCs w:val="24"/>
              </w:rPr>
            </w:pPr>
          </w:p>
        </w:tc>
        <w:tc>
          <w:tcPr>
            <w:tcW w:w="1269" w:type="dxa"/>
            <w:shd w:val="clear" w:color="auto" w:fill="auto"/>
            <w:vAlign w:val="center"/>
          </w:tcPr>
          <w:p w14:paraId="128EDB69" w14:textId="77777777" w:rsidR="004275FF" w:rsidRPr="00DB638E" w:rsidRDefault="004275FF" w:rsidP="00F2194A">
            <w:pPr>
              <w:spacing w:after="0" w:line="240" w:lineRule="auto"/>
              <w:jc w:val="center"/>
              <w:rPr>
                <w:rFonts w:ascii="Times New Roman" w:hAnsi="Times New Roman"/>
                <w:sz w:val="24"/>
                <w:szCs w:val="24"/>
              </w:rPr>
            </w:pPr>
          </w:p>
        </w:tc>
      </w:tr>
      <w:tr w:rsidR="004275FF" w:rsidRPr="00DB638E" w14:paraId="2551EE3B" w14:textId="77777777" w:rsidTr="00F2194A">
        <w:tc>
          <w:tcPr>
            <w:tcW w:w="2689" w:type="dxa"/>
            <w:shd w:val="clear" w:color="auto" w:fill="auto"/>
          </w:tcPr>
          <w:p w14:paraId="1B41F1A5" w14:textId="77777777" w:rsidR="004275FF" w:rsidRPr="00DB638E" w:rsidRDefault="00057D52" w:rsidP="00044F3E">
            <w:pPr>
              <w:spacing w:after="0" w:line="240" w:lineRule="auto"/>
              <w:jc w:val="both"/>
              <w:rPr>
                <w:rFonts w:ascii="Times New Roman" w:hAnsi="Times New Roman"/>
                <w:sz w:val="24"/>
                <w:szCs w:val="24"/>
              </w:rPr>
            </w:pPr>
            <w:r w:rsidRPr="00DB638E">
              <w:rPr>
                <w:rFonts w:ascii="Times New Roman" w:hAnsi="Times New Roman"/>
                <w:sz w:val="24"/>
                <w:szCs w:val="24"/>
              </w:rPr>
              <w:t>Число событий</w:t>
            </w:r>
            <w:r w:rsidR="00143888" w:rsidRPr="00DB638E">
              <w:rPr>
                <w:rFonts w:ascii="Times New Roman" w:hAnsi="Times New Roman"/>
                <w:sz w:val="24"/>
                <w:szCs w:val="24"/>
              </w:rPr>
              <w:t>, (%)</w:t>
            </w:r>
          </w:p>
        </w:tc>
        <w:tc>
          <w:tcPr>
            <w:tcW w:w="1842" w:type="dxa"/>
            <w:shd w:val="clear" w:color="auto" w:fill="auto"/>
            <w:vAlign w:val="center"/>
          </w:tcPr>
          <w:p w14:paraId="4BDFFFF6" w14:textId="77777777" w:rsidR="004275FF" w:rsidRPr="00DB638E" w:rsidRDefault="00143888" w:rsidP="00F2194A">
            <w:pPr>
              <w:spacing w:after="0" w:line="240" w:lineRule="auto"/>
              <w:jc w:val="center"/>
              <w:rPr>
                <w:rFonts w:ascii="Times New Roman" w:hAnsi="Times New Roman"/>
                <w:sz w:val="24"/>
                <w:szCs w:val="24"/>
              </w:rPr>
            </w:pPr>
            <w:r w:rsidRPr="00DB638E">
              <w:rPr>
                <w:rFonts w:ascii="Times New Roman" w:hAnsi="Times New Roman"/>
                <w:sz w:val="24"/>
                <w:szCs w:val="24"/>
              </w:rPr>
              <w:t>31 (25)</w:t>
            </w:r>
          </w:p>
        </w:tc>
        <w:tc>
          <w:tcPr>
            <w:tcW w:w="1418" w:type="dxa"/>
            <w:shd w:val="clear" w:color="auto" w:fill="auto"/>
            <w:vAlign w:val="center"/>
          </w:tcPr>
          <w:p w14:paraId="6B6B62F8" w14:textId="77777777" w:rsidR="004275FF" w:rsidRPr="00DB638E" w:rsidRDefault="00143888" w:rsidP="00F2194A">
            <w:pPr>
              <w:spacing w:after="0" w:line="240" w:lineRule="auto"/>
              <w:jc w:val="center"/>
              <w:rPr>
                <w:rFonts w:ascii="Times New Roman" w:hAnsi="Times New Roman"/>
                <w:sz w:val="24"/>
                <w:szCs w:val="24"/>
              </w:rPr>
            </w:pPr>
            <w:r w:rsidRPr="00DB638E">
              <w:rPr>
                <w:rFonts w:ascii="Times New Roman" w:hAnsi="Times New Roman"/>
                <w:sz w:val="24"/>
                <w:szCs w:val="24"/>
              </w:rPr>
              <w:t>43 (69)</w:t>
            </w:r>
          </w:p>
        </w:tc>
        <w:tc>
          <w:tcPr>
            <w:tcW w:w="1843" w:type="dxa"/>
            <w:shd w:val="clear" w:color="auto" w:fill="auto"/>
            <w:vAlign w:val="center"/>
          </w:tcPr>
          <w:p w14:paraId="11C0C5CC" w14:textId="77777777" w:rsidR="004275FF" w:rsidRPr="00DB638E" w:rsidRDefault="00143888" w:rsidP="00F2194A">
            <w:pPr>
              <w:spacing w:after="0" w:line="240" w:lineRule="auto"/>
              <w:jc w:val="center"/>
              <w:rPr>
                <w:rFonts w:ascii="Times New Roman" w:hAnsi="Times New Roman"/>
                <w:sz w:val="24"/>
                <w:szCs w:val="24"/>
              </w:rPr>
            </w:pPr>
            <w:r w:rsidRPr="00DB638E">
              <w:rPr>
                <w:rFonts w:ascii="Times New Roman" w:hAnsi="Times New Roman"/>
                <w:sz w:val="24"/>
                <w:szCs w:val="24"/>
              </w:rPr>
              <w:t>62 (36)</w:t>
            </w:r>
          </w:p>
        </w:tc>
        <w:tc>
          <w:tcPr>
            <w:tcW w:w="1269" w:type="dxa"/>
            <w:shd w:val="clear" w:color="auto" w:fill="auto"/>
            <w:vAlign w:val="center"/>
          </w:tcPr>
          <w:p w14:paraId="2B70E6C5" w14:textId="77777777" w:rsidR="004275FF" w:rsidRPr="00DB638E" w:rsidRDefault="00143888" w:rsidP="00F2194A">
            <w:pPr>
              <w:spacing w:after="0" w:line="240" w:lineRule="auto"/>
              <w:jc w:val="center"/>
              <w:rPr>
                <w:rFonts w:ascii="Times New Roman" w:hAnsi="Times New Roman"/>
                <w:sz w:val="24"/>
                <w:szCs w:val="24"/>
              </w:rPr>
            </w:pPr>
            <w:r w:rsidRPr="00DB638E">
              <w:rPr>
                <w:rFonts w:ascii="Times New Roman" w:hAnsi="Times New Roman"/>
                <w:sz w:val="24"/>
                <w:szCs w:val="24"/>
              </w:rPr>
              <w:t>69 (78)</w:t>
            </w:r>
          </w:p>
        </w:tc>
      </w:tr>
      <w:tr w:rsidR="00057D52" w:rsidRPr="00DB638E" w14:paraId="62A3F92D" w14:textId="77777777" w:rsidTr="00F2194A">
        <w:tc>
          <w:tcPr>
            <w:tcW w:w="2689" w:type="dxa"/>
            <w:shd w:val="clear" w:color="auto" w:fill="auto"/>
          </w:tcPr>
          <w:p w14:paraId="532D1F08" w14:textId="77777777" w:rsidR="00057D52" w:rsidRPr="00DB638E" w:rsidRDefault="00057D52" w:rsidP="00044F3E">
            <w:pPr>
              <w:spacing w:after="0" w:line="240" w:lineRule="auto"/>
              <w:jc w:val="both"/>
              <w:rPr>
                <w:rFonts w:ascii="Times New Roman" w:hAnsi="Times New Roman"/>
                <w:sz w:val="24"/>
                <w:szCs w:val="24"/>
              </w:rPr>
            </w:pPr>
            <w:r w:rsidRPr="00DB638E">
              <w:rPr>
                <w:rFonts w:ascii="Times New Roman" w:hAnsi="Times New Roman"/>
                <w:sz w:val="24"/>
                <w:szCs w:val="24"/>
              </w:rPr>
              <w:t>Ухудшение прогрессии</w:t>
            </w:r>
          </w:p>
        </w:tc>
        <w:tc>
          <w:tcPr>
            <w:tcW w:w="1842" w:type="dxa"/>
            <w:shd w:val="clear" w:color="auto" w:fill="auto"/>
            <w:vAlign w:val="center"/>
          </w:tcPr>
          <w:p w14:paraId="050C4855" w14:textId="77777777" w:rsidR="00057D52"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25 (20)</w:t>
            </w:r>
          </w:p>
        </w:tc>
        <w:tc>
          <w:tcPr>
            <w:tcW w:w="1418" w:type="dxa"/>
            <w:shd w:val="clear" w:color="auto" w:fill="auto"/>
            <w:vAlign w:val="center"/>
          </w:tcPr>
          <w:p w14:paraId="433F90DD" w14:textId="77777777" w:rsidR="00057D52"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41 (66)</w:t>
            </w:r>
          </w:p>
        </w:tc>
        <w:tc>
          <w:tcPr>
            <w:tcW w:w="1843" w:type="dxa"/>
            <w:shd w:val="clear" w:color="auto" w:fill="auto"/>
            <w:vAlign w:val="center"/>
          </w:tcPr>
          <w:p w14:paraId="78A539A9" w14:textId="77777777" w:rsidR="00057D52"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50 (29)</w:t>
            </w:r>
          </w:p>
        </w:tc>
        <w:tc>
          <w:tcPr>
            <w:tcW w:w="1269" w:type="dxa"/>
            <w:shd w:val="clear" w:color="auto" w:fill="auto"/>
            <w:vAlign w:val="center"/>
          </w:tcPr>
          <w:p w14:paraId="75A1FE41" w14:textId="77777777" w:rsidR="00057D52"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65 (74)</w:t>
            </w:r>
          </w:p>
        </w:tc>
      </w:tr>
      <w:tr w:rsidR="00057D52" w:rsidRPr="00DB638E" w14:paraId="1B6FA473" w14:textId="77777777" w:rsidTr="00F2194A">
        <w:tc>
          <w:tcPr>
            <w:tcW w:w="2689" w:type="dxa"/>
            <w:shd w:val="clear" w:color="auto" w:fill="auto"/>
          </w:tcPr>
          <w:p w14:paraId="479B0D09" w14:textId="77777777" w:rsidR="00057D52" w:rsidRPr="00DB638E" w:rsidRDefault="00057D52" w:rsidP="00044F3E">
            <w:pPr>
              <w:spacing w:after="0" w:line="240" w:lineRule="auto"/>
              <w:jc w:val="both"/>
              <w:rPr>
                <w:rFonts w:ascii="Times New Roman" w:hAnsi="Times New Roman"/>
                <w:sz w:val="24"/>
                <w:szCs w:val="24"/>
              </w:rPr>
            </w:pPr>
            <w:r w:rsidRPr="00DB638E">
              <w:rPr>
                <w:rFonts w:ascii="Times New Roman" w:hAnsi="Times New Roman"/>
                <w:sz w:val="24"/>
                <w:szCs w:val="24"/>
              </w:rPr>
              <w:t>Смерть</w:t>
            </w:r>
          </w:p>
        </w:tc>
        <w:tc>
          <w:tcPr>
            <w:tcW w:w="1842" w:type="dxa"/>
            <w:shd w:val="clear" w:color="auto" w:fill="auto"/>
            <w:vAlign w:val="center"/>
          </w:tcPr>
          <w:p w14:paraId="224FFC5F" w14:textId="77777777" w:rsidR="00057D52"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6 (4.8)</w:t>
            </w:r>
          </w:p>
        </w:tc>
        <w:tc>
          <w:tcPr>
            <w:tcW w:w="1418" w:type="dxa"/>
            <w:shd w:val="clear" w:color="auto" w:fill="auto"/>
            <w:vAlign w:val="center"/>
          </w:tcPr>
          <w:p w14:paraId="719183C7" w14:textId="77777777" w:rsidR="00057D52"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2 (3.2)</w:t>
            </w:r>
          </w:p>
        </w:tc>
        <w:tc>
          <w:tcPr>
            <w:tcW w:w="1843" w:type="dxa"/>
            <w:shd w:val="clear" w:color="auto" w:fill="auto"/>
            <w:vAlign w:val="center"/>
          </w:tcPr>
          <w:p w14:paraId="76795D21" w14:textId="77777777" w:rsidR="00057D52"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12 (7.1)</w:t>
            </w:r>
          </w:p>
        </w:tc>
        <w:tc>
          <w:tcPr>
            <w:tcW w:w="1269" w:type="dxa"/>
            <w:shd w:val="clear" w:color="auto" w:fill="auto"/>
            <w:vAlign w:val="center"/>
          </w:tcPr>
          <w:p w14:paraId="28F6B44D" w14:textId="77777777" w:rsidR="00057D52"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4 (4.5)</w:t>
            </w:r>
          </w:p>
        </w:tc>
      </w:tr>
      <w:tr w:rsidR="00057D52" w:rsidRPr="00DB638E" w14:paraId="4CE442A7" w14:textId="77777777" w:rsidTr="00F2194A">
        <w:tc>
          <w:tcPr>
            <w:tcW w:w="2689" w:type="dxa"/>
            <w:shd w:val="clear" w:color="auto" w:fill="auto"/>
          </w:tcPr>
          <w:p w14:paraId="25048547" w14:textId="6858008E" w:rsidR="00057D52" w:rsidRPr="00DB638E" w:rsidRDefault="00057D52" w:rsidP="00044F3E">
            <w:pPr>
              <w:spacing w:after="0" w:line="240" w:lineRule="auto"/>
              <w:jc w:val="both"/>
              <w:rPr>
                <w:rFonts w:ascii="Times New Roman" w:hAnsi="Times New Roman"/>
                <w:sz w:val="24"/>
                <w:szCs w:val="24"/>
              </w:rPr>
            </w:pPr>
            <w:r w:rsidRPr="00DB638E">
              <w:rPr>
                <w:rFonts w:ascii="Times New Roman" w:hAnsi="Times New Roman"/>
                <w:sz w:val="24"/>
                <w:szCs w:val="24"/>
              </w:rPr>
              <w:t>Средняя ВБП</w:t>
            </w:r>
            <w:r w:rsidR="00683FE9" w:rsidRPr="00DB638E">
              <w:rPr>
                <w:rFonts w:ascii="Times New Roman" w:hAnsi="Times New Roman"/>
                <w:sz w:val="24"/>
                <w:szCs w:val="24"/>
              </w:rPr>
              <w:t>З</w:t>
            </w:r>
            <w:r w:rsidRPr="00DB638E">
              <w:rPr>
                <w:rFonts w:ascii="Times New Roman" w:hAnsi="Times New Roman"/>
                <w:sz w:val="24"/>
                <w:szCs w:val="24"/>
              </w:rPr>
              <w:t xml:space="preserve"> в месяцах (96% ДИ)</w:t>
            </w:r>
          </w:p>
        </w:tc>
        <w:tc>
          <w:tcPr>
            <w:tcW w:w="1842" w:type="dxa"/>
            <w:shd w:val="clear" w:color="auto" w:fill="auto"/>
            <w:vAlign w:val="center"/>
          </w:tcPr>
          <w:p w14:paraId="32AD3ACD" w14:textId="7E575108" w:rsidR="00F2194A"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NE</w:t>
            </w:r>
          </w:p>
          <w:p w14:paraId="3979C2CB" w14:textId="0C083A32" w:rsidR="00057D52"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(5.7, NE)</w:t>
            </w:r>
          </w:p>
        </w:tc>
        <w:tc>
          <w:tcPr>
            <w:tcW w:w="1418" w:type="dxa"/>
            <w:shd w:val="clear" w:color="auto" w:fill="auto"/>
            <w:vAlign w:val="center"/>
          </w:tcPr>
          <w:p w14:paraId="203DE870" w14:textId="1B66B5E1" w:rsidR="00F2194A"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1.9</w:t>
            </w:r>
          </w:p>
          <w:p w14:paraId="0F32C2F6" w14:textId="2672E167" w:rsidR="00057D52"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(1.8, 3.6)</w:t>
            </w:r>
          </w:p>
        </w:tc>
        <w:tc>
          <w:tcPr>
            <w:tcW w:w="1843" w:type="dxa"/>
            <w:shd w:val="clear" w:color="auto" w:fill="auto"/>
            <w:vAlign w:val="center"/>
          </w:tcPr>
          <w:p w14:paraId="61B5ED8A" w14:textId="4E5C3E0C" w:rsidR="00F2194A"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11.0</w:t>
            </w:r>
          </w:p>
          <w:p w14:paraId="296E0959" w14:textId="3AB58B83" w:rsidR="00057D52"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(7.4, 13.8)</w:t>
            </w:r>
          </w:p>
        </w:tc>
        <w:tc>
          <w:tcPr>
            <w:tcW w:w="1269" w:type="dxa"/>
            <w:shd w:val="clear" w:color="auto" w:fill="auto"/>
            <w:vAlign w:val="center"/>
          </w:tcPr>
          <w:p w14:paraId="74EB9035" w14:textId="43C52CDF" w:rsidR="00F2194A"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1.9</w:t>
            </w:r>
          </w:p>
          <w:p w14:paraId="7D6954B9" w14:textId="020AD720" w:rsidR="00057D52"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(1.9, 3.7)</w:t>
            </w:r>
          </w:p>
        </w:tc>
      </w:tr>
      <w:tr w:rsidR="00125BA4" w:rsidRPr="00DB638E" w14:paraId="4846E474" w14:textId="77777777" w:rsidTr="00F2194A">
        <w:tc>
          <w:tcPr>
            <w:tcW w:w="2689" w:type="dxa"/>
            <w:shd w:val="clear" w:color="auto" w:fill="auto"/>
          </w:tcPr>
          <w:p w14:paraId="6BDDEDD6" w14:textId="77777777" w:rsidR="00125BA4" w:rsidRPr="00DB638E" w:rsidRDefault="00125BA4" w:rsidP="00044F3E">
            <w:pPr>
              <w:spacing w:after="0" w:line="240" w:lineRule="auto"/>
              <w:jc w:val="both"/>
              <w:rPr>
                <w:rFonts w:ascii="Times New Roman" w:hAnsi="Times New Roman"/>
                <w:sz w:val="24"/>
                <w:szCs w:val="24"/>
              </w:rPr>
            </w:pPr>
            <w:r w:rsidRPr="00DB638E">
              <w:rPr>
                <w:rFonts w:ascii="Times New Roman" w:hAnsi="Times New Roman"/>
                <w:sz w:val="24"/>
                <w:szCs w:val="24"/>
              </w:rPr>
              <w:t>Соотношение рисков (96% ДИ)</w:t>
            </w:r>
            <w:r w:rsidRPr="00DB638E">
              <w:rPr>
                <w:rFonts w:ascii="Times New Roman" w:hAnsi="Times New Roman"/>
                <w:sz w:val="24"/>
                <w:szCs w:val="24"/>
                <w:vertAlign w:val="superscript"/>
              </w:rPr>
              <w:t>3</w:t>
            </w:r>
          </w:p>
        </w:tc>
        <w:tc>
          <w:tcPr>
            <w:tcW w:w="3260" w:type="dxa"/>
            <w:gridSpan w:val="2"/>
            <w:shd w:val="clear" w:color="auto" w:fill="auto"/>
            <w:vAlign w:val="center"/>
          </w:tcPr>
          <w:p w14:paraId="3BFA1D88" w14:textId="77777777" w:rsidR="00125BA4"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0.22 (0.13, 0.36)</w:t>
            </w:r>
          </w:p>
        </w:tc>
        <w:tc>
          <w:tcPr>
            <w:tcW w:w="3112" w:type="dxa"/>
            <w:gridSpan w:val="2"/>
            <w:shd w:val="clear" w:color="auto" w:fill="auto"/>
            <w:vAlign w:val="center"/>
          </w:tcPr>
          <w:p w14:paraId="054BCEBD" w14:textId="77777777" w:rsidR="00125BA4"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0.22 (0.15, 0.32)</w:t>
            </w:r>
          </w:p>
        </w:tc>
      </w:tr>
      <w:tr w:rsidR="00125BA4" w:rsidRPr="00DB638E" w14:paraId="625D7E3B" w14:textId="77777777" w:rsidTr="00F2194A">
        <w:tc>
          <w:tcPr>
            <w:tcW w:w="2689" w:type="dxa"/>
            <w:shd w:val="clear" w:color="auto" w:fill="auto"/>
          </w:tcPr>
          <w:p w14:paraId="62B70E08" w14:textId="77777777" w:rsidR="00125BA4" w:rsidRPr="00DB638E" w:rsidRDefault="00125BA4" w:rsidP="00044F3E">
            <w:pPr>
              <w:spacing w:after="0" w:line="240" w:lineRule="auto"/>
              <w:jc w:val="both"/>
              <w:rPr>
                <w:rFonts w:ascii="Times New Roman" w:hAnsi="Times New Roman"/>
                <w:sz w:val="24"/>
                <w:szCs w:val="24"/>
              </w:rPr>
            </w:pPr>
            <w:r w:rsidRPr="00DB638E">
              <w:rPr>
                <w:rFonts w:ascii="Times New Roman" w:hAnsi="Times New Roman"/>
                <w:sz w:val="24"/>
                <w:szCs w:val="24"/>
              </w:rPr>
              <w:t>Р-значение</w:t>
            </w:r>
            <w:r w:rsidRPr="00DB638E">
              <w:rPr>
                <w:rFonts w:ascii="Times New Roman" w:hAnsi="Times New Roman"/>
                <w:sz w:val="24"/>
                <w:szCs w:val="24"/>
                <w:vertAlign w:val="superscript"/>
              </w:rPr>
              <w:t>4</w:t>
            </w:r>
          </w:p>
        </w:tc>
        <w:tc>
          <w:tcPr>
            <w:tcW w:w="3260" w:type="dxa"/>
            <w:gridSpan w:val="2"/>
            <w:shd w:val="clear" w:color="auto" w:fill="auto"/>
            <w:vAlign w:val="center"/>
          </w:tcPr>
          <w:p w14:paraId="23A22538" w14:textId="77777777" w:rsidR="00125BA4" w:rsidRPr="00DB638E" w:rsidRDefault="00125BA4" w:rsidP="00F2194A">
            <w:pPr>
              <w:spacing w:after="0" w:line="240" w:lineRule="auto"/>
              <w:jc w:val="center"/>
              <w:rPr>
                <w:rFonts w:ascii="Times New Roman" w:hAnsi="Times New Roman"/>
                <w:sz w:val="24"/>
                <w:szCs w:val="24"/>
              </w:rPr>
            </w:pPr>
            <w:r w:rsidRPr="00DB638E">
              <w:rPr>
                <w:rFonts w:ascii="Times New Roman" w:hAnsi="Times New Roman"/>
                <w:sz w:val="24"/>
                <w:szCs w:val="24"/>
              </w:rPr>
              <w:t>&lt; 0.0001</w:t>
            </w:r>
          </w:p>
        </w:tc>
        <w:tc>
          <w:tcPr>
            <w:tcW w:w="3112" w:type="dxa"/>
            <w:gridSpan w:val="2"/>
            <w:shd w:val="clear" w:color="auto" w:fill="auto"/>
            <w:vAlign w:val="center"/>
          </w:tcPr>
          <w:p w14:paraId="1E7AA6CB" w14:textId="77777777" w:rsidR="00125BA4" w:rsidRPr="00DB638E" w:rsidRDefault="00125BA4" w:rsidP="00F2194A">
            <w:pPr>
              <w:spacing w:after="0" w:line="240" w:lineRule="auto"/>
              <w:jc w:val="center"/>
              <w:rPr>
                <w:rFonts w:ascii="Times New Roman" w:hAnsi="Times New Roman"/>
                <w:sz w:val="24"/>
                <w:szCs w:val="24"/>
              </w:rPr>
            </w:pPr>
          </w:p>
        </w:tc>
      </w:tr>
      <w:tr w:rsidR="00683FE9" w:rsidRPr="00DB638E" w14:paraId="6BFACFC4" w14:textId="77777777" w:rsidTr="00F2194A">
        <w:tc>
          <w:tcPr>
            <w:tcW w:w="2689" w:type="dxa"/>
            <w:shd w:val="clear" w:color="auto" w:fill="auto"/>
          </w:tcPr>
          <w:p w14:paraId="37C07806" w14:textId="77777777" w:rsidR="00683FE9" w:rsidRPr="00DB638E" w:rsidRDefault="00683FE9" w:rsidP="00044F3E">
            <w:pPr>
              <w:spacing w:after="0" w:line="240" w:lineRule="auto"/>
              <w:jc w:val="both"/>
              <w:rPr>
                <w:rFonts w:ascii="Times New Roman" w:hAnsi="Times New Roman"/>
                <w:b/>
                <w:bCs/>
                <w:sz w:val="24"/>
                <w:szCs w:val="24"/>
              </w:rPr>
            </w:pPr>
            <w:r w:rsidRPr="00DB638E">
              <w:rPr>
                <w:rFonts w:ascii="Times New Roman" w:hAnsi="Times New Roman"/>
                <w:b/>
                <w:bCs/>
                <w:sz w:val="24"/>
                <w:szCs w:val="24"/>
              </w:rPr>
              <w:t>Общая выживаемость</w:t>
            </w:r>
          </w:p>
        </w:tc>
        <w:tc>
          <w:tcPr>
            <w:tcW w:w="3260" w:type="dxa"/>
            <w:gridSpan w:val="2"/>
            <w:shd w:val="clear" w:color="auto" w:fill="auto"/>
            <w:vAlign w:val="center"/>
          </w:tcPr>
          <w:p w14:paraId="5DFB03BD" w14:textId="77777777" w:rsidR="00683FE9" w:rsidRPr="00DB638E" w:rsidRDefault="00683FE9" w:rsidP="00F2194A">
            <w:pPr>
              <w:spacing w:after="0" w:line="240" w:lineRule="auto"/>
              <w:jc w:val="center"/>
              <w:rPr>
                <w:rFonts w:ascii="Times New Roman" w:hAnsi="Times New Roman"/>
                <w:sz w:val="24"/>
                <w:szCs w:val="24"/>
              </w:rPr>
            </w:pPr>
          </w:p>
        </w:tc>
        <w:tc>
          <w:tcPr>
            <w:tcW w:w="3112" w:type="dxa"/>
            <w:gridSpan w:val="2"/>
            <w:shd w:val="clear" w:color="auto" w:fill="auto"/>
            <w:vAlign w:val="center"/>
          </w:tcPr>
          <w:p w14:paraId="727E2267" w14:textId="77777777" w:rsidR="00683FE9" w:rsidRPr="00DB638E" w:rsidRDefault="00683FE9" w:rsidP="00F2194A">
            <w:pPr>
              <w:spacing w:after="0" w:line="240" w:lineRule="auto"/>
              <w:jc w:val="center"/>
              <w:rPr>
                <w:rFonts w:ascii="Times New Roman" w:hAnsi="Times New Roman"/>
                <w:sz w:val="24"/>
                <w:szCs w:val="24"/>
              </w:rPr>
            </w:pPr>
          </w:p>
        </w:tc>
      </w:tr>
      <w:tr w:rsidR="004275FF" w:rsidRPr="00DB638E" w14:paraId="34A58916" w14:textId="77777777" w:rsidTr="00F2194A">
        <w:tc>
          <w:tcPr>
            <w:tcW w:w="2689" w:type="dxa"/>
            <w:shd w:val="clear" w:color="auto" w:fill="auto"/>
          </w:tcPr>
          <w:p w14:paraId="100176D6" w14:textId="77777777" w:rsidR="004275FF" w:rsidRPr="00DB638E" w:rsidRDefault="00057D52" w:rsidP="00044F3E">
            <w:pPr>
              <w:spacing w:after="0" w:line="240" w:lineRule="auto"/>
              <w:jc w:val="both"/>
              <w:rPr>
                <w:rFonts w:ascii="Times New Roman" w:hAnsi="Times New Roman"/>
                <w:sz w:val="24"/>
                <w:szCs w:val="24"/>
              </w:rPr>
            </w:pPr>
            <w:r w:rsidRPr="00DB638E">
              <w:rPr>
                <w:rFonts w:ascii="Times New Roman" w:hAnsi="Times New Roman"/>
                <w:sz w:val="24"/>
                <w:szCs w:val="24"/>
              </w:rPr>
              <w:t xml:space="preserve">События, </w:t>
            </w:r>
            <w:r w:rsidRPr="00DB638E">
              <w:rPr>
                <w:rFonts w:ascii="Times New Roman" w:hAnsi="Times New Roman"/>
                <w:sz w:val="24"/>
                <w:szCs w:val="24"/>
                <w:lang w:val="en-US"/>
              </w:rPr>
              <w:t xml:space="preserve">n </w:t>
            </w:r>
            <w:r w:rsidRPr="00DB638E">
              <w:rPr>
                <w:rFonts w:ascii="Times New Roman" w:hAnsi="Times New Roman"/>
                <w:sz w:val="24"/>
                <w:szCs w:val="24"/>
              </w:rPr>
              <w:t>(%)</w:t>
            </w:r>
          </w:p>
        </w:tc>
        <w:tc>
          <w:tcPr>
            <w:tcW w:w="1842" w:type="dxa"/>
            <w:shd w:val="clear" w:color="auto" w:fill="auto"/>
          </w:tcPr>
          <w:p w14:paraId="2338A11F" w14:textId="77777777" w:rsidR="004275FF" w:rsidRPr="00DB638E" w:rsidRDefault="005C11DD" w:rsidP="00160933">
            <w:pPr>
              <w:spacing w:after="0" w:line="240" w:lineRule="auto"/>
              <w:jc w:val="center"/>
              <w:rPr>
                <w:rFonts w:ascii="Times New Roman" w:hAnsi="Times New Roman"/>
                <w:sz w:val="24"/>
                <w:szCs w:val="24"/>
              </w:rPr>
            </w:pPr>
            <w:r w:rsidRPr="00DB638E">
              <w:rPr>
                <w:rFonts w:ascii="Times New Roman" w:hAnsi="Times New Roman"/>
                <w:sz w:val="24"/>
                <w:szCs w:val="24"/>
              </w:rPr>
              <w:t>17 (14)</w:t>
            </w:r>
          </w:p>
        </w:tc>
        <w:tc>
          <w:tcPr>
            <w:tcW w:w="1418" w:type="dxa"/>
            <w:shd w:val="clear" w:color="auto" w:fill="auto"/>
            <w:vAlign w:val="center"/>
          </w:tcPr>
          <w:p w14:paraId="4E89F0A3" w14:textId="77777777" w:rsidR="004275FF"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14 (23)</w:t>
            </w:r>
          </w:p>
        </w:tc>
        <w:tc>
          <w:tcPr>
            <w:tcW w:w="1843" w:type="dxa"/>
            <w:shd w:val="clear" w:color="auto" w:fill="auto"/>
            <w:vAlign w:val="center"/>
          </w:tcPr>
          <w:p w14:paraId="1CE176E8" w14:textId="77777777" w:rsidR="004275FF"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37 (22)</w:t>
            </w:r>
          </w:p>
        </w:tc>
        <w:tc>
          <w:tcPr>
            <w:tcW w:w="1269" w:type="dxa"/>
            <w:shd w:val="clear" w:color="auto" w:fill="auto"/>
            <w:vAlign w:val="center"/>
          </w:tcPr>
          <w:p w14:paraId="109B6605" w14:textId="77777777" w:rsidR="004275FF"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21 (24)</w:t>
            </w:r>
          </w:p>
        </w:tc>
      </w:tr>
      <w:tr w:rsidR="005C11DD" w:rsidRPr="00DB638E" w14:paraId="5FEFFC70" w14:textId="77777777" w:rsidTr="00F2194A">
        <w:tc>
          <w:tcPr>
            <w:tcW w:w="2689" w:type="dxa"/>
            <w:shd w:val="clear" w:color="auto" w:fill="auto"/>
          </w:tcPr>
          <w:p w14:paraId="65482DA2" w14:textId="77777777" w:rsidR="005C11DD" w:rsidRPr="00DB638E" w:rsidRDefault="005C11DD" w:rsidP="00044F3E">
            <w:pPr>
              <w:spacing w:after="0" w:line="240" w:lineRule="auto"/>
              <w:jc w:val="both"/>
              <w:rPr>
                <w:rFonts w:ascii="Times New Roman" w:hAnsi="Times New Roman"/>
                <w:sz w:val="24"/>
                <w:szCs w:val="24"/>
              </w:rPr>
            </w:pPr>
            <w:r w:rsidRPr="00DB638E">
              <w:rPr>
                <w:rFonts w:ascii="Times New Roman" w:hAnsi="Times New Roman"/>
                <w:sz w:val="24"/>
                <w:szCs w:val="24"/>
              </w:rPr>
              <w:t>Соотношение рисков</w:t>
            </w:r>
            <w:r w:rsidRPr="00DB638E">
              <w:rPr>
                <w:rFonts w:ascii="Times New Roman" w:hAnsi="Times New Roman"/>
                <w:sz w:val="24"/>
                <w:szCs w:val="24"/>
                <w:vertAlign w:val="superscript"/>
              </w:rPr>
              <w:t>3</w:t>
            </w:r>
            <w:r w:rsidRPr="00DB638E">
              <w:rPr>
                <w:rFonts w:ascii="Times New Roman" w:hAnsi="Times New Roman"/>
                <w:sz w:val="24"/>
                <w:szCs w:val="24"/>
              </w:rPr>
              <w:t xml:space="preserve"> (95% ДИ)</w:t>
            </w:r>
          </w:p>
        </w:tc>
        <w:tc>
          <w:tcPr>
            <w:tcW w:w="3260" w:type="dxa"/>
            <w:gridSpan w:val="2"/>
            <w:shd w:val="clear" w:color="auto" w:fill="auto"/>
            <w:vAlign w:val="center"/>
          </w:tcPr>
          <w:p w14:paraId="1D0B9771" w14:textId="77777777" w:rsidR="005C11DD"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0.54 (0.27, 1.11)</w:t>
            </w:r>
          </w:p>
        </w:tc>
        <w:tc>
          <w:tcPr>
            <w:tcW w:w="3112" w:type="dxa"/>
            <w:gridSpan w:val="2"/>
            <w:shd w:val="clear" w:color="auto" w:fill="auto"/>
            <w:vAlign w:val="center"/>
          </w:tcPr>
          <w:p w14:paraId="60BD79A1" w14:textId="77777777" w:rsidR="005C11DD"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0.76 (0.45, 1.31)</w:t>
            </w:r>
          </w:p>
        </w:tc>
      </w:tr>
      <w:tr w:rsidR="005C11DD" w:rsidRPr="00DB638E" w14:paraId="1C3D5BBA" w14:textId="77777777" w:rsidTr="00F2194A">
        <w:tc>
          <w:tcPr>
            <w:tcW w:w="2689" w:type="dxa"/>
            <w:shd w:val="clear" w:color="auto" w:fill="auto"/>
          </w:tcPr>
          <w:p w14:paraId="14B4448F" w14:textId="77777777" w:rsidR="005C11DD" w:rsidRPr="00DB638E" w:rsidRDefault="005C11DD" w:rsidP="00044F3E">
            <w:pPr>
              <w:spacing w:after="0" w:line="240" w:lineRule="auto"/>
              <w:jc w:val="both"/>
              <w:rPr>
                <w:rFonts w:ascii="Times New Roman" w:hAnsi="Times New Roman"/>
                <w:sz w:val="24"/>
                <w:szCs w:val="24"/>
              </w:rPr>
            </w:pPr>
          </w:p>
        </w:tc>
        <w:tc>
          <w:tcPr>
            <w:tcW w:w="6372" w:type="dxa"/>
            <w:gridSpan w:val="4"/>
            <w:shd w:val="clear" w:color="auto" w:fill="auto"/>
            <w:vAlign w:val="center"/>
          </w:tcPr>
          <w:p w14:paraId="62B6DCB1" w14:textId="77777777" w:rsidR="005C11DD" w:rsidRPr="00DB638E" w:rsidRDefault="005C11DD"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Первичный анализ</w:t>
            </w:r>
            <w:r w:rsidRPr="00DB638E">
              <w:rPr>
                <w:rFonts w:ascii="Times New Roman" w:hAnsi="Times New Roman"/>
                <w:b/>
                <w:bCs/>
                <w:sz w:val="24"/>
                <w:szCs w:val="24"/>
                <w:vertAlign w:val="superscript"/>
              </w:rPr>
              <w:t>1</w:t>
            </w:r>
          </w:p>
        </w:tc>
      </w:tr>
      <w:tr w:rsidR="005C11DD" w:rsidRPr="00DB638E" w14:paraId="3133D0B6" w14:textId="77777777" w:rsidTr="00F2194A">
        <w:tc>
          <w:tcPr>
            <w:tcW w:w="2689" w:type="dxa"/>
            <w:shd w:val="clear" w:color="auto" w:fill="auto"/>
          </w:tcPr>
          <w:p w14:paraId="78F4B7D9" w14:textId="77777777" w:rsidR="005C11DD" w:rsidRPr="00DB638E" w:rsidRDefault="009172C1" w:rsidP="00044F3E">
            <w:pPr>
              <w:spacing w:after="0" w:line="240" w:lineRule="auto"/>
              <w:jc w:val="both"/>
              <w:rPr>
                <w:rFonts w:ascii="Times New Roman" w:hAnsi="Times New Roman"/>
                <w:b/>
                <w:bCs/>
                <w:sz w:val="24"/>
                <w:szCs w:val="24"/>
              </w:rPr>
            </w:pPr>
            <w:r w:rsidRPr="00DB638E">
              <w:rPr>
                <w:rFonts w:ascii="Times New Roman" w:hAnsi="Times New Roman"/>
                <w:b/>
                <w:bCs/>
                <w:sz w:val="24"/>
                <w:szCs w:val="24"/>
              </w:rPr>
              <w:t>Ч</w:t>
            </w:r>
            <w:r w:rsidR="005C11DD" w:rsidRPr="00DB638E">
              <w:rPr>
                <w:rFonts w:ascii="Times New Roman" w:hAnsi="Times New Roman"/>
                <w:b/>
                <w:bCs/>
                <w:sz w:val="24"/>
                <w:szCs w:val="24"/>
              </w:rPr>
              <w:t>астота</w:t>
            </w:r>
            <w:r w:rsidRPr="00DB638E">
              <w:rPr>
                <w:rFonts w:ascii="Times New Roman" w:hAnsi="Times New Roman"/>
                <w:b/>
                <w:bCs/>
                <w:sz w:val="24"/>
                <w:szCs w:val="24"/>
              </w:rPr>
              <w:t xml:space="preserve"> объективного</w:t>
            </w:r>
            <w:r w:rsidR="005C11DD" w:rsidRPr="00DB638E">
              <w:rPr>
                <w:rFonts w:ascii="Times New Roman" w:hAnsi="Times New Roman"/>
                <w:b/>
                <w:bCs/>
                <w:sz w:val="24"/>
                <w:szCs w:val="24"/>
              </w:rPr>
              <w:t xml:space="preserve"> ответа (</w:t>
            </w:r>
            <w:r w:rsidRPr="00DB638E">
              <w:rPr>
                <w:rFonts w:ascii="Times New Roman" w:hAnsi="Times New Roman"/>
                <w:b/>
                <w:bCs/>
                <w:sz w:val="24"/>
                <w:szCs w:val="24"/>
              </w:rPr>
              <w:t>ЧО</w:t>
            </w:r>
            <w:r w:rsidR="005C11DD" w:rsidRPr="00DB638E">
              <w:rPr>
                <w:rFonts w:ascii="Times New Roman" w:hAnsi="Times New Roman"/>
                <w:b/>
                <w:bCs/>
                <w:sz w:val="24"/>
                <w:szCs w:val="24"/>
              </w:rPr>
              <w:t>О)</w:t>
            </w:r>
            <w:r w:rsidR="005C11DD" w:rsidRPr="00DB638E">
              <w:rPr>
                <w:rFonts w:ascii="Times New Roman" w:hAnsi="Times New Roman"/>
                <w:b/>
                <w:bCs/>
                <w:sz w:val="24"/>
                <w:szCs w:val="24"/>
                <w:vertAlign w:val="superscript"/>
              </w:rPr>
              <w:t>5</w:t>
            </w:r>
            <w:r w:rsidR="005C11DD" w:rsidRPr="00DB638E">
              <w:rPr>
                <w:rFonts w:ascii="Times New Roman" w:hAnsi="Times New Roman"/>
                <w:b/>
                <w:bCs/>
                <w:sz w:val="24"/>
                <w:szCs w:val="24"/>
              </w:rPr>
              <w:t xml:space="preserve"> </w:t>
            </w:r>
          </w:p>
        </w:tc>
        <w:tc>
          <w:tcPr>
            <w:tcW w:w="3260" w:type="dxa"/>
            <w:gridSpan w:val="2"/>
            <w:shd w:val="clear" w:color="auto" w:fill="auto"/>
            <w:vAlign w:val="center"/>
          </w:tcPr>
          <w:p w14:paraId="5F3DF265" w14:textId="77777777" w:rsidR="005C11DD" w:rsidRPr="00DB638E" w:rsidRDefault="005C11DD" w:rsidP="00F2194A">
            <w:pPr>
              <w:spacing w:after="0" w:line="240" w:lineRule="auto"/>
              <w:jc w:val="center"/>
              <w:rPr>
                <w:rFonts w:ascii="Times New Roman" w:hAnsi="Times New Roman"/>
                <w:sz w:val="24"/>
                <w:szCs w:val="24"/>
              </w:rPr>
            </w:pPr>
          </w:p>
        </w:tc>
        <w:tc>
          <w:tcPr>
            <w:tcW w:w="3112" w:type="dxa"/>
            <w:gridSpan w:val="2"/>
            <w:shd w:val="clear" w:color="auto" w:fill="auto"/>
            <w:vAlign w:val="center"/>
          </w:tcPr>
          <w:p w14:paraId="6689028D" w14:textId="77777777" w:rsidR="005C11DD" w:rsidRPr="00DB638E" w:rsidRDefault="005C11DD" w:rsidP="00F2194A">
            <w:pPr>
              <w:spacing w:after="0" w:line="240" w:lineRule="auto"/>
              <w:jc w:val="center"/>
              <w:rPr>
                <w:rFonts w:ascii="Times New Roman" w:hAnsi="Times New Roman"/>
                <w:sz w:val="24"/>
                <w:szCs w:val="24"/>
              </w:rPr>
            </w:pPr>
          </w:p>
        </w:tc>
      </w:tr>
      <w:tr w:rsidR="00943F0E" w:rsidRPr="00DB638E" w14:paraId="257EF991" w14:textId="77777777" w:rsidTr="00F2194A">
        <w:tc>
          <w:tcPr>
            <w:tcW w:w="2689" w:type="dxa"/>
            <w:shd w:val="clear" w:color="auto" w:fill="auto"/>
          </w:tcPr>
          <w:p w14:paraId="2BDAA8C4" w14:textId="77777777" w:rsidR="00943F0E" w:rsidRPr="00DB638E" w:rsidRDefault="00943F0E" w:rsidP="00044F3E">
            <w:pPr>
              <w:spacing w:after="0" w:line="240" w:lineRule="auto"/>
              <w:jc w:val="both"/>
              <w:rPr>
                <w:rFonts w:ascii="Times New Roman" w:hAnsi="Times New Roman"/>
                <w:sz w:val="24"/>
                <w:szCs w:val="24"/>
              </w:rPr>
            </w:pPr>
          </w:p>
        </w:tc>
        <w:tc>
          <w:tcPr>
            <w:tcW w:w="3260" w:type="dxa"/>
            <w:gridSpan w:val="2"/>
            <w:shd w:val="clear" w:color="auto" w:fill="auto"/>
            <w:vAlign w:val="center"/>
          </w:tcPr>
          <w:p w14:paraId="7E892816" w14:textId="77777777" w:rsidR="00943F0E" w:rsidRPr="00DB638E" w:rsidRDefault="00943F0E"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Кабозантиниб</w:t>
            </w:r>
          </w:p>
          <w:p w14:paraId="6ED3DFBB" w14:textId="77777777" w:rsidR="00943F0E" w:rsidRPr="00DB638E" w:rsidRDefault="00943F0E"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w:t>
            </w:r>
            <w:r w:rsidRPr="00DB638E">
              <w:rPr>
                <w:rFonts w:ascii="Times New Roman" w:hAnsi="Times New Roman"/>
                <w:b/>
                <w:bCs/>
                <w:sz w:val="24"/>
                <w:szCs w:val="24"/>
                <w:lang w:val="en-US"/>
              </w:rPr>
              <w:t>n = 67</w:t>
            </w:r>
            <w:r w:rsidRPr="00DB638E">
              <w:rPr>
                <w:rFonts w:ascii="Times New Roman" w:hAnsi="Times New Roman"/>
                <w:b/>
                <w:bCs/>
                <w:sz w:val="24"/>
                <w:szCs w:val="24"/>
              </w:rPr>
              <w:t>)</w:t>
            </w:r>
          </w:p>
        </w:tc>
        <w:tc>
          <w:tcPr>
            <w:tcW w:w="3112" w:type="dxa"/>
            <w:gridSpan w:val="2"/>
            <w:shd w:val="clear" w:color="auto" w:fill="auto"/>
            <w:vAlign w:val="center"/>
          </w:tcPr>
          <w:p w14:paraId="513AFFFE" w14:textId="77777777" w:rsidR="00943F0E" w:rsidRPr="00DB638E" w:rsidRDefault="00943F0E"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Плацебо</w:t>
            </w:r>
          </w:p>
          <w:p w14:paraId="5F7BA53D" w14:textId="77777777" w:rsidR="00943F0E" w:rsidRPr="00DB638E" w:rsidRDefault="00943F0E" w:rsidP="00F2194A">
            <w:pPr>
              <w:spacing w:after="0" w:line="240" w:lineRule="auto"/>
              <w:jc w:val="center"/>
              <w:rPr>
                <w:rFonts w:ascii="Times New Roman" w:hAnsi="Times New Roman"/>
                <w:b/>
                <w:bCs/>
                <w:sz w:val="24"/>
                <w:szCs w:val="24"/>
              </w:rPr>
            </w:pPr>
            <w:r w:rsidRPr="00DB638E">
              <w:rPr>
                <w:rFonts w:ascii="Times New Roman" w:hAnsi="Times New Roman"/>
                <w:b/>
                <w:bCs/>
                <w:sz w:val="24"/>
                <w:szCs w:val="24"/>
              </w:rPr>
              <w:t>(</w:t>
            </w:r>
            <w:r w:rsidRPr="00DB638E">
              <w:rPr>
                <w:rFonts w:ascii="Times New Roman" w:hAnsi="Times New Roman"/>
                <w:b/>
                <w:bCs/>
                <w:sz w:val="24"/>
                <w:szCs w:val="24"/>
                <w:lang w:val="en-US"/>
              </w:rPr>
              <w:t>n = 33</w:t>
            </w:r>
            <w:r w:rsidRPr="00DB638E">
              <w:rPr>
                <w:rFonts w:ascii="Times New Roman" w:hAnsi="Times New Roman"/>
                <w:b/>
                <w:bCs/>
                <w:sz w:val="24"/>
                <w:szCs w:val="24"/>
              </w:rPr>
              <w:t>)</w:t>
            </w:r>
          </w:p>
        </w:tc>
      </w:tr>
      <w:tr w:rsidR="00943F0E" w:rsidRPr="00DB638E" w14:paraId="55B50CBA" w14:textId="77777777" w:rsidTr="00F2194A">
        <w:tc>
          <w:tcPr>
            <w:tcW w:w="2689" w:type="dxa"/>
            <w:shd w:val="clear" w:color="auto" w:fill="auto"/>
          </w:tcPr>
          <w:p w14:paraId="1338F271" w14:textId="77777777" w:rsidR="00943F0E" w:rsidRPr="00DB638E" w:rsidRDefault="00143888" w:rsidP="00044F3E">
            <w:pPr>
              <w:spacing w:after="0" w:line="240" w:lineRule="auto"/>
              <w:jc w:val="both"/>
              <w:rPr>
                <w:rFonts w:ascii="Times New Roman" w:hAnsi="Times New Roman"/>
                <w:sz w:val="24"/>
                <w:szCs w:val="24"/>
              </w:rPr>
            </w:pPr>
            <w:r w:rsidRPr="00DB638E">
              <w:rPr>
                <w:rFonts w:ascii="Times New Roman" w:hAnsi="Times New Roman"/>
                <w:sz w:val="24"/>
                <w:szCs w:val="24"/>
              </w:rPr>
              <w:t>Общий ответ, (%)</w:t>
            </w:r>
          </w:p>
        </w:tc>
        <w:tc>
          <w:tcPr>
            <w:tcW w:w="3260" w:type="dxa"/>
            <w:gridSpan w:val="2"/>
            <w:shd w:val="clear" w:color="auto" w:fill="auto"/>
            <w:vAlign w:val="center"/>
          </w:tcPr>
          <w:p w14:paraId="0AB98676" w14:textId="77777777" w:rsidR="00943F0E"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10 (15)</w:t>
            </w:r>
          </w:p>
        </w:tc>
        <w:tc>
          <w:tcPr>
            <w:tcW w:w="3112" w:type="dxa"/>
            <w:gridSpan w:val="2"/>
            <w:shd w:val="clear" w:color="auto" w:fill="auto"/>
            <w:vAlign w:val="center"/>
          </w:tcPr>
          <w:p w14:paraId="0A681332" w14:textId="77777777" w:rsidR="00943F0E"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0 (0)</w:t>
            </w:r>
          </w:p>
        </w:tc>
      </w:tr>
      <w:tr w:rsidR="00943F0E" w:rsidRPr="00DB638E" w14:paraId="1EB1A4FF" w14:textId="77777777" w:rsidTr="00F2194A">
        <w:tc>
          <w:tcPr>
            <w:tcW w:w="2689" w:type="dxa"/>
            <w:shd w:val="clear" w:color="auto" w:fill="auto"/>
          </w:tcPr>
          <w:p w14:paraId="1DB611D1" w14:textId="77777777" w:rsidR="00943F0E" w:rsidRPr="00DB638E" w:rsidRDefault="00143888" w:rsidP="00044F3E">
            <w:pPr>
              <w:spacing w:after="0" w:line="240" w:lineRule="auto"/>
              <w:jc w:val="both"/>
              <w:rPr>
                <w:rFonts w:ascii="Times New Roman" w:hAnsi="Times New Roman"/>
                <w:sz w:val="24"/>
                <w:szCs w:val="24"/>
              </w:rPr>
            </w:pPr>
            <w:r w:rsidRPr="00DB638E">
              <w:rPr>
                <w:rFonts w:ascii="Times New Roman" w:hAnsi="Times New Roman"/>
                <w:sz w:val="24"/>
                <w:szCs w:val="24"/>
              </w:rPr>
              <w:t>Полный ответ</w:t>
            </w:r>
          </w:p>
        </w:tc>
        <w:tc>
          <w:tcPr>
            <w:tcW w:w="3260" w:type="dxa"/>
            <w:gridSpan w:val="2"/>
            <w:shd w:val="clear" w:color="auto" w:fill="auto"/>
            <w:vAlign w:val="center"/>
          </w:tcPr>
          <w:p w14:paraId="6CD63506" w14:textId="77777777" w:rsidR="00943F0E"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0</w:t>
            </w:r>
          </w:p>
        </w:tc>
        <w:tc>
          <w:tcPr>
            <w:tcW w:w="3112" w:type="dxa"/>
            <w:gridSpan w:val="2"/>
            <w:shd w:val="clear" w:color="auto" w:fill="auto"/>
            <w:vAlign w:val="center"/>
          </w:tcPr>
          <w:p w14:paraId="70BD0690" w14:textId="77777777" w:rsidR="00943F0E"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0</w:t>
            </w:r>
          </w:p>
        </w:tc>
      </w:tr>
      <w:tr w:rsidR="00143888" w:rsidRPr="00DB638E" w14:paraId="76F81147" w14:textId="77777777" w:rsidTr="00F2194A">
        <w:tc>
          <w:tcPr>
            <w:tcW w:w="2689" w:type="dxa"/>
            <w:shd w:val="clear" w:color="auto" w:fill="auto"/>
          </w:tcPr>
          <w:p w14:paraId="201386A8" w14:textId="77777777" w:rsidR="00143888" w:rsidRPr="00DB638E" w:rsidRDefault="00143888" w:rsidP="00044F3E">
            <w:pPr>
              <w:spacing w:after="0" w:line="240" w:lineRule="auto"/>
              <w:jc w:val="both"/>
              <w:rPr>
                <w:rFonts w:ascii="Times New Roman" w:hAnsi="Times New Roman"/>
                <w:sz w:val="24"/>
                <w:szCs w:val="24"/>
              </w:rPr>
            </w:pPr>
            <w:r w:rsidRPr="00DB638E">
              <w:rPr>
                <w:rFonts w:ascii="Times New Roman" w:hAnsi="Times New Roman"/>
                <w:sz w:val="24"/>
                <w:szCs w:val="24"/>
              </w:rPr>
              <w:t>Частичный ответ</w:t>
            </w:r>
          </w:p>
        </w:tc>
        <w:tc>
          <w:tcPr>
            <w:tcW w:w="3260" w:type="dxa"/>
            <w:gridSpan w:val="2"/>
            <w:shd w:val="clear" w:color="auto" w:fill="auto"/>
            <w:vAlign w:val="center"/>
          </w:tcPr>
          <w:p w14:paraId="2821A177" w14:textId="77777777" w:rsidR="00143888"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10 (15)</w:t>
            </w:r>
          </w:p>
        </w:tc>
        <w:tc>
          <w:tcPr>
            <w:tcW w:w="3112" w:type="dxa"/>
            <w:gridSpan w:val="2"/>
            <w:shd w:val="clear" w:color="auto" w:fill="auto"/>
            <w:vAlign w:val="center"/>
          </w:tcPr>
          <w:p w14:paraId="2D3C222E" w14:textId="77777777" w:rsidR="00143888"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0</w:t>
            </w:r>
          </w:p>
        </w:tc>
      </w:tr>
      <w:tr w:rsidR="00943F0E" w:rsidRPr="00DB638E" w14:paraId="0E35E3EA" w14:textId="77777777" w:rsidTr="00F2194A">
        <w:tc>
          <w:tcPr>
            <w:tcW w:w="2689" w:type="dxa"/>
            <w:shd w:val="clear" w:color="auto" w:fill="auto"/>
          </w:tcPr>
          <w:p w14:paraId="25BBD771" w14:textId="77777777" w:rsidR="00943F0E" w:rsidRPr="00DB638E" w:rsidRDefault="00143888" w:rsidP="00044F3E">
            <w:pPr>
              <w:spacing w:after="0" w:line="240" w:lineRule="auto"/>
              <w:jc w:val="both"/>
              <w:rPr>
                <w:rFonts w:ascii="Times New Roman" w:hAnsi="Times New Roman"/>
                <w:sz w:val="24"/>
                <w:szCs w:val="24"/>
              </w:rPr>
            </w:pPr>
            <w:r w:rsidRPr="00DB638E">
              <w:rPr>
                <w:rFonts w:ascii="Times New Roman" w:hAnsi="Times New Roman"/>
                <w:sz w:val="24"/>
                <w:szCs w:val="24"/>
              </w:rPr>
              <w:t>Стабильное заболевание</w:t>
            </w:r>
          </w:p>
        </w:tc>
        <w:tc>
          <w:tcPr>
            <w:tcW w:w="3260" w:type="dxa"/>
            <w:gridSpan w:val="2"/>
            <w:shd w:val="clear" w:color="auto" w:fill="auto"/>
            <w:vAlign w:val="center"/>
          </w:tcPr>
          <w:p w14:paraId="3244CD43" w14:textId="77777777" w:rsidR="00943F0E"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46 (69)</w:t>
            </w:r>
          </w:p>
        </w:tc>
        <w:tc>
          <w:tcPr>
            <w:tcW w:w="3112" w:type="dxa"/>
            <w:gridSpan w:val="2"/>
            <w:shd w:val="clear" w:color="auto" w:fill="auto"/>
            <w:vAlign w:val="center"/>
          </w:tcPr>
          <w:p w14:paraId="14835A8F" w14:textId="77777777" w:rsidR="00943F0E"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14 (42)</w:t>
            </w:r>
          </w:p>
        </w:tc>
      </w:tr>
      <w:tr w:rsidR="00943F0E" w:rsidRPr="00DB638E" w14:paraId="70AFDADD" w14:textId="77777777" w:rsidTr="00F2194A">
        <w:tc>
          <w:tcPr>
            <w:tcW w:w="2689" w:type="dxa"/>
            <w:shd w:val="clear" w:color="auto" w:fill="auto"/>
          </w:tcPr>
          <w:p w14:paraId="447531D1" w14:textId="77777777" w:rsidR="00943F0E" w:rsidRPr="00DB638E" w:rsidRDefault="00143888" w:rsidP="00044F3E">
            <w:pPr>
              <w:spacing w:after="0" w:line="240" w:lineRule="auto"/>
              <w:jc w:val="both"/>
              <w:rPr>
                <w:rFonts w:ascii="Times New Roman" w:hAnsi="Times New Roman"/>
                <w:sz w:val="24"/>
                <w:szCs w:val="24"/>
              </w:rPr>
            </w:pPr>
            <w:r w:rsidRPr="00DB638E">
              <w:rPr>
                <w:rFonts w:ascii="Times New Roman" w:hAnsi="Times New Roman"/>
                <w:sz w:val="24"/>
                <w:szCs w:val="24"/>
              </w:rPr>
              <w:t>Прогрессирование заболевания</w:t>
            </w:r>
          </w:p>
        </w:tc>
        <w:tc>
          <w:tcPr>
            <w:tcW w:w="3260" w:type="dxa"/>
            <w:gridSpan w:val="2"/>
            <w:shd w:val="clear" w:color="auto" w:fill="auto"/>
            <w:vAlign w:val="center"/>
          </w:tcPr>
          <w:p w14:paraId="5F050666" w14:textId="77777777" w:rsidR="00943F0E"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4 (6)</w:t>
            </w:r>
          </w:p>
        </w:tc>
        <w:tc>
          <w:tcPr>
            <w:tcW w:w="3112" w:type="dxa"/>
            <w:gridSpan w:val="2"/>
            <w:shd w:val="clear" w:color="auto" w:fill="auto"/>
            <w:vAlign w:val="center"/>
          </w:tcPr>
          <w:p w14:paraId="5ED37156" w14:textId="77777777" w:rsidR="00943F0E" w:rsidRPr="00DB638E" w:rsidRDefault="005C11DD" w:rsidP="00F2194A">
            <w:pPr>
              <w:spacing w:after="0" w:line="240" w:lineRule="auto"/>
              <w:jc w:val="center"/>
              <w:rPr>
                <w:rFonts w:ascii="Times New Roman" w:hAnsi="Times New Roman"/>
                <w:sz w:val="24"/>
                <w:szCs w:val="24"/>
              </w:rPr>
            </w:pPr>
            <w:r w:rsidRPr="00DB638E">
              <w:rPr>
                <w:rFonts w:ascii="Times New Roman" w:hAnsi="Times New Roman"/>
                <w:sz w:val="24"/>
                <w:szCs w:val="24"/>
              </w:rPr>
              <w:t>18 (55)</w:t>
            </w:r>
          </w:p>
        </w:tc>
      </w:tr>
    </w:tbl>
    <w:p w14:paraId="256C3C55" w14:textId="5B4B7C72" w:rsidR="005C11DD" w:rsidRPr="00DB638E" w:rsidRDefault="005C11DD" w:rsidP="005C11DD">
      <w:pPr>
        <w:spacing w:after="0" w:line="240" w:lineRule="auto"/>
        <w:jc w:val="both"/>
        <w:rPr>
          <w:rFonts w:ascii="Times New Roman" w:hAnsi="Times New Roman"/>
          <w:sz w:val="20"/>
          <w:szCs w:val="20"/>
        </w:rPr>
      </w:pPr>
      <w:r w:rsidRPr="00DB638E">
        <w:rPr>
          <w:rFonts w:ascii="Times New Roman" w:hAnsi="Times New Roman"/>
          <w:sz w:val="20"/>
          <w:szCs w:val="20"/>
        </w:rPr>
        <w:t>* Первичный анализ ВБП</w:t>
      </w:r>
      <w:r w:rsidR="00F0002B" w:rsidRPr="00DB638E">
        <w:rPr>
          <w:rFonts w:ascii="Times New Roman" w:hAnsi="Times New Roman"/>
          <w:sz w:val="20"/>
          <w:szCs w:val="20"/>
        </w:rPr>
        <w:t>З</w:t>
      </w:r>
      <w:r w:rsidRPr="00DB638E">
        <w:rPr>
          <w:rFonts w:ascii="Times New Roman" w:hAnsi="Times New Roman"/>
          <w:sz w:val="20"/>
          <w:szCs w:val="20"/>
        </w:rPr>
        <w:t xml:space="preserve"> включал цензуру для нового противоракового лечения. Результаты для ВБП</w:t>
      </w:r>
      <w:r w:rsidR="00F0002B" w:rsidRPr="00DB638E">
        <w:rPr>
          <w:rFonts w:ascii="Times New Roman" w:hAnsi="Times New Roman"/>
          <w:sz w:val="20"/>
          <w:szCs w:val="20"/>
        </w:rPr>
        <w:t>З</w:t>
      </w:r>
      <w:r w:rsidRPr="00DB638E">
        <w:rPr>
          <w:rFonts w:ascii="Times New Roman" w:hAnsi="Times New Roman"/>
          <w:sz w:val="20"/>
          <w:szCs w:val="20"/>
        </w:rPr>
        <w:t xml:space="preserve"> с цензурированием и без него для нового противоракового лечения были согласованными. </w:t>
      </w:r>
    </w:p>
    <w:p w14:paraId="44536005" w14:textId="77777777" w:rsidR="005C11DD" w:rsidRPr="00DB638E" w:rsidRDefault="005C11DD" w:rsidP="005C11DD">
      <w:pPr>
        <w:spacing w:after="0" w:line="240" w:lineRule="auto"/>
        <w:jc w:val="both"/>
        <w:rPr>
          <w:rFonts w:ascii="Times New Roman" w:hAnsi="Times New Roman"/>
          <w:sz w:val="20"/>
          <w:szCs w:val="20"/>
        </w:rPr>
      </w:pPr>
      <w:r w:rsidRPr="00DB638E">
        <w:rPr>
          <w:rFonts w:ascii="Times New Roman" w:hAnsi="Times New Roman"/>
          <w:sz w:val="20"/>
          <w:szCs w:val="20"/>
        </w:rPr>
        <w:t>ДИ</w:t>
      </w:r>
      <w:r w:rsidR="00E1156E" w:rsidRPr="00DB638E">
        <w:rPr>
          <w:rFonts w:ascii="Times New Roman" w:hAnsi="Times New Roman"/>
          <w:sz w:val="20"/>
          <w:szCs w:val="20"/>
        </w:rPr>
        <w:t xml:space="preserve"> -</w:t>
      </w:r>
      <w:r w:rsidRPr="00DB638E">
        <w:rPr>
          <w:rFonts w:ascii="Times New Roman" w:hAnsi="Times New Roman"/>
          <w:sz w:val="20"/>
          <w:szCs w:val="20"/>
        </w:rPr>
        <w:t xml:space="preserve"> доверительный интервал; NE</w:t>
      </w:r>
      <w:r w:rsidR="00E1156E" w:rsidRPr="00DB638E">
        <w:rPr>
          <w:rFonts w:ascii="Times New Roman" w:hAnsi="Times New Roman"/>
          <w:sz w:val="20"/>
          <w:szCs w:val="20"/>
        </w:rPr>
        <w:t xml:space="preserve"> -</w:t>
      </w:r>
      <w:r w:rsidRPr="00DB638E">
        <w:rPr>
          <w:rFonts w:ascii="Times New Roman" w:hAnsi="Times New Roman"/>
          <w:sz w:val="20"/>
          <w:szCs w:val="20"/>
        </w:rPr>
        <w:t xml:space="preserve"> не подлежит оценке</w:t>
      </w:r>
    </w:p>
    <w:p w14:paraId="4D97832C" w14:textId="77777777" w:rsidR="005C11DD" w:rsidRPr="00DB638E" w:rsidRDefault="005C11DD" w:rsidP="005C11DD">
      <w:pPr>
        <w:spacing w:after="0" w:line="240" w:lineRule="auto"/>
        <w:jc w:val="both"/>
        <w:rPr>
          <w:rFonts w:ascii="Times New Roman" w:hAnsi="Times New Roman"/>
          <w:sz w:val="20"/>
          <w:szCs w:val="20"/>
        </w:rPr>
      </w:pPr>
      <w:r w:rsidRPr="00DB638E">
        <w:rPr>
          <w:rFonts w:ascii="Times New Roman" w:hAnsi="Times New Roman"/>
          <w:sz w:val="20"/>
          <w:szCs w:val="20"/>
          <w:vertAlign w:val="superscript"/>
        </w:rPr>
        <w:t>1</w:t>
      </w:r>
      <w:r w:rsidRPr="00DB638E">
        <w:rPr>
          <w:rFonts w:ascii="Times New Roman" w:hAnsi="Times New Roman"/>
          <w:sz w:val="20"/>
          <w:szCs w:val="20"/>
        </w:rPr>
        <w:t xml:space="preserve"> Крайний срок первичного анализа — 19 августа 2020 года.</w:t>
      </w:r>
    </w:p>
    <w:p w14:paraId="48900347" w14:textId="77777777" w:rsidR="005C11DD" w:rsidRPr="00DB638E" w:rsidRDefault="005C11DD" w:rsidP="005C11DD">
      <w:pPr>
        <w:spacing w:after="0" w:line="240" w:lineRule="auto"/>
        <w:jc w:val="both"/>
        <w:rPr>
          <w:rFonts w:ascii="Times New Roman" w:hAnsi="Times New Roman"/>
          <w:sz w:val="20"/>
          <w:szCs w:val="20"/>
        </w:rPr>
      </w:pPr>
      <w:r w:rsidRPr="00DB638E">
        <w:rPr>
          <w:rFonts w:ascii="Times New Roman" w:hAnsi="Times New Roman"/>
          <w:sz w:val="20"/>
          <w:szCs w:val="20"/>
          <w:vertAlign w:val="superscript"/>
        </w:rPr>
        <w:t>2</w:t>
      </w:r>
      <w:r w:rsidRPr="00DB638E">
        <w:rPr>
          <w:rFonts w:ascii="Times New Roman" w:hAnsi="Times New Roman"/>
          <w:sz w:val="20"/>
          <w:szCs w:val="20"/>
        </w:rPr>
        <w:t xml:space="preserve"> Крайняя дата вторичного анализа — 08 февраля 2021 года.</w:t>
      </w:r>
    </w:p>
    <w:p w14:paraId="57DAA1E5" w14:textId="77777777" w:rsidR="005C11DD" w:rsidRPr="00DB638E" w:rsidRDefault="005C11DD" w:rsidP="005C11DD">
      <w:pPr>
        <w:spacing w:after="0" w:line="240" w:lineRule="auto"/>
        <w:jc w:val="both"/>
        <w:rPr>
          <w:rFonts w:ascii="Times New Roman" w:hAnsi="Times New Roman"/>
          <w:sz w:val="20"/>
          <w:szCs w:val="20"/>
        </w:rPr>
      </w:pPr>
      <w:r w:rsidRPr="00DB638E">
        <w:rPr>
          <w:rFonts w:ascii="Times New Roman" w:hAnsi="Times New Roman"/>
          <w:sz w:val="20"/>
          <w:szCs w:val="20"/>
          <w:vertAlign w:val="superscript"/>
        </w:rPr>
        <w:t>3</w:t>
      </w:r>
      <w:r w:rsidRPr="00DB638E">
        <w:rPr>
          <w:rFonts w:ascii="Times New Roman" w:hAnsi="Times New Roman"/>
          <w:sz w:val="20"/>
          <w:szCs w:val="20"/>
        </w:rPr>
        <w:t xml:space="preserve"> Оценено с использованием модели пропорционального риска Кокса.</w:t>
      </w:r>
    </w:p>
    <w:p w14:paraId="7981A5A1" w14:textId="77777777" w:rsidR="005C11DD" w:rsidRPr="00DB638E" w:rsidRDefault="005C11DD" w:rsidP="005C11DD">
      <w:pPr>
        <w:spacing w:after="0" w:line="240" w:lineRule="auto"/>
        <w:jc w:val="both"/>
        <w:rPr>
          <w:rFonts w:ascii="Times New Roman" w:hAnsi="Times New Roman"/>
          <w:sz w:val="20"/>
          <w:szCs w:val="20"/>
        </w:rPr>
      </w:pPr>
      <w:r w:rsidRPr="00DB638E">
        <w:rPr>
          <w:rFonts w:ascii="Times New Roman" w:hAnsi="Times New Roman"/>
          <w:sz w:val="20"/>
          <w:szCs w:val="20"/>
          <w:vertAlign w:val="superscript"/>
        </w:rPr>
        <w:lastRenderedPageBreak/>
        <w:t>4</w:t>
      </w:r>
      <w:r w:rsidRPr="00DB638E">
        <w:rPr>
          <w:rFonts w:ascii="Times New Roman" w:hAnsi="Times New Roman"/>
          <w:sz w:val="20"/>
          <w:szCs w:val="20"/>
        </w:rPr>
        <w:t xml:space="preserve"> Логарифмический ранговый критерий, стратифицированный по предшествующему приему ленватиниба (да или нет) и возрасту (≤ 65 лет против &gt; 65 лет) в качестве факторов стратификации (по данным IXRS).</w:t>
      </w:r>
    </w:p>
    <w:p w14:paraId="7DBC10B7" w14:textId="77777777" w:rsidR="006B4F8D" w:rsidRPr="00DB638E" w:rsidRDefault="005C11DD" w:rsidP="006B4F8D">
      <w:pPr>
        <w:spacing w:after="0" w:line="240" w:lineRule="auto"/>
        <w:jc w:val="both"/>
        <w:rPr>
          <w:rFonts w:ascii="Times New Roman" w:hAnsi="Times New Roman"/>
          <w:sz w:val="24"/>
          <w:szCs w:val="24"/>
        </w:rPr>
      </w:pPr>
      <w:r w:rsidRPr="00DB638E">
        <w:rPr>
          <w:rFonts w:ascii="Times New Roman" w:hAnsi="Times New Roman"/>
          <w:sz w:val="20"/>
          <w:szCs w:val="20"/>
          <w:vertAlign w:val="superscript"/>
        </w:rPr>
        <w:t>5</w:t>
      </w:r>
      <w:r w:rsidRPr="00DB638E">
        <w:rPr>
          <w:rFonts w:ascii="Times New Roman" w:hAnsi="Times New Roman"/>
          <w:sz w:val="20"/>
          <w:szCs w:val="20"/>
        </w:rPr>
        <w:t xml:space="preserve"> На основе первых 100 пациентов, включенных в исследование, со средним периодом наблюдения 8,9 месяцев, n=67 в группе кабозантиниба и n=33 в группе плацебо. Улучшение </w:t>
      </w:r>
      <w:r w:rsidR="009172C1" w:rsidRPr="00DB638E">
        <w:rPr>
          <w:rFonts w:ascii="Times New Roman" w:hAnsi="Times New Roman"/>
          <w:sz w:val="20"/>
          <w:szCs w:val="20"/>
        </w:rPr>
        <w:t>ЧО</w:t>
      </w:r>
      <w:r w:rsidR="00E1156E" w:rsidRPr="00DB638E">
        <w:rPr>
          <w:rFonts w:ascii="Times New Roman" w:hAnsi="Times New Roman"/>
          <w:sz w:val="20"/>
          <w:szCs w:val="20"/>
        </w:rPr>
        <w:t>О</w:t>
      </w:r>
      <w:r w:rsidRPr="00DB638E">
        <w:rPr>
          <w:rFonts w:ascii="Times New Roman" w:hAnsi="Times New Roman"/>
          <w:sz w:val="20"/>
          <w:szCs w:val="20"/>
        </w:rPr>
        <w:t xml:space="preserve"> не было статистически значимым</w:t>
      </w:r>
      <w:r w:rsidRPr="00DB638E">
        <w:rPr>
          <w:rFonts w:ascii="Times New Roman" w:hAnsi="Times New Roman"/>
          <w:sz w:val="24"/>
          <w:szCs w:val="24"/>
        </w:rPr>
        <w:t>.</w:t>
      </w:r>
    </w:p>
    <w:p w14:paraId="32DA26CE" w14:textId="77777777" w:rsidR="005C11DD" w:rsidRPr="00DB638E" w:rsidRDefault="005C11DD" w:rsidP="006B4F8D">
      <w:pPr>
        <w:spacing w:after="0" w:line="240" w:lineRule="auto"/>
        <w:jc w:val="both"/>
        <w:rPr>
          <w:rFonts w:ascii="Times New Roman" w:hAnsi="Times New Roman"/>
          <w:sz w:val="24"/>
          <w:szCs w:val="24"/>
        </w:rPr>
      </w:pPr>
    </w:p>
    <w:p w14:paraId="760F7D15" w14:textId="588D3D7C" w:rsidR="00E1156E" w:rsidRPr="00DB638E" w:rsidRDefault="00E1156E" w:rsidP="006B4F8D">
      <w:pPr>
        <w:spacing w:after="0" w:line="240" w:lineRule="auto"/>
        <w:jc w:val="both"/>
        <w:rPr>
          <w:rFonts w:ascii="Times New Roman" w:hAnsi="Times New Roman"/>
          <w:b/>
          <w:bCs/>
          <w:sz w:val="24"/>
          <w:szCs w:val="24"/>
        </w:rPr>
      </w:pPr>
      <w:r w:rsidRPr="00DB638E">
        <w:rPr>
          <w:rFonts w:ascii="Times New Roman" w:hAnsi="Times New Roman"/>
          <w:b/>
          <w:bCs/>
          <w:sz w:val="24"/>
          <w:szCs w:val="24"/>
        </w:rPr>
        <w:t>Рис 8. Кривая Каплана-Мейера при выживаемости без прогрессирования в исследовании COSMIC-311 (</w:t>
      </w:r>
      <w:r w:rsidR="00F0002B" w:rsidRPr="00DB638E">
        <w:rPr>
          <w:rFonts w:ascii="Times New Roman" w:hAnsi="Times New Roman"/>
          <w:b/>
          <w:bCs/>
          <w:sz w:val="24"/>
          <w:szCs w:val="24"/>
        </w:rPr>
        <w:t xml:space="preserve">обновлённый </w:t>
      </w:r>
      <w:r w:rsidRPr="00DB638E">
        <w:rPr>
          <w:rFonts w:ascii="Times New Roman" w:hAnsi="Times New Roman"/>
          <w:b/>
          <w:bCs/>
          <w:sz w:val="24"/>
          <w:szCs w:val="24"/>
        </w:rPr>
        <w:t xml:space="preserve">анализ [конечная дата: 08 февраля 2021], </w:t>
      </w:r>
      <w:r w:rsidRPr="00DB638E">
        <w:rPr>
          <w:rFonts w:ascii="Times New Roman" w:hAnsi="Times New Roman"/>
          <w:b/>
          <w:bCs/>
          <w:sz w:val="24"/>
          <w:szCs w:val="24"/>
          <w:lang w:val="en-US"/>
        </w:rPr>
        <w:t>N</w:t>
      </w:r>
      <w:r w:rsidRPr="00DB638E">
        <w:rPr>
          <w:rFonts w:ascii="Times New Roman" w:hAnsi="Times New Roman"/>
          <w:b/>
          <w:bCs/>
          <w:sz w:val="24"/>
          <w:szCs w:val="24"/>
        </w:rPr>
        <w:t>=258)</w:t>
      </w:r>
    </w:p>
    <w:p w14:paraId="4B3E7D13" w14:textId="6B03D5D1" w:rsidR="00E1156E" w:rsidRPr="00DB638E" w:rsidRDefault="00E1156E" w:rsidP="006B4F8D">
      <w:pPr>
        <w:spacing w:after="0" w:line="240" w:lineRule="auto"/>
        <w:jc w:val="both"/>
        <w:rPr>
          <w:rFonts w:ascii="Times New Roman" w:hAnsi="Times New Roman"/>
          <w:sz w:val="24"/>
          <w:szCs w:val="24"/>
        </w:rPr>
      </w:pPr>
    </w:p>
    <w:p w14:paraId="375111DA" w14:textId="0D2EAFE9" w:rsidR="00E1156E" w:rsidRPr="00DB638E" w:rsidRDefault="00F0002B" w:rsidP="006B4F8D">
      <w:pPr>
        <w:spacing w:after="0" w:line="240" w:lineRule="auto"/>
        <w:jc w:val="both"/>
        <w:rPr>
          <w:rFonts w:ascii="Times New Roman" w:hAnsi="Times New Roman"/>
          <w:sz w:val="24"/>
          <w:szCs w:val="24"/>
        </w:rPr>
      </w:pPr>
      <w:r w:rsidRPr="00DB638E">
        <w:rPr>
          <w:noProof/>
        </w:rPr>
        <w:drawing>
          <wp:anchor distT="0" distB="0" distL="114300" distR="114300" simplePos="0" relativeHeight="251666432" behindDoc="1" locked="0" layoutInCell="1" allowOverlap="1" wp14:anchorId="1A55BF47" wp14:editId="69DB8228">
            <wp:simplePos x="0" y="0"/>
            <wp:positionH relativeFrom="column">
              <wp:posOffset>676910</wp:posOffset>
            </wp:positionH>
            <wp:positionV relativeFrom="paragraph">
              <wp:posOffset>45085</wp:posOffset>
            </wp:positionV>
            <wp:extent cx="4868545" cy="2583815"/>
            <wp:effectExtent l="0" t="0" r="8255" b="6985"/>
            <wp:wrapTight wrapText="bothSides">
              <wp:wrapPolygon edited="0">
                <wp:start x="0" y="0"/>
                <wp:lineTo x="0" y="21499"/>
                <wp:lineTo x="21552" y="21499"/>
                <wp:lineTo x="21552" y="0"/>
                <wp:lineTo x="0" y="0"/>
              </wp:wrapPolygon>
            </wp:wrapTight>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8545" cy="2583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6AAC4" w14:textId="6B481CB4" w:rsidR="00E1156E" w:rsidRPr="00DB638E" w:rsidRDefault="00BA3091" w:rsidP="00231A9A">
      <w:pPr>
        <w:spacing w:after="0" w:line="240" w:lineRule="auto"/>
        <w:jc w:val="both"/>
        <w:rPr>
          <w:rFonts w:ascii="Times New Roman" w:hAnsi="Times New Roman"/>
          <w:sz w:val="24"/>
          <w:szCs w:val="24"/>
          <w:u w:val="single"/>
        </w:rPr>
      </w:pPr>
      <w:r w:rsidRPr="00DB638E">
        <w:rPr>
          <w:rFonts w:ascii="Times New Roman" w:hAnsi="Times New Roman"/>
          <w:noProof/>
          <w:sz w:val="24"/>
          <w:szCs w:val="24"/>
          <w:u w:val="single"/>
        </w:rPr>
        <mc:AlternateContent>
          <mc:Choice Requires="wps">
            <w:drawing>
              <wp:anchor distT="0" distB="0" distL="114300" distR="114300" simplePos="0" relativeHeight="251667456" behindDoc="0" locked="0" layoutInCell="1" allowOverlap="1" wp14:anchorId="66DFEE94" wp14:editId="21F7EFAC">
                <wp:simplePos x="0" y="0"/>
                <wp:positionH relativeFrom="column">
                  <wp:posOffset>4020988</wp:posOffset>
                </wp:positionH>
                <wp:positionV relativeFrom="paragraph">
                  <wp:posOffset>47577</wp:posOffset>
                </wp:positionV>
                <wp:extent cx="990600" cy="422910"/>
                <wp:effectExtent l="0" t="1270" r="3175" b="4445"/>
                <wp:wrapNone/>
                <wp:docPr id="8"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96618" w14:textId="77777777" w:rsidR="00E1156E" w:rsidRPr="00A66A19" w:rsidRDefault="00E1156E" w:rsidP="00E1156E">
                            <w:pPr>
                              <w:spacing w:after="100"/>
                              <w:rPr>
                                <w:rFonts w:ascii="Times New Roman" w:hAnsi="Times New Roman"/>
                                <w:sz w:val="18"/>
                              </w:rPr>
                            </w:pPr>
                            <w:r w:rsidRPr="00A66A19">
                              <w:rPr>
                                <w:rFonts w:ascii="Times New Roman" w:hAnsi="Times New Roman"/>
                                <w:sz w:val="18"/>
                              </w:rPr>
                              <w:t xml:space="preserve">Кабозантиниб </w:t>
                            </w:r>
                          </w:p>
                          <w:p w14:paraId="0F0E6EF4" w14:textId="77777777" w:rsidR="00E1156E" w:rsidRPr="00A66A19" w:rsidRDefault="00E1156E" w:rsidP="00E1156E">
                            <w:pPr>
                              <w:spacing w:after="100"/>
                              <w:rPr>
                                <w:rFonts w:ascii="Times New Roman" w:hAnsi="Times New Roman"/>
                                <w:sz w:val="18"/>
                              </w:rPr>
                            </w:pPr>
                            <w:r w:rsidRPr="00A66A19">
                              <w:rPr>
                                <w:rFonts w:ascii="Times New Roman" w:hAnsi="Times New Roman"/>
                                <w:sz w:val="18"/>
                              </w:rPr>
                              <w:t>Плацебо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FEE94" id="_x0000_s1041" type="#_x0000_t202" style="position:absolute;left:0;text-align:left;margin-left:316.6pt;margin-top:3.75pt;width:78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" stroked="f">
                <v:textbox>
                  <w:txbxContent>
                    <w:p w14:paraId="22396618" w14:textId="77777777" w:rsidR="00E1156E" w:rsidRPr="00A66A19" w:rsidRDefault="00E1156E" w:rsidP="00E1156E">
                      <w:pPr>
                        <w:spacing w:after="100"/>
                        <w:rPr>
                          <w:rFonts w:ascii="Times New Roman" w:hAnsi="Times New Roman"/>
                          <w:sz w:val="18"/>
                        </w:rPr>
                      </w:pPr>
                      <w:r w:rsidRPr="00A66A19">
                        <w:rPr>
                          <w:rFonts w:ascii="Times New Roman" w:hAnsi="Times New Roman"/>
                          <w:sz w:val="18"/>
                        </w:rPr>
                        <w:t xml:space="preserve">Кабозантиниб </w:t>
                      </w:r>
                    </w:p>
                    <w:p w14:paraId="0F0E6EF4" w14:textId="77777777" w:rsidR="00E1156E" w:rsidRPr="00A66A19" w:rsidRDefault="00E1156E" w:rsidP="00E1156E">
                      <w:pPr>
                        <w:spacing w:after="100"/>
                        <w:rPr>
                          <w:rFonts w:ascii="Times New Roman" w:hAnsi="Times New Roman"/>
                          <w:sz w:val="18"/>
                        </w:rPr>
                      </w:pPr>
                      <w:r w:rsidRPr="00A66A19">
                        <w:rPr>
                          <w:rFonts w:ascii="Times New Roman" w:hAnsi="Times New Roman"/>
                          <w:sz w:val="18"/>
                        </w:rPr>
                        <w:t>Плацебо</w:t>
                      </w:r>
                    </w:p>
                  </w:txbxContent>
                </v:textbox>
              </v:shape>
            </w:pict>
          </mc:Fallback>
        </mc:AlternateContent>
      </w:r>
    </w:p>
    <w:p w14:paraId="3272017D" w14:textId="77777777" w:rsidR="00E1156E" w:rsidRPr="00DB638E" w:rsidRDefault="00E1156E" w:rsidP="00231A9A">
      <w:pPr>
        <w:spacing w:after="0" w:line="240" w:lineRule="auto"/>
        <w:jc w:val="both"/>
        <w:rPr>
          <w:rFonts w:ascii="Times New Roman" w:hAnsi="Times New Roman"/>
          <w:sz w:val="24"/>
          <w:szCs w:val="24"/>
          <w:u w:val="single"/>
        </w:rPr>
      </w:pPr>
    </w:p>
    <w:p w14:paraId="5AAFDB8B" w14:textId="77777777" w:rsidR="00E1156E" w:rsidRPr="00DB638E" w:rsidRDefault="00E1156E" w:rsidP="00231A9A">
      <w:pPr>
        <w:spacing w:after="0" w:line="240" w:lineRule="auto"/>
        <w:jc w:val="both"/>
        <w:rPr>
          <w:rFonts w:ascii="Times New Roman" w:hAnsi="Times New Roman"/>
          <w:sz w:val="24"/>
          <w:szCs w:val="24"/>
          <w:u w:val="single"/>
        </w:rPr>
      </w:pPr>
    </w:p>
    <w:p w14:paraId="27865A1C" w14:textId="488223A5" w:rsidR="00E1156E" w:rsidRPr="00DB638E" w:rsidRDefault="00F0002B" w:rsidP="00231A9A">
      <w:pPr>
        <w:spacing w:after="0" w:line="240" w:lineRule="auto"/>
        <w:jc w:val="both"/>
        <w:rPr>
          <w:rFonts w:ascii="Times New Roman" w:hAnsi="Times New Roman"/>
          <w:sz w:val="24"/>
          <w:szCs w:val="24"/>
          <w:u w:val="single"/>
        </w:rPr>
      </w:pPr>
      <w:r w:rsidRPr="00DB638E">
        <w:rPr>
          <w:rFonts w:ascii="Times New Roman" w:hAnsi="Times New Roman"/>
          <w:noProof/>
          <w:sz w:val="24"/>
          <w:szCs w:val="24"/>
          <w:u w:val="single"/>
        </w:rPr>
        <mc:AlternateContent>
          <mc:Choice Requires="wps">
            <w:drawing>
              <wp:anchor distT="0" distB="0" distL="114300" distR="114300" simplePos="0" relativeHeight="251668480" behindDoc="0" locked="0" layoutInCell="1" allowOverlap="1" wp14:anchorId="6697C14F" wp14:editId="00095AD3">
                <wp:simplePos x="0" y="0"/>
                <wp:positionH relativeFrom="column">
                  <wp:posOffset>-999226</wp:posOffset>
                </wp:positionH>
                <wp:positionV relativeFrom="paragraph">
                  <wp:posOffset>304596</wp:posOffset>
                </wp:positionV>
                <wp:extent cx="2564766" cy="551815"/>
                <wp:effectExtent l="930275" t="0" r="91821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64766"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E1686" w14:textId="265A8471" w:rsidR="00E1156E" w:rsidRPr="00A66A19" w:rsidRDefault="00E1156E" w:rsidP="00E1156E">
                            <w:pPr>
                              <w:jc w:val="center"/>
                              <w:rPr>
                                <w:rFonts w:ascii="Times New Roman" w:hAnsi="Times New Roman"/>
                                <w:b/>
                                <w:sz w:val="24"/>
                                <w:szCs w:val="28"/>
                              </w:rPr>
                            </w:pPr>
                            <w:r w:rsidRPr="00A66A19">
                              <w:rPr>
                                <w:rFonts w:ascii="Times New Roman" w:hAnsi="Times New Roman"/>
                                <w:b/>
                                <w:sz w:val="24"/>
                                <w:szCs w:val="28"/>
                              </w:rPr>
                              <w:t>Вероятность выживаемости</w:t>
                            </w:r>
                            <w:r>
                              <w:rPr>
                                <w:rFonts w:ascii="Times New Roman" w:hAnsi="Times New Roman"/>
                                <w:b/>
                                <w:sz w:val="24"/>
                                <w:szCs w:val="28"/>
                              </w:rPr>
                              <w:t xml:space="preserve"> без прогрессирования</w:t>
                            </w:r>
                            <w:r w:rsidRPr="00A66A19">
                              <w:rPr>
                                <w:rFonts w:ascii="Times New Roman" w:hAnsi="Times New Roman"/>
                                <w:b/>
                                <w:sz w:val="24"/>
                                <w:szCs w:val="28"/>
                              </w:rPr>
                              <w:t xml:space="preserve"> </w:t>
                            </w:r>
                            <w:r w:rsidR="00F0002B" w:rsidRPr="002A7AFF">
                              <w:rPr>
                                <w:rFonts w:ascii="Times New Roman" w:hAnsi="Times New Roman"/>
                                <w:b/>
                                <w:sz w:val="24"/>
                                <w:szCs w:val="28"/>
                              </w:rPr>
                              <w:t>заболевания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7C14F" id="_x0000_s1042" type="#_x0000_t202" style="position:absolute;left:0;text-align:left;margin-left:-78.7pt;margin-top:24pt;width:201.95pt;height:43.4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" filled="f" stroked="f">
                <v:textbox style="layout-flow:vertical;mso-layout-flow-alt:bottom-to-top">
                  <w:txbxContent>
                    <w:p w14:paraId="0C7E1686" w14:textId="265A8471" w:rsidR="00E1156E" w:rsidRPr="00A66A19" w:rsidRDefault="00E1156E" w:rsidP="00E1156E">
                      <w:pPr>
                        <w:jc w:val="center"/>
                        <w:rPr>
                          <w:rFonts w:ascii="Times New Roman" w:hAnsi="Times New Roman"/>
                          <w:b/>
                          <w:sz w:val="24"/>
                          <w:szCs w:val="28"/>
                        </w:rPr>
                      </w:pPr>
                      <w:r w:rsidRPr="00A66A19">
                        <w:rPr>
                          <w:rFonts w:ascii="Times New Roman" w:hAnsi="Times New Roman"/>
                          <w:b/>
                          <w:sz w:val="24"/>
                          <w:szCs w:val="28"/>
                        </w:rPr>
                        <w:t>Вероятность выживаемости</w:t>
                      </w:r>
                      <w:r>
                        <w:rPr>
                          <w:rFonts w:ascii="Times New Roman" w:hAnsi="Times New Roman"/>
                          <w:b/>
                          <w:sz w:val="24"/>
                          <w:szCs w:val="28"/>
                        </w:rPr>
                        <w:t xml:space="preserve"> без прогрессирования</w:t>
                      </w:r>
                      <w:r w:rsidRPr="00A66A19">
                        <w:rPr>
                          <w:rFonts w:ascii="Times New Roman" w:hAnsi="Times New Roman"/>
                          <w:b/>
                          <w:sz w:val="24"/>
                          <w:szCs w:val="28"/>
                        </w:rPr>
                        <w:t xml:space="preserve"> </w:t>
                      </w:r>
                      <w:r w:rsidR="00F0002B" w:rsidRPr="002A7AFF">
                        <w:rPr>
                          <w:rFonts w:ascii="Times New Roman" w:hAnsi="Times New Roman"/>
                          <w:b/>
                          <w:sz w:val="24"/>
                          <w:szCs w:val="28"/>
                        </w:rPr>
                        <w:t>заболевания</w:t>
                      </w:r>
                    </w:p>
                  </w:txbxContent>
                </v:textbox>
              </v:shape>
            </w:pict>
          </mc:Fallback>
        </mc:AlternateContent>
      </w:r>
    </w:p>
    <w:p w14:paraId="683BAC40" w14:textId="6BDEC87A" w:rsidR="00E1156E" w:rsidRPr="00DB638E" w:rsidRDefault="00E1156E" w:rsidP="00231A9A">
      <w:pPr>
        <w:spacing w:after="0" w:line="240" w:lineRule="auto"/>
        <w:jc w:val="both"/>
        <w:rPr>
          <w:rFonts w:ascii="Times New Roman" w:hAnsi="Times New Roman"/>
          <w:sz w:val="24"/>
          <w:szCs w:val="24"/>
          <w:u w:val="single"/>
        </w:rPr>
      </w:pPr>
    </w:p>
    <w:p w14:paraId="544C0969" w14:textId="77777777" w:rsidR="00E1156E" w:rsidRPr="00DB638E" w:rsidRDefault="00E1156E" w:rsidP="00231A9A">
      <w:pPr>
        <w:spacing w:after="0" w:line="240" w:lineRule="auto"/>
        <w:jc w:val="both"/>
        <w:rPr>
          <w:rFonts w:ascii="Times New Roman" w:hAnsi="Times New Roman"/>
          <w:sz w:val="24"/>
          <w:szCs w:val="24"/>
          <w:u w:val="single"/>
        </w:rPr>
      </w:pPr>
    </w:p>
    <w:p w14:paraId="0411EC25" w14:textId="77777777" w:rsidR="005C11DD" w:rsidRPr="00DB638E" w:rsidRDefault="005C11DD" w:rsidP="00231A9A">
      <w:pPr>
        <w:spacing w:after="0" w:line="240" w:lineRule="auto"/>
        <w:jc w:val="both"/>
        <w:rPr>
          <w:rFonts w:ascii="Times New Roman" w:hAnsi="Times New Roman"/>
          <w:sz w:val="24"/>
          <w:szCs w:val="24"/>
        </w:rPr>
      </w:pPr>
    </w:p>
    <w:p w14:paraId="3E9D099A" w14:textId="77777777" w:rsidR="005C11DD" w:rsidRPr="00DB638E" w:rsidRDefault="005C11DD" w:rsidP="00231A9A">
      <w:pPr>
        <w:spacing w:after="0" w:line="240" w:lineRule="auto"/>
        <w:jc w:val="both"/>
        <w:rPr>
          <w:rFonts w:ascii="Times New Roman" w:hAnsi="Times New Roman"/>
          <w:b/>
          <w:sz w:val="24"/>
          <w:szCs w:val="24"/>
          <w:lang w:eastAsia="ru-RU"/>
        </w:rPr>
      </w:pPr>
    </w:p>
    <w:p w14:paraId="298641B2" w14:textId="77777777" w:rsidR="00E1156E" w:rsidRPr="00DB638E" w:rsidRDefault="00E1156E" w:rsidP="0078568D">
      <w:pPr>
        <w:autoSpaceDE w:val="0"/>
        <w:autoSpaceDN w:val="0"/>
        <w:adjustRightInd w:val="0"/>
        <w:spacing w:after="0" w:line="240" w:lineRule="auto"/>
        <w:rPr>
          <w:rFonts w:ascii="Times New Roman" w:hAnsi="Times New Roman"/>
          <w:b/>
          <w:sz w:val="24"/>
          <w:szCs w:val="24"/>
          <w:lang w:eastAsia="ru-RU"/>
        </w:rPr>
      </w:pPr>
    </w:p>
    <w:p w14:paraId="1E9320F5" w14:textId="77777777" w:rsidR="00E1156E" w:rsidRPr="00DB638E" w:rsidRDefault="00E1156E" w:rsidP="0078568D">
      <w:pPr>
        <w:autoSpaceDE w:val="0"/>
        <w:autoSpaceDN w:val="0"/>
        <w:adjustRightInd w:val="0"/>
        <w:spacing w:after="0" w:line="240" w:lineRule="auto"/>
        <w:rPr>
          <w:rFonts w:ascii="Times New Roman" w:hAnsi="Times New Roman"/>
          <w:b/>
          <w:sz w:val="24"/>
          <w:szCs w:val="24"/>
          <w:lang w:eastAsia="ru-RU"/>
        </w:rPr>
      </w:pPr>
    </w:p>
    <w:p w14:paraId="0D6421F0" w14:textId="77777777" w:rsidR="00E1156E" w:rsidRPr="00DB638E" w:rsidRDefault="00E1156E" w:rsidP="0078568D">
      <w:pPr>
        <w:autoSpaceDE w:val="0"/>
        <w:autoSpaceDN w:val="0"/>
        <w:adjustRightInd w:val="0"/>
        <w:spacing w:after="0" w:line="240" w:lineRule="auto"/>
        <w:rPr>
          <w:rFonts w:ascii="Times New Roman" w:hAnsi="Times New Roman"/>
          <w:b/>
          <w:sz w:val="24"/>
          <w:szCs w:val="24"/>
          <w:lang w:eastAsia="ru-RU"/>
        </w:rPr>
      </w:pPr>
    </w:p>
    <w:p w14:paraId="557699E0" w14:textId="77777777" w:rsidR="00E1156E" w:rsidRPr="00DB638E" w:rsidRDefault="00E1156E" w:rsidP="0078568D">
      <w:pPr>
        <w:autoSpaceDE w:val="0"/>
        <w:autoSpaceDN w:val="0"/>
        <w:adjustRightInd w:val="0"/>
        <w:spacing w:after="0" w:line="240" w:lineRule="auto"/>
        <w:rPr>
          <w:rFonts w:ascii="Times New Roman" w:hAnsi="Times New Roman"/>
          <w:b/>
          <w:sz w:val="24"/>
          <w:szCs w:val="24"/>
          <w:lang w:eastAsia="ru-RU"/>
        </w:rPr>
      </w:pPr>
    </w:p>
    <w:p w14:paraId="41FA0E3A" w14:textId="77777777" w:rsidR="00E1156E" w:rsidRPr="00DB638E" w:rsidRDefault="00E1156E" w:rsidP="0078568D">
      <w:pPr>
        <w:autoSpaceDE w:val="0"/>
        <w:autoSpaceDN w:val="0"/>
        <w:adjustRightInd w:val="0"/>
        <w:spacing w:after="0" w:line="240" w:lineRule="auto"/>
        <w:rPr>
          <w:rFonts w:ascii="Times New Roman" w:hAnsi="Times New Roman"/>
          <w:b/>
          <w:sz w:val="24"/>
          <w:szCs w:val="24"/>
          <w:lang w:eastAsia="ru-RU"/>
        </w:rPr>
      </w:pPr>
    </w:p>
    <w:p w14:paraId="31009778" w14:textId="77777777" w:rsidR="00E1156E" w:rsidRPr="00DB638E" w:rsidRDefault="00E1156E" w:rsidP="0078568D">
      <w:pPr>
        <w:autoSpaceDE w:val="0"/>
        <w:autoSpaceDN w:val="0"/>
        <w:adjustRightInd w:val="0"/>
        <w:spacing w:after="0" w:line="240" w:lineRule="auto"/>
        <w:rPr>
          <w:rFonts w:ascii="Times New Roman" w:hAnsi="Times New Roman"/>
          <w:b/>
          <w:sz w:val="24"/>
          <w:szCs w:val="24"/>
          <w:lang w:eastAsia="ru-RU"/>
        </w:rPr>
      </w:pPr>
    </w:p>
    <w:p w14:paraId="7EBFAC9C" w14:textId="77777777" w:rsidR="00E1156E" w:rsidRPr="00DB638E" w:rsidRDefault="004926ED" w:rsidP="008E11E3">
      <w:pPr>
        <w:autoSpaceDE w:val="0"/>
        <w:autoSpaceDN w:val="0"/>
        <w:adjustRightInd w:val="0"/>
        <w:spacing w:after="0" w:line="240" w:lineRule="auto"/>
        <w:jc w:val="center"/>
        <w:rPr>
          <w:rFonts w:ascii="Times New Roman" w:hAnsi="Times New Roman"/>
          <w:b/>
          <w:sz w:val="20"/>
          <w:szCs w:val="20"/>
          <w:lang w:eastAsia="ru-RU"/>
        </w:rPr>
      </w:pPr>
      <w:r w:rsidRPr="00DB638E">
        <w:rPr>
          <w:rFonts w:ascii="Times New Roman" w:hAnsi="Times New Roman"/>
          <w:b/>
          <w:sz w:val="20"/>
          <w:szCs w:val="20"/>
          <w:lang w:eastAsia="ru-RU"/>
        </w:rPr>
        <w:t>Месяцы</w:t>
      </w:r>
    </w:p>
    <w:p w14:paraId="1A4DCA98" w14:textId="77777777" w:rsidR="004926ED" w:rsidRPr="00DB638E" w:rsidRDefault="004926ED" w:rsidP="004926ED">
      <w:pPr>
        <w:autoSpaceDE w:val="0"/>
        <w:autoSpaceDN w:val="0"/>
        <w:adjustRightInd w:val="0"/>
        <w:spacing w:after="0" w:line="240" w:lineRule="auto"/>
        <w:rPr>
          <w:rFonts w:ascii="Times New Roman" w:hAnsi="Times New Roman"/>
          <w:b/>
          <w:sz w:val="20"/>
          <w:szCs w:val="20"/>
          <w:lang w:eastAsia="ru-RU"/>
        </w:rPr>
      </w:pPr>
      <w:r w:rsidRPr="00DB638E">
        <w:rPr>
          <w:rFonts w:ascii="Times New Roman" w:hAnsi="Times New Roman"/>
          <w:b/>
          <w:sz w:val="20"/>
          <w:szCs w:val="20"/>
          <w:lang w:eastAsia="ru-RU"/>
        </w:rPr>
        <w:t>Число в риске</w:t>
      </w:r>
    </w:p>
    <w:tbl>
      <w:tblPr>
        <w:tblW w:w="0" w:type="auto"/>
        <w:tblLook w:val="04A0" w:firstRow="1" w:lastRow="0" w:firstColumn="1" w:lastColumn="0" w:noHBand="0" w:noVBand="1"/>
      </w:tblPr>
      <w:tblGrid>
        <w:gridCol w:w="1425"/>
        <w:gridCol w:w="1102"/>
        <w:gridCol w:w="1102"/>
        <w:gridCol w:w="1092"/>
        <w:gridCol w:w="1092"/>
        <w:gridCol w:w="1092"/>
        <w:gridCol w:w="1083"/>
        <w:gridCol w:w="1083"/>
      </w:tblGrid>
      <w:tr w:rsidR="004926ED" w:rsidRPr="00DB638E" w14:paraId="0E5303A2" w14:textId="77777777" w:rsidTr="00664FB2">
        <w:tc>
          <w:tcPr>
            <w:tcW w:w="1160" w:type="dxa"/>
            <w:shd w:val="clear" w:color="auto" w:fill="auto"/>
          </w:tcPr>
          <w:p w14:paraId="3561EEAE"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Кабозантиниб</w:t>
            </w:r>
          </w:p>
        </w:tc>
        <w:tc>
          <w:tcPr>
            <w:tcW w:w="1161" w:type="dxa"/>
            <w:shd w:val="clear" w:color="auto" w:fill="auto"/>
          </w:tcPr>
          <w:p w14:paraId="090E4B4D"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170</w:t>
            </w:r>
          </w:p>
        </w:tc>
        <w:tc>
          <w:tcPr>
            <w:tcW w:w="1161" w:type="dxa"/>
            <w:shd w:val="clear" w:color="auto" w:fill="auto"/>
          </w:tcPr>
          <w:p w14:paraId="046B8465"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117</w:t>
            </w:r>
          </w:p>
        </w:tc>
        <w:tc>
          <w:tcPr>
            <w:tcW w:w="1161" w:type="dxa"/>
            <w:shd w:val="clear" w:color="auto" w:fill="auto"/>
          </w:tcPr>
          <w:p w14:paraId="2BC2CBBE"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59</w:t>
            </w:r>
          </w:p>
        </w:tc>
        <w:tc>
          <w:tcPr>
            <w:tcW w:w="1161" w:type="dxa"/>
            <w:shd w:val="clear" w:color="auto" w:fill="auto"/>
          </w:tcPr>
          <w:p w14:paraId="6B0F0293"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41</w:t>
            </w:r>
          </w:p>
        </w:tc>
        <w:tc>
          <w:tcPr>
            <w:tcW w:w="1161" w:type="dxa"/>
            <w:shd w:val="clear" w:color="auto" w:fill="auto"/>
          </w:tcPr>
          <w:p w14:paraId="39E2B757"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20</w:t>
            </w:r>
          </w:p>
        </w:tc>
        <w:tc>
          <w:tcPr>
            <w:tcW w:w="1161" w:type="dxa"/>
            <w:shd w:val="clear" w:color="auto" w:fill="auto"/>
          </w:tcPr>
          <w:p w14:paraId="49A05AD9"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4</w:t>
            </w:r>
          </w:p>
        </w:tc>
        <w:tc>
          <w:tcPr>
            <w:tcW w:w="1161" w:type="dxa"/>
            <w:shd w:val="clear" w:color="auto" w:fill="auto"/>
          </w:tcPr>
          <w:p w14:paraId="27CA134C"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0</w:t>
            </w:r>
          </w:p>
        </w:tc>
      </w:tr>
      <w:tr w:rsidR="004926ED" w:rsidRPr="00DB638E" w14:paraId="327C9099" w14:textId="77777777" w:rsidTr="00664FB2">
        <w:tc>
          <w:tcPr>
            <w:tcW w:w="1160" w:type="dxa"/>
            <w:shd w:val="clear" w:color="auto" w:fill="auto"/>
          </w:tcPr>
          <w:p w14:paraId="21BF1A19"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Плацебо</w:t>
            </w:r>
          </w:p>
        </w:tc>
        <w:tc>
          <w:tcPr>
            <w:tcW w:w="1161" w:type="dxa"/>
            <w:shd w:val="clear" w:color="auto" w:fill="auto"/>
          </w:tcPr>
          <w:p w14:paraId="3B58E60F"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88</w:t>
            </w:r>
          </w:p>
        </w:tc>
        <w:tc>
          <w:tcPr>
            <w:tcW w:w="1161" w:type="dxa"/>
            <w:shd w:val="clear" w:color="auto" w:fill="auto"/>
          </w:tcPr>
          <w:p w14:paraId="5C7E9108"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33</w:t>
            </w:r>
          </w:p>
        </w:tc>
        <w:tc>
          <w:tcPr>
            <w:tcW w:w="1161" w:type="dxa"/>
            <w:shd w:val="clear" w:color="auto" w:fill="auto"/>
          </w:tcPr>
          <w:p w14:paraId="7E8ED9F6"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11</w:t>
            </w:r>
          </w:p>
        </w:tc>
        <w:tc>
          <w:tcPr>
            <w:tcW w:w="1161" w:type="dxa"/>
            <w:shd w:val="clear" w:color="auto" w:fill="auto"/>
          </w:tcPr>
          <w:p w14:paraId="494CAE73"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7</w:t>
            </w:r>
          </w:p>
        </w:tc>
        <w:tc>
          <w:tcPr>
            <w:tcW w:w="1161" w:type="dxa"/>
            <w:shd w:val="clear" w:color="auto" w:fill="auto"/>
          </w:tcPr>
          <w:p w14:paraId="1DCD43D4"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1</w:t>
            </w:r>
          </w:p>
        </w:tc>
        <w:tc>
          <w:tcPr>
            <w:tcW w:w="1161" w:type="dxa"/>
            <w:shd w:val="clear" w:color="auto" w:fill="auto"/>
          </w:tcPr>
          <w:p w14:paraId="66AFCB85"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0</w:t>
            </w:r>
          </w:p>
        </w:tc>
        <w:tc>
          <w:tcPr>
            <w:tcW w:w="1161" w:type="dxa"/>
            <w:shd w:val="clear" w:color="auto" w:fill="auto"/>
          </w:tcPr>
          <w:p w14:paraId="011F8D4E" w14:textId="77777777" w:rsidR="004926ED" w:rsidRPr="00DB638E" w:rsidRDefault="004926ED" w:rsidP="00664FB2">
            <w:pPr>
              <w:autoSpaceDE w:val="0"/>
              <w:autoSpaceDN w:val="0"/>
              <w:adjustRightInd w:val="0"/>
              <w:spacing w:after="0" w:line="240" w:lineRule="auto"/>
              <w:rPr>
                <w:rFonts w:ascii="Times New Roman" w:hAnsi="Times New Roman"/>
                <w:bCs/>
                <w:sz w:val="20"/>
                <w:szCs w:val="20"/>
                <w:lang w:eastAsia="ru-RU"/>
              </w:rPr>
            </w:pPr>
            <w:r w:rsidRPr="00DB638E">
              <w:rPr>
                <w:rFonts w:ascii="Times New Roman" w:hAnsi="Times New Roman"/>
                <w:bCs/>
                <w:sz w:val="20"/>
                <w:szCs w:val="20"/>
                <w:lang w:eastAsia="ru-RU"/>
              </w:rPr>
              <w:t>0</w:t>
            </w:r>
          </w:p>
        </w:tc>
      </w:tr>
    </w:tbl>
    <w:p w14:paraId="6FC41E50" w14:textId="77777777" w:rsidR="00E1156E" w:rsidRPr="00DB638E" w:rsidRDefault="00E1156E" w:rsidP="00E1156E">
      <w:pPr>
        <w:spacing w:after="0" w:line="240" w:lineRule="auto"/>
        <w:jc w:val="both"/>
        <w:rPr>
          <w:rFonts w:ascii="Times New Roman" w:hAnsi="Times New Roman"/>
          <w:sz w:val="24"/>
          <w:szCs w:val="24"/>
          <w:u w:val="single"/>
        </w:rPr>
      </w:pPr>
    </w:p>
    <w:p w14:paraId="51CBDB82" w14:textId="77777777" w:rsidR="00E1156E" w:rsidRPr="00DB638E" w:rsidRDefault="00E1156E" w:rsidP="00E1156E">
      <w:pPr>
        <w:spacing w:after="0" w:line="240" w:lineRule="auto"/>
        <w:jc w:val="both"/>
        <w:rPr>
          <w:rFonts w:ascii="Times New Roman" w:hAnsi="Times New Roman"/>
          <w:i/>
          <w:iCs/>
          <w:sz w:val="24"/>
          <w:szCs w:val="24"/>
        </w:rPr>
      </w:pPr>
      <w:r w:rsidRPr="00DB638E">
        <w:rPr>
          <w:rFonts w:ascii="Times New Roman" w:hAnsi="Times New Roman"/>
          <w:i/>
          <w:iCs/>
          <w:sz w:val="24"/>
          <w:szCs w:val="24"/>
        </w:rPr>
        <w:t>Детская популяция</w:t>
      </w:r>
    </w:p>
    <w:p w14:paraId="14B0F6CD" w14:textId="77777777" w:rsidR="00E1156E" w:rsidRPr="00DB638E" w:rsidRDefault="00E1156E" w:rsidP="00E1156E">
      <w:pPr>
        <w:spacing w:after="0" w:line="240" w:lineRule="auto"/>
        <w:jc w:val="both"/>
        <w:rPr>
          <w:rFonts w:ascii="Times New Roman" w:hAnsi="Times New Roman"/>
          <w:sz w:val="24"/>
          <w:szCs w:val="24"/>
        </w:rPr>
      </w:pPr>
      <w:r w:rsidRPr="00DB638E">
        <w:rPr>
          <w:rFonts w:ascii="Times New Roman" w:hAnsi="Times New Roman"/>
          <w:sz w:val="24"/>
          <w:szCs w:val="24"/>
        </w:rPr>
        <w:t xml:space="preserve">Европейское агентство по лекарственным средствам отказалось от обязательства представить результаты исследований </w:t>
      </w:r>
      <w:r w:rsidR="004A4981" w:rsidRPr="00DB638E">
        <w:rPr>
          <w:rFonts w:ascii="Times New Roman" w:hAnsi="Times New Roman"/>
          <w:sz w:val="24"/>
          <w:szCs w:val="24"/>
        </w:rPr>
        <w:t xml:space="preserve">кабозантиниба </w:t>
      </w:r>
      <w:r w:rsidRPr="00DB638E">
        <w:rPr>
          <w:rFonts w:ascii="Times New Roman" w:hAnsi="Times New Roman"/>
          <w:sz w:val="24"/>
          <w:szCs w:val="24"/>
        </w:rPr>
        <w:t>в одной или нескольких подгруппах детской популяции при лечении солидных злокачественных опухолей (информацию о педиатрическом применении см. в разделе 4.2).</w:t>
      </w:r>
    </w:p>
    <w:p w14:paraId="63F8D184" w14:textId="77777777" w:rsidR="004926ED" w:rsidRPr="00DB638E" w:rsidRDefault="004926ED" w:rsidP="004926ED">
      <w:pPr>
        <w:autoSpaceDE w:val="0"/>
        <w:autoSpaceDN w:val="0"/>
        <w:adjustRightInd w:val="0"/>
        <w:spacing w:after="0" w:line="240" w:lineRule="auto"/>
        <w:rPr>
          <w:rFonts w:ascii="Times New Roman" w:hAnsi="Times New Roman"/>
          <w:bCs/>
          <w:i/>
          <w:iCs/>
          <w:sz w:val="24"/>
          <w:szCs w:val="24"/>
          <w:lang w:eastAsia="ru-RU"/>
        </w:rPr>
      </w:pPr>
      <w:r w:rsidRPr="00DB638E">
        <w:rPr>
          <w:rFonts w:ascii="Times New Roman" w:hAnsi="Times New Roman"/>
          <w:bCs/>
          <w:i/>
          <w:iCs/>
          <w:sz w:val="24"/>
          <w:szCs w:val="24"/>
          <w:lang w:eastAsia="ru-RU"/>
        </w:rPr>
        <w:t>ADVL 1211</w:t>
      </w:r>
    </w:p>
    <w:p w14:paraId="6E584A9F" w14:textId="6CD438F1" w:rsidR="004926ED" w:rsidRPr="00DB638E" w:rsidRDefault="004926ED" w:rsidP="004926ED">
      <w:pPr>
        <w:autoSpaceDE w:val="0"/>
        <w:autoSpaceDN w:val="0"/>
        <w:adjustRightInd w:val="0"/>
        <w:spacing w:after="0" w:line="240" w:lineRule="auto"/>
        <w:jc w:val="both"/>
        <w:rPr>
          <w:rFonts w:ascii="Times New Roman" w:hAnsi="Times New Roman"/>
          <w:bCs/>
          <w:sz w:val="24"/>
          <w:szCs w:val="24"/>
          <w:lang w:eastAsia="ru-RU"/>
        </w:rPr>
      </w:pPr>
      <w:r w:rsidRPr="00DB638E">
        <w:rPr>
          <w:rFonts w:ascii="Times New Roman" w:hAnsi="Times New Roman"/>
          <w:bCs/>
          <w:sz w:val="24"/>
          <w:szCs w:val="24"/>
          <w:lang w:eastAsia="ru-RU"/>
        </w:rPr>
        <w:t>Детская онкологическая группа (COG) провела исследование фазы 1 (ADVL1211) кабозантиниба у детей с солидными опухолями. Подходящие пациенты были ≥2 лет и ≤18 лет. В это исследование были включены пациенты с 3 уровнями доз: 30 мг/м</w:t>
      </w:r>
      <w:r w:rsidRPr="00DB638E">
        <w:rPr>
          <w:rFonts w:ascii="Times New Roman" w:hAnsi="Times New Roman"/>
          <w:bCs/>
          <w:sz w:val="24"/>
          <w:szCs w:val="24"/>
          <w:vertAlign w:val="superscript"/>
          <w:lang w:eastAsia="ru-RU"/>
        </w:rPr>
        <w:t>2</w:t>
      </w:r>
      <w:r w:rsidRPr="00DB638E">
        <w:rPr>
          <w:rFonts w:ascii="Times New Roman" w:hAnsi="Times New Roman"/>
          <w:bCs/>
          <w:sz w:val="24"/>
          <w:szCs w:val="24"/>
          <w:lang w:eastAsia="ru-RU"/>
        </w:rPr>
        <w:t>, 40 мг/м</w:t>
      </w:r>
      <w:r w:rsidRPr="00DB638E">
        <w:rPr>
          <w:rFonts w:ascii="Times New Roman" w:hAnsi="Times New Roman"/>
          <w:bCs/>
          <w:sz w:val="24"/>
          <w:szCs w:val="24"/>
          <w:vertAlign w:val="superscript"/>
          <w:lang w:eastAsia="ru-RU"/>
        </w:rPr>
        <w:t>2</w:t>
      </w:r>
      <w:r w:rsidRPr="00DB638E">
        <w:rPr>
          <w:rFonts w:ascii="Times New Roman" w:hAnsi="Times New Roman"/>
          <w:bCs/>
          <w:sz w:val="24"/>
          <w:szCs w:val="24"/>
          <w:lang w:eastAsia="ru-RU"/>
        </w:rPr>
        <w:t xml:space="preserve"> и 55 мг/м</w:t>
      </w:r>
      <w:r w:rsidRPr="00DB638E">
        <w:rPr>
          <w:rFonts w:ascii="Times New Roman" w:hAnsi="Times New Roman"/>
          <w:bCs/>
          <w:sz w:val="24"/>
          <w:szCs w:val="24"/>
          <w:vertAlign w:val="superscript"/>
          <w:lang w:eastAsia="ru-RU"/>
        </w:rPr>
        <w:t>2</w:t>
      </w:r>
      <w:r w:rsidRPr="00DB638E">
        <w:rPr>
          <w:rFonts w:ascii="Times New Roman" w:hAnsi="Times New Roman"/>
          <w:bCs/>
          <w:sz w:val="24"/>
          <w:szCs w:val="24"/>
          <w:lang w:eastAsia="ru-RU"/>
        </w:rPr>
        <w:t xml:space="preserve"> один раз в день по схеме непрерывного дозирования (еженедельное дозирование по ППТ и округление до ближайших 20 мг). Кабозантиниб был дозирован</w:t>
      </w:r>
      <w:r w:rsidR="008E11E3" w:rsidRPr="00DB638E">
        <w:rPr>
          <w:rFonts w:ascii="Times New Roman" w:hAnsi="Times New Roman"/>
          <w:bCs/>
          <w:sz w:val="24"/>
          <w:szCs w:val="24"/>
          <w:lang w:eastAsia="ru-RU"/>
        </w:rPr>
        <w:t xml:space="preserve"> </w:t>
      </w:r>
      <w:r w:rsidRPr="00DB638E">
        <w:rPr>
          <w:rFonts w:ascii="Times New Roman" w:hAnsi="Times New Roman"/>
          <w:bCs/>
          <w:sz w:val="24"/>
          <w:szCs w:val="24"/>
          <w:lang w:eastAsia="ru-RU"/>
        </w:rPr>
        <w:t>в зависимости от площади поверхности тела (ППТ) согласно дозировочной номограмме</w:t>
      </w:r>
      <w:r w:rsidR="00160933" w:rsidRPr="00DB638E">
        <w:rPr>
          <w:rFonts w:ascii="Times New Roman" w:hAnsi="Times New Roman"/>
          <w:bCs/>
          <w:sz w:val="24"/>
          <w:szCs w:val="24"/>
          <w:lang w:eastAsia="ru-RU"/>
        </w:rPr>
        <w:t>.</w:t>
      </w:r>
    </w:p>
    <w:p w14:paraId="4C33A9D3" w14:textId="77777777" w:rsidR="004926ED" w:rsidRPr="00DB638E" w:rsidRDefault="004926ED" w:rsidP="004926ED">
      <w:pPr>
        <w:autoSpaceDE w:val="0"/>
        <w:autoSpaceDN w:val="0"/>
        <w:adjustRightInd w:val="0"/>
        <w:spacing w:after="0" w:line="240" w:lineRule="auto"/>
        <w:jc w:val="both"/>
        <w:rPr>
          <w:rFonts w:ascii="Times New Roman" w:hAnsi="Times New Roman"/>
          <w:bCs/>
          <w:sz w:val="24"/>
          <w:szCs w:val="24"/>
          <w:lang w:eastAsia="ru-RU"/>
        </w:rPr>
      </w:pPr>
      <w:r w:rsidRPr="00DB638E">
        <w:rPr>
          <w:rFonts w:ascii="Times New Roman" w:hAnsi="Times New Roman"/>
          <w:bCs/>
          <w:sz w:val="24"/>
          <w:szCs w:val="24"/>
          <w:lang w:eastAsia="ru-RU"/>
        </w:rPr>
        <w:t>Цель состояла в том, чтобы определить токсичность, ограничивающую дозу (ТОД), определить рекомендуемую дозу фазы 2 (RP2D), получить предварительные данные о фармакокинетике у детей и изучить эффективность при солидных опухолях. В исследование был включен 41 пациент, из которых 36 подлежали полной оценке. У пациентов были различные солидные опухоли: МРЩЖ (n=5), остеосаркома (n=2), EWS (n=4), рабдомиосаркома (RMS) (n=2), другие саркомы мягких тканей (STS)(n=4), опухоль Вильмса (WT) (n = 2), гепатобластома (n = 2), HCC (n = 2), RCC (n = 3), опухоли центральной нервной системы (CNS) (n = 9) и другие (</w:t>
      </w:r>
      <w:r w:rsidRPr="00DB638E">
        <w:rPr>
          <w:rFonts w:ascii="Times New Roman" w:hAnsi="Times New Roman"/>
          <w:bCs/>
          <w:sz w:val="24"/>
          <w:szCs w:val="24"/>
          <w:lang w:val="en-US" w:eastAsia="ru-RU"/>
        </w:rPr>
        <w:t>n</w:t>
      </w:r>
      <w:r w:rsidRPr="00DB638E">
        <w:rPr>
          <w:rFonts w:ascii="Times New Roman" w:hAnsi="Times New Roman"/>
          <w:bCs/>
          <w:sz w:val="24"/>
          <w:szCs w:val="24"/>
          <w:lang w:eastAsia="ru-RU"/>
        </w:rPr>
        <w:t>=6).</w:t>
      </w:r>
    </w:p>
    <w:p w14:paraId="7506EB6D" w14:textId="70404C9C" w:rsidR="004926ED" w:rsidRPr="00DB638E" w:rsidRDefault="004926ED" w:rsidP="004926ED">
      <w:pPr>
        <w:autoSpaceDE w:val="0"/>
        <w:autoSpaceDN w:val="0"/>
        <w:adjustRightInd w:val="0"/>
        <w:spacing w:after="0" w:line="240" w:lineRule="auto"/>
        <w:jc w:val="both"/>
        <w:rPr>
          <w:rFonts w:ascii="Times New Roman" w:hAnsi="Times New Roman"/>
          <w:bCs/>
          <w:sz w:val="24"/>
          <w:szCs w:val="24"/>
          <w:lang w:eastAsia="ru-RU"/>
        </w:rPr>
      </w:pPr>
      <w:r w:rsidRPr="00DB638E">
        <w:rPr>
          <w:rFonts w:ascii="Times New Roman" w:hAnsi="Times New Roman"/>
          <w:bCs/>
          <w:sz w:val="24"/>
          <w:szCs w:val="24"/>
          <w:lang w:eastAsia="ru-RU"/>
        </w:rPr>
        <w:t xml:space="preserve">Из 36 субъектов в оцениваемой популяции у четырех субъектов (11,1%) был лучший общий ответ на </w:t>
      </w:r>
      <w:r w:rsidR="00F75EFE" w:rsidRPr="00DB638E">
        <w:rPr>
          <w:rFonts w:ascii="Times New Roman" w:hAnsi="Times New Roman"/>
          <w:bCs/>
          <w:sz w:val="24"/>
          <w:szCs w:val="24"/>
          <w:lang w:eastAsia="ru-RU"/>
        </w:rPr>
        <w:t>ЧО</w:t>
      </w:r>
      <w:r w:rsidRPr="00DB638E">
        <w:rPr>
          <w:rFonts w:ascii="Times New Roman" w:hAnsi="Times New Roman"/>
          <w:bCs/>
          <w:sz w:val="24"/>
          <w:szCs w:val="24"/>
          <w:lang w:eastAsia="ru-RU"/>
        </w:rPr>
        <w:t xml:space="preserve">, а у восьми субъектов (22,2%) была SD (длительностью не менее 6 циклов). Из 12 пациентов с </w:t>
      </w:r>
      <w:r w:rsidR="00F75EFE" w:rsidRPr="00DB638E">
        <w:rPr>
          <w:rFonts w:ascii="Times New Roman" w:hAnsi="Times New Roman"/>
          <w:bCs/>
          <w:sz w:val="24"/>
          <w:szCs w:val="24"/>
          <w:lang w:eastAsia="ru-RU"/>
        </w:rPr>
        <w:t>ЧО</w:t>
      </w:r>
      <w:r w:rsidRPr="00DB638E">
        <w:rPr>
          <w:rFonts w:ascii="Times New Roman" w:hAnsi="Times New Roman"/>
          <w:bCs/>
          <w:sz w:val="24"/>
          <w:szCs w:val="24"/>
          <w:lang w:eastAsia="ru-RU"/>
        </w:rPr>
        <w:t xml:space="preserve"> или SD, превышающим или равным 6 циклам, 10 </w:t>
      </w:r>
      <w:r w:rsidRPr="00DB638E">
        <w:rPr>
          <w:rFonts w:ascii="Times New Roman" w:hAnsi="Times New Roman"/>
          <w:bCs/>
          <w:sz w:val="24"/>
          <w:szCs w:val="24"/>
          <w:lang w:eastAsia="ru-RU"/>
        </w:rPr>
        <w:lastRenderedPageBreak/>
        <w:t>пациентов находились в группах кабозантиниба 40 мг/м</w:t>
      </w:r>
      <w:r w:rsidRPr="00DB638E">
        <w:rPr>
          <w:rFonts w:ascii="Times New Roman" w:hAnsi="Times New Roman"/>
          <w:bCs/>
          <w:sz w:val="24"/>
          <w:szCs w:val="24"/>
          <w:vertAlign w:val="superscript"/>
          <w:lang w:eastAsia="ru-RU"/>
        </w:rPr>
        <w:t>2</w:t>
      </w:r>
      <w:r w:rsidRPr="00DB638E">
        <w:rPr>
          <w:rFonts w:ascii="Times New Roman" w:hAnsi="Times New Roman"/>
          <w:bCs/>
          <w:sz w:val="24"/>
          <w:szCs w:val="24"/>
          <w:lang w:eastAsia="ru-RU"/>
        </w:rPr>
        <w:t xml:space="preserve"> или 55 мг/м</w:t>
      </w:r>
      <w:r w:rsidRPr="00DB638E">
        <w:rPr>
          <w:rFonts w:ascii="Times New Roman" w:hAnsi="Times New Roman"/>
          <w:bCs/>
          <w:sz w:val="24"/>
          <w:szCs w:val="24"/>
          <w:vertAlign w:val="superscript"/>
          <w:lang w:eastAsia="ru-RU"/>
        </w:rPr>
        <w:t>2</w:t>
      </w:r>
      <w:r w:rsidRPr="00DB638E">
        <w:rPr>
          <w:rFonts w:ascii="Times New Roman" w:hAnsi="Times New Roman"/>
          <w:bCs/>
          <w:sz w:val="24"/>
          <w:szCs w:val="24"/>
          <w:lang w:eastAsia="ru-RU"/>
        </w:rPr>
        <w:t xml:space="preserve"> (семь и трое соответственно).</w:t>
      </w:r>
    </w:p>
    <w:p w14:paraId="2582A465" w14:textId="77777777" w:rsidR="004926ED" w:rsidRPr="00DB638E" w:rsidRDefault="004926ED" w:rsidP="004926ED">
      <w:pPr>
        <w:autoSpaceDE w:val="0"/>
        <w:autoSpaceDN w:val="0"/>
        <w:adjustRightInd w:val="0"/>
        <w:spacing w:after="0" w:line="240" w:lineRule="auto"/>
        <w:jc w:val="both"/>
        <w:rPr>
          <w:rFonts w:ascii="Times New Roman" w:hAnsi="Times New Roman"/>
          <w:bCs/>
          <w:sz w:val="24"/>
          <w:szCs w:val="24"/>
          <w:lang w:eastAsia="ru-RU"/>
        </w:rPr>
      </w:pPr>
      <w:r w:rsidRPr="00DB638E">
        <w:rPr>
          <w:rFonts w:ascii="Times New Roman" w:hAnsi="Times New Roman"/>
          <w:bCs/>
          <w:sz w:val="24"/>
          <w:szCs w:val="24"/>
          <w:lang w:eastAsia="ru-RU"/>
        </w:rPr>
        <w:t>Согласно центральному обзору, частичные ответы наблюдались у 2/5 пациентов с МРЩЖ (Медуллярный рак щитовидной железы), у одного пациента с опухолью Вильмса и у одного пациента со светлоклеточной саркомой.</w:t>
      </w:r>
    </w:p>
    <w:p w14:paraId="1FE96A78" w14:textId="77777777" w:rsidR="00C63DF6" w:rsidRPr="00DB638E" w:rsidRDefault="00C63DF6" w:rsidP="004926ED">
      <w:pPr>
        <w:autoSpaceDE w:val="0"/>
        <w:autoSpaceDN w:val="0"/>
        <w:adjustRightInd w:val="0"/>
        <w:spacing w:after="0" w:line="240" w:lineRule="auto"/>
        <w:jc w:val="both"/>
        <w:rPr>
          <w:rFonts w:ascii="Times New Roman" w:hAnsi="Times New Roman"/>
          <w:bCs/>
          <w:i/>
          <w:iCs/>
          <w:sz w:val="24"/>
          <w:szCs w:val="24"/>
          <w:u w:val="single"/>
          <w:lang w:eastAsia="ru-RU"/>
        </w:rPr>
      </w:pPr>
      <w:r w:rsidRPr="00DB638E">
        <w:rPr>
          <w:rFonts w:ascii="Times New Roman" w:hAnsi="Times New Roman"/>
          <w:bCs/>
          <w:i/>
          <w:iCs/>
          <w:sz w:val="24"/>
          <w:szCs w:val="24"/>
          <w:u w:val="single"/>
          <w:lang w:val="en-US" w:eastAsia="ru-RU"/>
        </w:rPr>
        <w:t>ADVL</w:t>
      </w:r>
      <w:r w:rsidRPr="00DB638E">
        <w:rPr>
          <w:rFonts w:ascii="Times New Roman" w:hAnsi="Times New Roman"/>
          <w:bCs/>
          <w:i/>
          <w:iCs/>
          <w:sz w:val="24"/>
          <w:szCs w:val="24"/>
          <w:u w:val="single"/>
          <w:lang w:eastAsia="ru-RU"/>
        </w:rPr>
        <w:t>1622</w:t>
      </w:r>
    </w:p>
    <w:p w14:paraId="58A644C6" w14:textId="1D21834A" w:rsidR="00C63DF6" w:rsidRPr="00DB638E" w:rsidRDefault="00985761" w:rsidP="00C63DF6">
      <w:pPr>
        <w:autoSpaceDE w:val="0"/>
        <w:autoSpaceDN w:val="0"/>
        <w:adjustRightInd w:val="0"/>
        <w:spacing w:after="0" w:line="240" w:lineRule="auto"/>
        <w:jc w:val="both"/>
        <w:rPr>
          <w:rFonts w:ascii="Times New Roman" w:hAnsi="Times New Roman"/>
          <w:bCs/>
          <w:sz w:val="24"/>
          <w:szCs w:val="24"/>
          <w:lang w:eastAsia="ru-RU"/>
        </w:rPr>
      </w:pPr>
      <w:r w:rsidRPr="00DB638E">
        <w:rPr>
          <w:rFonts w:ascii="Times New Roman" w:hAnsi="Times New Roman"/>
          <w:bCs/>
          <w:sz w:val="24"/>
          <w:szCs w:val="24"/>
          <w:lang w:eastAsia="ru-RU"/>
        </w:rPr>
        <w:t xml:space="preserve">Исследование </w:t>
      </w:r>
      <w:r w:rsidR="00C63DF6" w:rsidRPr="00DB638E">
        <w:rPr>
          <w:rFonts w:ascii="Times New Roman" w:hAnsi="Times New Roman"/>
          <w:bCs/>
          <w:sz w:val="24"/>
          <w:szCs w:val="24"/>
          <w:lang w:val="en-US" w:eastAsia="ru-RU"/>
        </w:rPr>
        <w:t>ADVL</w:t>
      </w:r>
      <w:r w:rsidR="00C63DF6" w:rsidRPr="00DB638E">
        <w:rPr>
          <w:rFonts w:ascii="Times New Roman" w:hAnsi="Times New Roman"/>
          <w:bCs/>
          <w:sz w:val="24"/>
          <w:szCs w:val="24"/>
          <w:lang w:eastAsia="ru-RU"/>
        </w:rPr>
        <w:t>1622 оценивал</w:t>
      </w:r>
      <w:r w:rsidRPr="00DB638E">
        <w:rPr>
          <w:rFonts w:ascii="Times New Roman" w:hAnsi="Times New Roman"/>
          <w:bCs/>
          <w:sz w:val="24"/>
          <w:szCs w:val="24"/>
          <w:lang w:eastAsia="ru-RU"/>
        </w:rPr>
        <w:t>о</w:t>
      </w:r>
      <w:r w:rsidR="00C63DF6" w:rsidRPr="00DB638E">
        <w:rPr>
          <w:rFonts w:ascii="Times New Roman" w:hAnsi="Times New Roman"/>
          <w:bCs/>
          <w:sz w:val="24"/>
          <w:szCs w:val="24"/>
          <w:lang w:eastAsia="ru-RU"/>
        </w:rPr>
        <w:t xml:space="preserve"> активность кабозантиниба в отдельных солидных опухолях у детей. Это многоцентровое открытое двухэтапное исследование фазы 2 включало следующие слои солидных опухолей: </w:t>
      </w:r>
      <w:r w:rsidRPr="00DB638E">
        <w:rPr>
          <w:rFonts w:ascii="Times New Roman" w:hAnsi="Times New Roman"/>
          <w:bCs/>
          <w:sz w:val="24"/>
          <w:szCs w:val="24"/>
          <w:lang w:eastAsia="ru-RU"/>
        </w:rPr>
        <w:t>страту</w:t>
      </w:r>
      <w:r w:rsidR="00C63DF6" w:rsidRPr="00DB638E">
        <w:rPr>
          <w:rFonts w:ascii="Times New Roman" w:hAnsi="Times New Roman"/>
          <w:bCs/>
          <w:sz w:val="24"/>
          <w:szCs w:val="24"/>
          <w:lang w:eastAsia="ru-RU"/>
        </w:rPr>
        <w:t xml:space="preserve"> без остеосаркомы</w:t>
      </w:r>
      <w:r w:rsidRPr="00DB638E">
        <w:rPr>
          <w:rFonts w:ascii="Times New Roman" w:hAnsi="Times New Roman"/>
          <w:bCs/>
          <w:sz w:val="24"/>
          <w:szCs w:val="24"/>
          <w:lang w:eastAsia="ru-RU"/>
        </w:rPr>
        <w:t xml:space="preserve"> </w:t>
      </w:r>
      <w:r w:rsidR="00C63DF6" w:rsidRPr="00DB638E">
        <w:rPr>
          <w:rFonts w:ascii="Times New Roman" w:hAnsi="Times New Roman"/>
          <w:bCs/>
          <w:sz w:val="24"/>
          <w:szCs w:val="24"/>
          <w:lang w:eastAsia="ru-RU"/>
        </w:rPr>
        <w:t>(включая саркому Юинга, рабдомиосаркому (</w:t>
      </w:r>
      <w:r w:rsidR="00C63DF6" w:rsidRPr="00DB638E">
        <w:rPr>
          <w:rFonts w:ascii="Times New Roman" w:hAnsi="Times New Roman"/>
          <w:bCs/>
          <w:sz w:val="24"/>
          <w:szCs w:val="24"/>
          <w:lang w:val="en-US" w:eastAsia="ru-RU"/>
        </w:rPr>
        <w:t>RMS</w:t>
      </w:r>
      <w:r w:rsidR="00C63DF6" w:rsidRPr="00DB638E">
        <w:rPr>
          <w:rFonts w:ascii="Times New Roman" w:hAnsi="Times New Roman"/>
          <w:bCs/>
          <w:sz w:val="24"/>
          <w:szCs w:val="24"/>
          <w:lang w:eastAsia="ru-RU"/>
        </w:rPr>
        <w:t>), нерабдомиосаркому, саркому мягких тканей (</w:t>
      </w:r>
      <w:r w:rsidR="00C63DF6" w:rsidRPr="00DB638E">
        <w:rPr>
          <w:rFonts w:ascii="Times New Roman" w:hAnsi="Times New Roman"/>
          <w:bCs/>
          <w:sz w:val="24"/>
          <w:szCs w:val="24"/>
          <w:lang w:val="en-US" w:eastAsia="ru-RU"/>
        </w:rPr>
        <w:t>NRSTS</w:t>
      </w:r>
      <w:r w:rsidR="00C63DF6" w:rsidRPr="00DB638E">
        <w:rPr>
          <w:rFonts w:ascii="Times New Roman" w:hAnsi="Times New Roman"/>
          <w:bCs/>
          <w:sz w:val="24"/>
          <w:szCs w:val="24"/>
          <w:lang w:eastAsia="ru-RU"/>
        </w:rPr>
        <w:t>) и опухоль Вильмса), слой остеосаркомы и редкие слои солидных опухолей (включая медуллярный рак щитовидной железы (</w:t>
      </w:r>
      <w:r w:rsidR="00C63DF6" w:rsidRPr="00DB638E">
        <w:rPr>
          <w:rFonts w:ascii="Times New Roman" w:hAnsi="Times New Roman"/>
          <w:bCs/>
          <w:sz w:val="24"/>
          <w:szCs w:val="24"/>
          <w:lang w:val="en-US" w:eastAsia="ru-RU"/>
        </w:rPr>
        <w:t>MTC</w:t>
      </w:r>
      <w:r w:rsidR="00C63DF6" w:rsidRPr="00DB638E">
        <w:rPr>
          <w:rFonts w:ascii="Times New Roman" w:hAnsi="Times New Roman"/>
          <w:bCs/>
          <w:sz w:val="24"/>
          <w:szCs w:val="24"/>
          <w:lang w:eastAsia="ru-RU"/>
        </w:rPr>
        <w:t xml:space="preserve">), почечно-клеточный рак, </w:t>
      </w:r>
      <w:r w:rsidR="00F75EFE" w:rsidRPr="00DB638E">
        <w:rPr>
          <w:rFonts w:ascii="Times New Roman" w:hAnsi="Times New Roman"/>
          <w:bCs/>
          <w:sz w:val="24"/>
          <w:szCs w:val="24"/>
          <w:lang w:eastAsia="ru-RU"/>
        </w:rPr>
        <w:t>печеночно-клеточный рак</w:t>
      </w:r>
      <w:r w:rsidR="00C63DF6" w:rsidRPr="00DB638E">
        <w:rPr>
          <w:rFonts w:ascii="Times New Roman" w:hAnsi="Times New Roman"/>
          <w:bCs/>
          <w:sz w:val="24"/>
          <w:szCs w:val="24"/>
          <w:lang w:eastAsia="ru-RU"/>
        </w:rPr>
        <w:t>, гепатобластома, адренокортикальная карцинома и другие солидные опухоли). Кабозантиниб вводили перорально один раз в день по схеме непрерывного дозирования, состоящей из 28-дневных циклов, в дозе 40 мг/м</w:t>
      </w:r>
      <w:r w:rsidR="00C63DF6" w:rsidRPr="00DB638E">
        <w:rPr>
          <w:rFonts w:ascii="Times New Roman" w:hAnsi="Times New Roman"/>
          <w:bCs/>
          <w:sz w:val="24"/>
          <w:szCs w:val="24"/>
          <w:vertAlign w:val="superscript"/>
          <w:lang w:eastAsia="ru-RU"/>
        </w:rPr>
        <w:t>2</w:t>
      </w:r>
      <w:r w:rsidR="00C63DF6" w:rsidRPr="00DB638E">
        <w:rPr>
          <w:rFonts w:ascii="Times New Roman" w:hAnsi="Times New Roman"/>
          <w:bCs/>
          <w:sz w:val="24"/>
          <w:szCs w:val="24"/>
          <w:lang w:eastAsia="ru-RU"/>
        </w:rPr>
        <w:t>/сут (кумулятивная недельная доза 280 мг/м</w:t>
      </w:r>
      <w:r w:rsidR="00C63DF6" w:rsidRPr="00DB638E">
        <w:rPr>
          <w:rFonts w:ascii="Times New Roman" w:hAnsi="Times New Roman"/>
          <w:bCs/>
          <w:sz w:val="24"/>
          <w:szCs w:val="24"/>
          <w:vertAlign w:val="superscript"/>
          <w:lang w:eastAsia="ru-RU"/>
        </w:rPr>
        <w:t>2</w:t>
      </w:r>
      <w:r w:rsidR="00C63DF6" w:rsidRPr="00DB638E">
        <w:rPr>
          <w:rFonts w:ascii="Times New Roman" w:hAnsi="Times New Roman"/>
          <w:bCs/>
          <w:sz w:val="24"/>
          <w:szCs w:val="24"/>
          <w:lang w:eastAsia="ru-RU"/>
        </w:rPr>
        <w:t xml:space="preserve"> с использованием дозировочной номограммы). Субъекты были ≥2 и ≤30 лет</w:t>
      </w:r>
      <w:r w:rsidRPr="00DB638E">
        <w:rPr>
          <w:rFonts w:ascii="Times New Roman" w:hAnsi="Times New Roman"/>
          <w:bCs/>
          <w:sz w:val="24"/>
          <w:szCs w:val="24"/>
          <w:lang w:eastAsia="ru-RU"/>
        </w:rPr>
        <w:t xml:space="preserve"> </w:t>
      </w:r>
      <w:r w:rsidR="00C63DF6" w:rsidRPr="00DB638E">
        <w:rPr>
          <w:rFonts w:ascii="Times New Roman" w:hAnsi="Times New Roman"/>
          <w:bCs/>
          <w:sz w:val="24"/>
          <w:szCs w:val="24"/>
          <w:lang w:eastAsia="ru-RU"/>
        </w:rPr>
        <w:t>на момент включения в исследование для вс</w:t>
      </w:r>
      <w:r w:rsidRPr="00DB638E">
        <w:rPr>
          <w:rFonts w:ascii="Times New Roman" w:hAnsi="Times New Roman"/>
          <w:bCs/>
          <w:sz w:val="24"/>
          <w:szCs w:val="24"/>
          <w:lang w:eastAsia="ru-RU"/>
        </w:rPr>
        <w:t>ех страт</w:t>
      </w:r>
      <w:r w:rsidR="00C63DF6" w:rsidRPr="00DB638E">
        <w:rPr>
          <w:rFonts w:ascii="Times New Roman" w:hAnsi="Times New Roman"/>
          <w:bCs/>
          <w:sz w:val="24"/>
          <w:szCs w:val="24"/>
          <w:lang w:eastAsia="ru-RU"/>
        </w:rPr>
        <w:t xml:space="preserve">, за исключением верхнего возрастного предела ≤18 лет для </w:t>
      </w:r>
      <w:r w:rsidR="00C63DF6" w:rsidRPr="00DB638E">
        <w:rPr>
          <w:rFonts w:ascii="Times New Roman" w:hAnsi="Times New Roman"/>
          <w:bCs/>
          <w:sz w:val="24"/>
          <w:szCs w:val="24"/>
          <w:lang w:val="en-US" w:eastAsia="ru-RU"/>
        </w:rPr>
        <w:t>MTC</w:t>
      </w:r>
      <w:r w:rsidR="00C63DF6" w:rsidRPr="00DB638E">
        <w:rPr>
          <w:rFonts w:ascii="Times New Roman" w:hAnsi="Times New Roman"/>
          <w:bCs/>
          <w:sz w:val="24"/>
          <w:szCs w:val="24"/>
          <w:lang w:eastAsia="ru-RU"/>
        </w:rPr>
        <w:t xml:space="preserve">, </w:t>
      </w:r>
      <w:r w:rsidR="00D26903" w:rsidRPr="00DB638E">
        <w:rPr>
          <w:rFonts w:ascii="Times New Roman" w:hAnsi="Times New Roman"/>
          <w:bCs/>
          <w:sz w:val="24"/>
          <w:szCs w:val="24"/>
          <w:lang w:eastAsia="ru-RU"/>
        </w:rPr>
        <w:t>почечно-клеточный рак</w:t>
      </w:r>
      <w:r w:rsidR="00C63DF6" w:rsidRPr="00DB638E">
        <w:rPr>
          <w:rFonts w:ascii="Times New Roman" w:hAnsi="Times New Roman"/>
          <w:bCs/>
          <w:sz w:val="24"/>
          <w:szCs w:val="24"/>
          <w:lang w:eastAsia="ru-RU"/>
        </w:rPr>
        <w:t xml:space="preserve"> и </w:t>
      </w:r>
      <w:r w:rsidR="00D26903" w:rsidRPr="00DB638E">
        <w:rPr>
          <w:rFonts w:ascii="Times New Roman" w:hAnsi="Times New Roman"/>
          <w:bCs/>
          <w:sz w:val="24"/>
          <w:szCs w:val="24"/>
          <w:lang w:eastAsia="ru-RU"/>
        </w:rPr>
        <w:t>печеночно-клеточный рак</w:t>
      </w:r>
      <w:r w:rsidR="00C63DF6" w:rsidRPr="00DB638E">
        <w:rPr>
          <w:rFonts w:ascii="Times New Roman" w:hAnsi="Times New Roman"/>
          <w:bCs/>
          <w:sz w:val="24"/>
          <w:szCs w:val="24"/>
          <w:lang w:eastAsia="ru-RU"/>
        </w:rPr>
        <w:t>.</w:t>
      </w:r>
    </w:p>
    <w:p w14:paraId="7DA94F32" w14:textId="29B66B40" w:rsidR="00C63DF6" w:rsidRPr="00DB638E" w:rsidRDefault="00C63DF6" w:rsidP="00C63DF6">
      <w:pPr>
        <w:autoSpaceDE w:val="0"/>
        <w:autoSpaceDN w:val="0"/>
        <w:adjustRightInd w:val="0"/>
        <w:spacing w:after="0" w:line="240" w:lineRule="auto"/>
        <w:jc w:val="both"/>
        <w:rPr>
          <w:rFonts w:ascii="Times New Roman" w:hAnsi="Times New Roman"/>
          <w:bCs/>
          <w:sz w:val="24"/>
          <w:szCs w:val="24"/>
          <w:lang w:eastAsia="ru-RU"/>
        </w:rPr>
      </w:pPr>
      <w:r w:rsidRPr="00DB638E">
        <w:rPr>
          <w:rFonts w:ascii="Times New Roman" w:hAnsi="Times New Roman"/>
          <w:bCs/>
          <w:sz w:val="24"/>
          <w:szCs w:val="24"/>
          <w:lang w:eastAsia="ru-RU"/>
        </w:rPr>
        <w:t xml:space="preserve">Для </w:t>
      </w:r>
      <w:r w:rsidR="00985761" w:rsidRPr="00DB638E">
        <w:rPr>
          <w:rFonts w:ascii="Times New Roman" w:hAnsi="Times New Roman"/>
          <w:bCs/>
          <w:sz w:val="24"/>
          <w:szCs w:val="24"/>
          <w:lang w:eastAsia="ru-RU"/>
        </w:rPr>
        <w:t>страт</w:t>
      </w:r>
      <w:r w:rsidRPr="00DB638E">
        <w:rPr>
          <w:rFonts w:ascii="Times New Roman" w:hAnsi="Times New Roman"/>
          <w:bCs/>
          <w:sz w:val="24"/>
          <w:szCs w:val="24"/>
          <w:lang w:eastAsia="ru-RU"/>
        </w:rPr>
        <w:t xml:space="preserve"> без остеосаркомы и редких опухолей первичной конечной точкой была частота объективных ответов (ЧОО). Для слоя остеосаркомы был использован двухэтапный план, который включал двойные конечные точки объективного ответа (</w:t>
      </w:r>
      <w:r w:rsidR="00793363" w:rsidRPr="00DB638E">
        <w:rPr>
          <w:rFonts w:ascii="Times New Roman" w:hAnsi="Times New Roman"/>
          <w:bCs/>
          <w:sz w:val="24"/>
          <w:szCs w:val="24"/>
          <w:lang w:eastAsia="ru-RU"/>
        </w:rPr>
        <w:t>ПО+ЧО</w:t>
      </w:r>
      <w:r w:rsidRPr="00DB638E">
        <w:rPr>
          <w:rFonts w:ascii="Times New Roman" w:hAnsi="Times New Roman"/>
          <w:bCs/>
          <w:sz w:val="24"/>
          <w:szCs w:val="24"/>
          <w:lang w:eastAsia="ru-RU"/>
        </w:rPr>
        <w:t>), основанные на критериях оценки ответа в солидных опухолях (</w:t>
      </w:r>
      <w:r w:rsidRPr="00DB638E">
        <w:rPr>
          <w:rFonts w:ascii="Times New Roman" w:hAnsi="Times New Roman"/>
          <w:bCs/>
          <w:sz w:val="24"/>
          <w:szCs w:val="24"/>
          <w:lang w:val="en-US" w:eastAsia="ru-RU"/>
        </w:rPr>
        <w:t>RECIST</w:t>
      </w:r>
      <w:r w:rsidRPr="00DB638E">
        <w:rPr>
          <w:rFonts w:ascii="Times New Roman" w:hAnsi="Times New Roman"/>
          <w:bCs/>
          <w:sz w:val="24"/>
          <w:szCs w:val="24"/>
          <w:lang w:eastAsia="ru-RU"/>
        </w:rPr>
        <w:t xml:space="preserve">) версии 1.1 и критерии успеха лечения, как определено </w:t>
      </w:r>
      <w:r w:rsidRPr="00DB638E">
        <w:rPr>
          <w:rFonts w:ascii="Times New Roman" w:hAnsi="Times New Roman"/>
          <w:bCs/>
          <w:sz w:val="24"/>
          <w:szCs w:val="24"/>
          <w:lang w:val="en-US" w:eastAsia="ru-RU"/>
        </w:rPr>
        <w:t>SD</w:t>
      </w:r>
      <w:r w:rsidRPr="00DB638E">
        <w:rPr>
          <w:rFonts w:ascii="Times New Roman" w:hAnsi="Times New Roman"/>
          <w:bCs/>
          <w:sz w:val="24"/>
          <w:szCs w:val="24"/>
          <w:lang w:eastAsia="ru-RU"/>
        </w:rPr>
        <w:t xml:space="preserve"> в течение ≥4 месяцев. Оценивали фармакокинетику кабозантиниба у детей и подростков (см. раздел 5.2).</w:t>
      </w:r>
    </w:p>
    <w:p w14:paraId="63502740" w14:textId="77777777" w:rsidR="00C63DF6" w:rsidRPr="00DB638E" w:rsidRDefault="00C63DF6" w:rsidP="00C63DF6">
      <w:pPr>
        <w:autoSpaceDE w:val="0"/>
        <w:autoSpaceDN w:val="0"/>
        <w:adjustRightInd w:val="0"/>
        <w:spacing w:after="0" w:line="240" w:lineRule="auto"/>
        <w:jc w:val="both"/>
        <w:rPr>
          <w:rFonts w:ascii="Times New Roman" w:hAnsi="Times New Roman"/>
          <w:bCs/>
          <w:i/>
          <w:iCs/>
          <w:sz w:val="24"/>
          <w:szCs w:val="24"/>
          <w:lang w:eastAsia="ru-RU"/>
        </w:rPr>
      </w:pPr>
      <w:r w:rsidRPr="00DB638E">
        <w:rPr>
          <w:rFonts w:ascii="Times New Roman" w:hAnsi="Times New Roman"/>
          <w:bCs/>
          <w:i/>
          <w:iCs/>
          <w:sz w:val="24"/>
          <w:szCs w:val="24"/>
          <w:lang w:eastAsia="ru-RU"/>
        </w:rPr>
        <w:t>Сводка результатов эффективности</w:t>
      </w:r>
    </w:p>
    <w:p w14:paraId="14FEA648" w14:textId="77777777" w:rsidR="00C63DF6" w:rsidRPr="00DB638E" w:rsidRDefault="00C63DF6" w:rsidP="00C63DF6">
      <w:pPr>
        <w:autoSpaceDE w:val="0"/>
        <w:autoSpaceDN w:val="0"/>
        <w:adjustRightInd w:val="0"/>
        <w:spacing w:after="0" w:line="240" w:lineRule="auto"/>
        <w:jc w:val="both"/>
        <w:rPr>
          <w:rFonts w:ascii="Times New Roman" w:hAnsi="Times New Roman"/>
          <w:bCs/>
          <w:sz w:val="24"/>
          <w:szCs w:val="24"/>
          <w:lang w:eastAsia="ru-RU"/>
        </w:rPr>
      </w:pPr>
      <w:r w:rsidRPr="00DB638E">
        <w:rPr>
          <w:rFonts w:ascii="Times New Roman" w:hAnsi="Times New Roman"/>
          <w:bCs/>
          <w:sz w:val="24"/>
          <w:szCs w:val="24"/>
          <w:lang w:eastAsia="ru-RU"/>
        </w:rPr>
        <w:t xml:space="preserve">На дату окончания сбора данных (30 июня 2021 г.) 108 из 109 субъектов получили по крайней мере одну дозу кабозантиниба. Каждая статистическая когорта в </w:t>
      </w:r>
      <w:r w:rsidR="00985761" w:rsidRPr="00DB638E">
        <w:rPr>
          <w:rFonts w:ascii="Times New Roman" w:hAnsi="Times New Roman"/>
          <w:bCs/>
          <w:sz w:val="24"/>
          <w:szCs w:val="24"/>
          <w:lang w:eastAsia="ru-RU"/>
        </w:rPr>
        <w:t>стратах</w:t>
      </w:r>
      <w:r w:rsidRPr="00DB638E">
        <w:rPr>
          <w:rFonts w:ascii="Times New Roman" w:hAnsi="Times New Roman"/>
          <w:bCs/>
          <w:sz w:val="24"/>
          <w:szCs w:val="24"/>
          <w:lang w:eastAsia="ru-RU"/>
        </w:rPr>
        <w:t xml:space="preserve"> без остеосаркомы включала 13 субъектов. В этих статистических когортах ответов не наблюдалось. В пласт остеосаркомы вошли 29 человек, в том числе 17 детей (в возрасте от 9 до 17 лет) и 12 взрослых (в возрасте от 18 до 22 лет).</w:t>
      </w:r>
    </w:p>
    <w:p w14:paraId="083DDE71" w14:textId="77777777" w:rsidR="00E1156E" w:rsidRPr="00DB638E" w:rsidRDefault="00C63DF6" w:rsidP="009172C1">
      <w:pPr>
        <w:autoSpaceDE w:val="0"/>
        <w:autoSpaceDN w:val="0"/>
        <w:adjustRightInd w:val="0"/>
        <w:spacing w:after="0" w:line="240" w:lineRule="auto"/>
        <w:jc w:val="both"/>
        <w:rPr>
          <w:rFonts w:ascii="Times New Roman" w:hAnsi="Times New Roman"/>
          <w:bCs/>
          <w:sz w:val="24"/>
          <w:szCs w:val="24"/>
          <w:lang w:eastAsia="ru-RU"/>
        </w:rPr>
      </w:pPr>
      <w:r w:rsidRPr="00DB638E">
        <w:rPr>
          <w:rFonts w:ascii="Times New Roman" w:hAnsi="Times New Roman"/>
          <w:bCs/>
          <w:sz w:val="24"/>
          <w:szCs w:val="24"/>
          <w:lang w:eastAsia="ru-RU"/>
        </w:rPr>
        <w:t xml:space="preserve">В слое остеосаркомы все субъекты ранее получали системную терапию. </w:t>
      </w:r>
      <w:r w:rsidR="004A4981" w:rsidRPr="00DB638E">
        <w:rPr>
          <w:rFonts w:ascii="Times New Roman" w:hAnsi="Times New Roman"/>
          <w:bCs/>
          <w:sz w:val="24"/>
          <w:szCs w:val="24"/>
          <w:lang w:eastAsia="ru-RU"/>
        </w:rPr>
        <w:t>Частичный ответ</w:t>
      </w:r>
      <w:r w:rsidRPr="00DB638E">
        <w:rPr>
          <w:rFonts w:ascii="Times New Roman" w:hAnsi="Times New Roman"/>
          <w:bCs/>
          <w:sz w:val="24"/>
          <w:szCs w:val="24"/>
          <w:lang w:eastAsia="ru-RU"/>
        </w:rPr>
        <w:t xml:space="preserve"> наблюдался у одного взрослого и одного ребенка. Уровень контроля </w:t>
      </w:r>
      <w:r w:rsidR="00985761" w:rsidRPr="00DB638E">
        <w:rPr>
          <w:rFonts w:ascii="Times New Roman" w:hAnsi="Times New Roman"/>
          <w:bCs/>
          <w:sz w:val="24"/>
          <w:szCs w:val="24"/>
          <w:lang w:eastAsia="ru-RU"/>
        </w:rPr>
        <w:t xml:space="preserve">над </w:t>
      </w:r>
      <w:r w:rsidRPr="00DB638E">
        <w:rPr>
          <w:rFonts w:ascii="Times New Roman" w:hAnsi="Times New Roman"/>
          <w:bCs/>
          <w:sz w:val="24"/>
          <w:szCs w:val="24"/>
          <w:lang w:eastAsia="ru-RU"/>
        </w:rPr>
        <w:t>заболевани</w:t>
      </w:r>
      <w:r w:rsidR="00985761" w:rsidRPr="00DB638E">
        <w:rPr>
          <w:rFonts w:ascii="Times New Roman" w:hAnsi="Times New Roman"/>
          <w:bCs/>
          <w:sz w:val="24"/>
          <w:szCs w:val="24"/>
          <w:lang w:eastAsia="ru-RU"/>
        </w:rPr>
        <w:t>ем</w:t>
      </w:r>
      <w:r w:rsidRPr="00DB638E">
        <w:rPr>
          <w:rFonts w:ascii="Times New Roman" w:hAnsi="Times New Roman"/>
          <w:bCs/>
          <w:sz w:val="24"/>
          <w:szCs w:val="24"/>
          <w:lang w:eastAsia="ru-RU"/>
        </w:rPr>
        <w:t xml:space="preserve"> (</w:t>
      </w:r>
      <w:r w:rsidR="00985761" w:rsidRPr="00DB638E">
        <w:rPr>
          <w:rFonts w:ascii="Times New Roman" w:hAnsi="Times New Roman"/>
          <w:bCs/>
          <w:sz w:val="24"/>
          <w:szCs w:val="24"/>
          <w:lang w:eastAsia="ru-RU"/>
        </w:rPr>
        <w:t>УКнЗ</w:t>
      </w:r>
      <w:r w:rsidRPr="00DB638E">
        <w:rPr>
          <w:rFonts w:ascii="Times New Roman" w:hAnsi="Times New Roman"/>
          <w:bCs/>
          <w:sz w:val="24"/>
          <w:szCs w:val="24"/>
          <w:lang w:eastAsia="ru-RU"/>
        </w:rPr>
        <w:t>) составил 34,5% (95% ДИ: 17</w:t>
      </w:r>
      <w:r w:rsidR="00985761" w:rsidRPr="00DB638E">
        <w:rPr>
          <w:rFonts w:ascii="Times New Roman" w:hAnsi="Times New Roman"/>
          <w:bCs/>
          <w:sz w:val="24"/>
          <w:szCs w:val="24"/>
          <w:lang w:eastAsia="ru-RU"/>
        </w:rPr>
        <w:t>.</w:t>
      </w:r>
      <w:r w:rsidRPr="00DB638E">
        <w:rPr>
          <w:rFonts w:ascii="Times New Roman" w:hAnsi="Times New Roman"/>
          <w:bCs/>
          <w:sz w:val="24"/>
          <w:szCs w:val="24"/>
          <w:lang w:eastAsia="ru-RU"/>
        </w:rPr>
        <w:t>9, 54</w:t>
      </w:r>
      <w:r w:rsidR="00985761" w:rsidRPr="00DB638E">
        <w:rPr>
          <w:rFonts w:ascii="Times New Roman" w:hAnsi="Times New Roman"/>
          <w:bCs/>
          <w:sz w:val="24"/>
          <w:szCs w:val="24"/>
          <w:lang w:eastAsia="ru-RU"/>
        </w:rPr>
        <w:t>.</w:t>
      </w:r>
      <w:r w:rsidRPr="00DB638E">
        <w:rPr>
          <w:rFonts w:ascii="Times New Roman" w:hAnsi="Times New Roman"/>
          <w:bCs/>
          <w:sz w:val="24"/>
          <w:szCs w:val="24"/>
          <w:lang w:eastAsia="ru-RU"/>
        </w:rPr>
        <w:t>3).</w:t>
      </w:r>
    </w:p>
    <w:p w14:paraId="488B5710" w14:textId="77777777" w:rsidR="00C153F2" w:rsidRPr="00DB638E"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DB638E">
        <w:rPr>
          <w:rFonts w:ascii="Times New Roman" w:hAnsi="Times New Roman"/>
          <w:b/>
          <w:sz w:val="24"/>
          <w:szCs w:val="24"/>
          <w:lang w:eastAsia="ru-RU"/>
        </w:rPr>
        <w:t xml:space="preserve">5.2 </w:t>
      </w:r>
      <w:r w:rsidR="00DD5E3A" w:rsidRPr="00DB638E">
        <w:rPr>
          <w:rFonts w:ascii="Times New Roman" w:eastAsia="TimesNewRomanPSMT" w:hAnsi="Times New Roman"/>
          <w:b/>
          <w:sz w:val="24"/>
          <w:szCs w:val="24"/>
          <w:lang w:eastAsia="ru-RU"/>
        </w:rPr>
        <w:t>Фармакокинетические свойства</w:t>
      </w:r>
    </w:p>
    <w:p w14:paraId="2497DBA1" w14:textId="77777777" w:rsidR="00CE03ED" w:rsidRPr="00DB638E" w:rsidRDefault="00C153F2" w:rsidP="0078568D">
      <w:pPr>
        <w:autoSpaceDE w:val="0"/>
        <w:autoSpaceDN w:val="0"/>
        <w:adjustRightInd w:val="0"/>
        <w:spacing w:after="0" w:line="240" w:lineRule="auto"/>
        <w:rPr>
          <w:rFonts w:ascii="Times New Roman" w:hAnsi="Times New Roman"/>
          <w:i/>
          <w:sz w:val="24"/>
          <w:szCs w:val="24"/>
          <w:lang w:bidi="ru-RU"/>
        </w:rPr>
      </w:pPr>
      <w:r w:rsidRPr="00DB638E">
        <w:rPr>
          <w:rFonts w:ascii="Times New Roman" w:hAnsi="Times New Roman"/>
          <w:i/>
          <w:sz w:val="24"/>
          <w:szCs w:val="24"/>
          <w:lang w:bidi="ru-RU"/>
        </w:rPr>
        <w:t>Абсорбция</w:t>
      </w:r>
    </w:p>
    <w:p w14:paraId="70D168A8" w14:textId="77777777" w:rsidR="000162F9" w:rsidRPr="00DB638E" w:rsidRDefault="000162F9" w:rsidP="000162F9">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После перорального приема кабозантиниба пиковые концентрации кабозантиниба в плазме достигаются через 3–4 часа после приема. Профили концентрации в плазме и времени показывают второй пик абсорбции примерно через 24 часа после введения, что позволяет предположить, что кабозантиниб может подвергаться кишечно-печеночной рециркуляции.</w:t>
      </w:r>
    </w:p>
    <w:p w14:paraId="2CA8E593" w14:textId="77777777" w:rsidR="000162F9" w:rsidRPr="00DB638E" w:rsidRDefault="000162F9" w:rsidP="000162F9">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Повторный ежедневный прием кабозантиниба в дозе 140 мг в течение 19 дней приводил к примерно 4-5-кратному среднему накоплению кабозантиниба (на основе AUC) по сравнению с приемом однократной дозы; устойчив</w:t>
      </w:r>
      <w:r w:rsidR="009B0E0E" w:rsidRPr="00DB638E">
        <w:rPr>
          <w:rFonts w:ascii="Times New Roman" w:hAnsi="Times New Roman"/>
          <w:iCs/>
          <w:sz w:val="24"/>
          <w:szCs w:val="24"/>
          <w:lang w:eastAsia="ru-RU"/>
        </w:rPr>
        <w:t xml:space="preserve">ое </w:t>
      </w:r>
      <w:r w:rsidRPr="00DB638E">
        <w:rPr>
          <w:rFonts w:ascii="Times New Roman" w:hAnsi="Times New Roman"/>
          <w:iCs/>
          <w:sz w:val="24"/>
          <w:szCs w:val="24"/>
          <w:lang w:eastAsia="ru-RU"/>
        </w:rPr>
        <w:t>состояние достигается примерно к 15 дню.</w:t>
      </w:r>
    </w:p>
    <w:p w14:paraId="667C0BA5" w14:textId="77777777" w:rsidR="000162F9" w:rsidRPr="00DB638E" w:rsidRDefault="000162F9" w:rsidP="000162F9">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Прием пищи с высоким содержанием жиров умеренно увеличивал значения C</w:t>
      </w:r>
      <w:r w:rsidRPr="00DB638E">
        <w:rPr>
          <w:rFonts w:ascii="Times New Roman" w:hAnsi="Times New Roman"/>
          <w:iCs/>
          <w:sz w:val="24"/>
          <w:szCs w:val="24"/>
          <w:vertAlign w:val="subscript"/>
          <w:lang w:eastAsia="ru-RU"/>
        </w:rPr>
        <w:t>max</w:t>
      </w:r>
      <w:r w:rsidRPr="00DB638E">
        <w:rPr>
          <w:rFonts w:ascii="Times New Roman" w:hAnsi="Times New Roman"/>
          <w:iCs/>
          <w:sz w:val="24"/>
          <w:szCs w:val="24"/>
          <w:lang w:eastAsia="ru-RU"/>
        </w:rPr>
        <w:t xml:space="preserve"> и AUC (41% и 57% соответственно) по сравнению с состоянием натощак у здоровых добровольцев, принимавших однократную пероральную дозу 140 мг кабозантиниба. Нет информации о точном воздействии на пищу при приеме кабозантиниба через 1 час после приема.</w:t>
      </w:r>
    </w:p>
    <w:p w14:paraId="3FD7B194" w14:textId="77777777" w:rsidR="000162F9" w:rsidRPr="00DB638E" w:rsidRDefault="000162F9" w:rsidP="000162F9">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 xml:space="preserve">Биоэквивалентность кабозантиниба в капсулах и таблетках после однократного приема 140 мг здоровыми субъектами не была продемонстрирована. Наблюдалось 19% </w:t>
      </w:r>
      <w:r w:rsidRPr="00DB638E">
        <w:rPr>
          <w:rFonts w:ascii="Times New Roman" w:hAnsi="Times New Roman"/>
          <w:iCs/>
          <w:sz w:val="24"/>
          <w:szCs w:val="24"/>
          <w:lang w:eastAsia="ru-RU"/>
        </w:rPr>
        <w:lastRenderedPageBreak/>
        <w:t>увеличение C</w:t>
      </w:r>
      <w:r w:rsidRPr="00DB638E">
        <w:rPr>
          <w:rFonts w:ascii="Times New Roman" w:hAnsi="Times New Roman"/>
          <w:iCs/>
          <w:sz w:val="24"/>
          <w:szCs w:val="24"/>
          <w:vertAlign w:val="subscript"/>
          <w:lang w:eastAsia="ru-RU"/>
        </w:rPr>
        <w:t>max</w:t>
      </w:r>
      <w:r w:rsidRPr="00DB638E">
        <w:rPr>
          <w:rFonts w:ascii="Times New Roman" w:hAnsi="Times New Roman"/>
          <w:iCs/>
          <w:sz w:val="24"/>
          <w:szCs w:val="24"/>
          <w:lang w:eastAsia="ru-RU"/>
        </w:rPr>
        <w:t xml:space="preserve"> таблетированного состава по сравнению с капсульным составом. Разница в AUC между таблетками и капсулами кабозантиниба составляла менее 10 %.</w:t>
      </w:r>
    </w:p>
    <w:p w14:paraId="50C43F2D" w14:textId="77777777" w:rsidR="00A0709E" w:rsidRPr="00DB638E" w:rsidRDefault="00DF3381" w:rsidP="0078568D">
      <w:pPr>
        <w:autoSpaceDE w:val="0"/>
        <w:autoSpaceDN w:val="0"/>
        <w:adjustRightInd w:val="0"/>
        <w:spacing w:after="0" w:line="240" w:lineRule="auto"/>
        <w:rPr>
          <w:rFonts w:ascii="Times New Roman" w:hAnsi="Times New Roman"/>
          <w:i/>
          <w:sz w:val="24"/>
          <w:szCs w:val="24"/>
          <w:lang w:bidi="ru-RU"/>
        </w:rPr>
      </w:pPr>
      <w:r w:rsidRPr="00DB638E">
        <w:rPr>
          <w:rFonts w:ascii="Times New Roman" w:hAnsi="Times New Roman"/>
          <w:i/>
          <w:sz w:val="24"/>
          <w:szCs w:val="24"/>
          <w:lang w:bidi="ru-RU"/>
        </w:rPr>
        <w:t>Распределение</w:t>
      </w:r>
    </w:p>
    <w:p w14:paraId="13B874F8" w14:textId="77777777" w:rsidR="009B0E0E" w:rsidRPr="00DB638E" w:rsidRDefault="009B0E0E" w:rsidP="009B0E0E">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Кабозантиниб в высокой степени связывается с белками in vitro в плазме крови человека (≥ 99,7%). На основе популяционно-фармакокинетической (</w:t>
      </w:r>
      <w:r w:rsidR="00235E9B" w:rsidRPr="00DB638E">
        <w:rPr>
          <w:rFonts w:ascii="Times New Roman" w:hAnsi="Times New Roman"/>
          <w:iCs/>
          <w:sz w:val="24"/>
          <w:szCs w:val="24"/>
          <w:lang w:eastAsia="ru-RU"/>
        </w:rPr>
        <w:t>ФК</w:t>
      </w:r>
      <w:r w:rsidRPr="00DB638E">
        <w:rPr>
          <w:rFonts w:ascii="Times New Roman" w:hAnsi="Times New Roman"/>
          <w:iCs/>
          <w:sz w:val="24"/>
          <w:szCs w:val="24"/>
          <w:lang w:eastAsia="ru-RU"/>
        </w:rPr>
        <w:t>) модели объем распределения центрального компартмента (Vc/F) был оценен в 212 л.</w:t>
      </w:r>
    </w:p>
    <w:p w14:paraId="266C1CD8" w14:textId="77777777" w:rsidR="00A0709E" w:rsidRPr="00DB638E" w:rsidRDefault="00DF3381" w:rsidP="0078568D">
      <w:pPr>
        <w:autoSpaceDE w:val="0"/>
        <w:autoSpaceDN w:val="0"/>
        <w:adjustRightInd w:val="0"/>
        <w:spacing w:after="0" w:line="240" w:lineRule="auto"/>
        <w:rPr>
          <w:rFonts w:ascii="Times New Roman" w:hAnsi="Times New Roman"/>
          <w:i/>
          <w:sz w:val="24"/>
          <w:szCs w:val="24"/>
          <w:lang w:bidi="ru-RU"/>
        </w:rPr>
      </w:pPr>
      <w:r w:rsidRPr="00DB638E">
        <w:rPr>
          <w:rFonts w:ascii="Times New Roman" w:hAnsi="Times New Roman"/>
          <w:i/>
          <w:sz w:val="24"/>
          <w:szCs w:val="24"/>
          <w:lang w:bidi="ru-RU"/>
        </w:rPr>
        <w:t>Биотрансформация</w:t>
      </w:r>
    </w:p>
    <w:p w14:paraId="1C9B60A4" w14:textId="77777777" w:rsidR="00235E9B" w:rsidRPr="00DB638E" w:rsidRDefault="00235E9B" w:rsidP="00235E9B">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 xml:space="preserve">Кабозантиниб метаболизируется </w:t>
      </w:r>
      <w:r w:rsidRPr="00DB638E">
        <w:rPr>
          <w:rFonts w:ascii="Times New Roman" w:hAnsi="Times New Roman"/>
          <w:i/>
          <w:sz w:val="24"/>
          <w:szCs w:val="24"/>
          <w:lang w:eastAsia="ru-RU"/>
        </w:rPr>
        <w:t>in vivo</w:t>
      </w:r>
      <w:r w:rsidRPr="00DB638E">
        <w:rPr>
          <w:rFonts w:ascii="Times New Roman" w:hAnsi="Times New Roman"/>
          <w:iCs/>
          <w:sz w:val="24"/>
          <w:szCs w:val="24"/>
          <w:lang w:eastAsia="ru-RU"/>
        </w:rPr>
        <w:t>. Четыре метаболита присутствовали в плазме при воздействиях (AUC), превышающих 10% от исходного: XL184-N-оксид, продукт расщепления амида XL184, моногидроксисульфат XL184 и продукт расщепления 6-десметиламида сульфат. Два неконъюгированных метаболита (XL184-N-оксид и продукт расщепления амида XL184), которые обладают &lt;1% эффективности ингибирования киназы-мишени исходного кабозантиниба, каждый составляет &lt;10% от общего воздействия препарата в плазме крови.</w:t>
      </w:r>
    </w:p>
    <w:p w14:paraId="7F60DAEF" w14:textId="77777777" w:rsidR="005A1575" w:rsidRPr="00DB638E" w:rsidRDefault="00235E9B" w:rsidP="00235E9B">
      <w:pPr>
        <w:autoSpaceDE w:val="0"/>
        <w:autoSpaceDN w:val="0"/>
        <w:adjustRightInd w:val="0"/>
        <w:spacing w:after="0" w:line="240" w:lineRule="auto"/>
        <w:jc w:val="both"/>
        <w:rPr>
          <w:rFonts w:ascii="Times New Roman" w:hAnsi="Times New Roman"/>
          <w:i/>
          <w:iCs/>
          <w:sz w:val="24"/>
          <w:szCs w:val="24"/>
          <w:lang w:eastAsia="ru-RU" w:bidi="ru-RU"/>
        </w:rPr>
      </w:pPr>
      <w:r w:rsidRPr="00DB638E">
        <w:rPr>
          <w:rFonts w:ascii="Times New Roman" w:hAnsi="Times New Roman"/>
          <w:iCs/>
          <w:sz w:val="24"/>
          <w:szCs w:val="24"/>
          <w:lang w:eastAsia="ru-RU"/>
        </w:rPr>
        <w:t xml:space="preserve">Кабозантиниб является субстратом для метаболизма CYP3A4 </w:t>
      </w:r>
      <w:r w:rsidRPr="00DB638E">
        <w:rPr>
          <w:rFonts w:ascii="Times New Roman" w:hAnsi="Times New Roman"/>
          <w:i/>
          <w:sz w:val="24"/>
          <w:szCs w:val="24"/>
          <w:lang w:eastAsia="ru-RU"/>
        </w:rPr>
        <w:t>in vitro</w:t>
      </w:r>
      <w:r w:rsidRPr="00DB638E">
        <w:rPr>
          <w:rFonts w:ascii="Times New Roman" w:hAnsi="Times New Roman"/>
          <w:iCs/>
          <w:sz w:val="24"/>
          <w:szCs w:val="24"/>
          <w:lang w:eastAsia="ru-RU"/>
        </w:rPr>
        <w:t>, так как нейтрализующее антитело к CYP3A4 ингибирует образование N-оксида метаболита XL184 более чем на 80% в инкубации микросом печени человека (HLM), катализируемой НАДФН</w:t>
      </w:r>
      <w:r w:rsidR="002B1749" w:rsidRPr="00DB638E">
        <w:rPr>
          <w:rFonts w:ascii="Times New Roman" w:hAnsi="Times New Roman"/>
          <w:iCs/>
          <w:sz w:val="24"/>
          <w:szCs w:val="24"/>
          <w:lang w:eastAsia="ru-RU"/>
        </w:rPr>
        <w:t>; напротив</w:t>
      </w:r>
      <w:r w:rsidRPr="00DB638E">
        <w:rPr>
          <w:rFonts w:ascii="Times New Roman" w:hAnsi="Times New Roman"/>
          <w:iCs/>
          <w:sz w:val="24"/>
          <w:szCs w:val="24"/>
          <w:lang w:eastAsia="ru-RU"/>
        </w:rPr>
        <w:t>, нейтрализующие антитела к CYP1A2, CYP2A6, CYP2B6, CYP2C8, CYP2C19, CYP2D6 и CYP2E1 не влияли на образование метаболитов кабозантиниба. Нейтрализующее антитело к CYP2C9 показало минимальное влияние на образование метаболита кабозантиниба (т.е. &lt;20% снижение).</w:t>
      </w:r>
      <w:r w:rsidRPr="00DB638E">
        <w:rPr>
          <w:rFonts w:ascii="Times New Roman" w:hAnsi="Times New Roman"/>
          <w:i/>
          <w:iCs/>
          <w:sz w:val="24"/>
          <w:szCs w:val="24"/>
          <w:lang w:eastAsia="ru-RU" w:bidi="ru-RU"/>
        </w:rPr>
        <w:t xml:space="preserve"> </w:t>
      </w:r>
    </w:p>
    <w:p w14:paraId="0FD722B6" w14:textId="6B96484E" w:rsidR="00A0709E" w:rsidRPr="00DB638E" w:rsidRDefault="00DF3381" w:rsidP="00235E9B">
      <w:pPr>
        <w:autoSpaceDE w:val="0"/>
        <w:autoSpaceDN w:val="0"/>
        <w:adjustRightInd w:val="0"/>
        <w:spacing w:after="0" w:line="240" w:lineRule="auto"/>
        <w:jc w:val="both"/>
        <w:rPr>
          <w:rFonts w:ascii="Times New Roman" w:hAnsi="Times New Roman"/>
          <w:i/>
          <w:sz w:val="24"/>
          <w:szCs w:val="24"/>
          <w:lang w:bidi="ru-RU"/>
        </w:rPr>
      </w:pPr>
      <w:r w:rsidRPr="00DB638E">
        <w:rPr>
          <w:rFonts w:ascii="Times New Roman" w:hAnsi="Times New Roman"/>
          <w:i/>
          <w:sz w:val="24"/>
          <w:szCs w:val="24"/>
          <w:lang w:bidi="ru-RU"/>
        </w:rPr>
        <w:t>Элиминация</w:t>
      </w:r>
    </w:p>
    <w:p w14:paraId="4B5B5D42" w14:textId="77777777" w:rsidR="00096107" w:rsidRPr="00DB638E" w:rsidRDefault="00096107" w:rsidP="00235E9B">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 xml:space="preserve">В популяционном фармакокинетическом анализе кабозантиниба с использованием данных, собранных у 1883 пациентов и 140 здоровых добровольцев после перорального приема в диапазоне доз от 20 до 140 мг, конечный период полувыведения кабозантиниба из плазмы составляет примерно 110 часов. Средний клиренс (CL/F) в стационарном состоянии составил 2,48 л/ч. В течение 48-дневного периода сбора после однократного приема </w:t>
      </w:r>
      <w:r w:rsidRPr="00DB638E">
        <w:rPr>
          <w:rFonts w:ascii="Times New Roman" w:hAnsi="Times New Roman"/>
          <w:iCs/>
          <w:sz w:val="24"/>
          <w:szCs w:val="24"/>
          <w:vertAlign w:val="superscript"/>
          <w:lang w:eastAsia="ru-RU"/>
        </w:rPr>
        <w:t>14</w:t>
      </w:r>
      <w:r w:rsidRPr="00DB638E">
        <w:rPr>
          <w:rFonts w:ascii="Times New Roman" w:hAnsi="Times New Roman"/>
          <w:iCs/>
          <w:sz w:val="24"/>
          <w:szCs w:val="24"/>
          <w:lang w:eastAsia="ru-RU"/>
        </w:rPr>
        <w:t>C-кабозантиниба у здоровых добровольцев приблизительно 81% от общего количества введенной радиоактивности было выделено с фекалиями 54% и мочой 27%.</w:t>
      </w:r>
    </w:p>
    <w:p w14:paraId="0B158F36" w14:textId="77777777" w:rsidR="00A0709E" w:rsidRPr="00DB638E" w:rsidRDefault="00DF3381" w:rsidP="0078568D">
      <w:pPr>
        <w:autoSpaceDE w:val="0"/>
        <w:autoSpaceDN w:val="0"/>
        <w:adjustRightInd w:val="0"/>
        <w:spacing w:after="0" w:line="240" w:lineRule="auto"/>
        <w:rPr>
          <w:rFonts w:ascii="Times New Roman" w:hAnsi="Times New Roman"/>
          <w:i/>
          <w:sz w:val="24"/>
          <w:szCs w:val="24"/>
          <w:u w:val="single"/>
          <w:lang w:bidi="ru-RU"/>
        </w:rPr>
      </w:pPr>
      <w:r w:rsidRPr="00DB638E">
        <w:rPr>
          <w:rFonts w:ascii="Times New Roman" w:hAnsi="Times New Roman"/>
          <w:i/>
          <w:sz w:val="24"/>
          <w:szCs w:val="24"/>
          <w:u w:val="single"/>
          <w:lang w:bidi="ru-RU"/>
        </w:rPr>
        <w:t>Фармакокинетическая-фармакодинамическая зависимость</w:t>
      </w:r>
    </w:p>
    <w:p w14:paraId="5523C31D" w14:textId="77777777" w:rsidR="000D545A" w:rsidRPr="00DB638E" w:rsidRDefault="000D545A" w:rsidP="000D545A">
      <w:pPr>
        <w:autoSpaceDE w:val="0"/>
        <w:autoSpaceDN w:val="0"/>
        <w:adjustRightInd w:val="0"/>
        <w:spacing w:after="0" w:line="240" w:lineRule="auto"/>
        <w:jc w:val="both"/>
        <w:rPr>
          <w:rFonts w:ascii="Times New Roman" w:hAnsi="Times New Roman"/>
          <w:i/>
          <w:sz w:val="24"/>
          <w:szCs w:val="24"/>
          <w:lang w:bidi="ru-RU"/>
        </w:rPr>
      </w:pPr>
      <w:r w:rsidRPr="00DB638E">
        <w:rPr>
          <w:rFonts w:ascii="Times New Roman" w:hAnsi="Times New Roman"/>
          <w:i/>
          <w:sz w:val="24"/>
          <w:szCs w:val="24"/>
          <w:lang w:bidi="ru-RU"/>
        </w:rPr>
        <w:t>Почечная недостаточность</w:t>
      </w:r>
    </w:p>
    <w:p w14:paraId="580107BA" w14:textId="77777777" w:rsidR="000D545A" w:rsidRPr="00DB638E" w:rsidRDefault="000D545A" w:rsidP="000D545A">
      <w:pPr>
        <w:autoSpaceDE w:val="0"/>
        <w:autoSpaceDN w:val="0"/>
        <w:adjustRightInd w:val="0"/>
        <w:spacing w:after="0" w:line="240" w:lineRule="auto"/>
        <w:jc w:val="both"/>
        <w:rPr>
          <w:rFonts w:ascii="Times New Roman" w:hAnsi="Times New Roman"/>
          <w:iCs/>
          <w:sz w:val="24"/>
          <w:szCs w:val="24"/>
          <w:lang w:bidi="ru-RU"/>
        </w:rPr>
      </w:pPr>
      <w:r w:rsidRPr="00DB638E">
        <w:rPr>
          <w:rFonts w:ascii="Times New Roman" w:hAnsi="Times New Roman"/>
          <w:iCs/>
          <w:sz w:val="24"/>
          <w:szCs w:val="24"/>
          <w:lang w:bidi="ru-RU"/>
        </w:rPr>
        <w:t>В исследовании пациентов с нарушением функции почек, проведенном при однократном приеме кабозантиниба в дозе 60 мг, соотношение геометрических средних значений для общего количества кабозантиниба в плазме крови, C</w:t>
      </w:r>
      <w:r w:rsidRPr="00DB638E">
        <w:rPr>
          <w:rFonts w:ascii="Times New Roman" w:hAnsi="Times New Roman"/>
          <w:iCs/>
          <w:sz w:val="24"/>
          <w:szCs w:val="24"/>
          <w:vertAlign w:val="subscript"/>
          <w:lang w:bidi="ru-RU"/>
        </w:rPr>
        <w:t>max</w:t>
      </w:r>
      <w:r w:rsidRPr="00DB638E">
        <w:rPr>
          <w:rFonts w:ascii="Times New Roman" w:hAnsi="Times New Roman"/>
          <w:iCs/>
          <w:sz w:val="24"/>
          <w:szCs w:val="24"/>
          <w:lang w:bidi="ru-RU"/>
        </w:rPr>
        <w:t xml:space="preserve"> и AUC</w:t>
      </w:r>
      <w:r w:rsidRPr="00DB638E">
        <w:rPr>
          <w:rFonts w:ascii="Times New Roman" w:hAnsi="Times New Roman"/>
          <w:iCs/>
          <w:sz w:val="24"/>
          <w:szCs w:val="24"/>
          <w:vertAlign w:val="subscript"/>
          <w:lang w:bidi="ru-RU"/>
        </w:rPr>
        <w:t xml:space="preserve">0-inf  </w:t>
      </w:r>
      <w:r w:rsidRPr="00DB638E">
        <w:rPr>
          <w:rFonts w:ascii="Times New Roman" w:hAnsi="Times New Roman"/>
          <w:iCs/>
          <w:sz w:val="24"/>
          <w:szCs w:val="24"/>
          <w:lang w:bidi="ru-RU"/>
        </w:rPr>
        <w:t>было на 19% и 30% выше у пациентов с легкой почечной недостаточностью (90% ДИ для C</w:t>
      </w:r>
      <w:r w:rsidRPr="00DB638E">
        <w:rPr>
          <w:rFonts w:ascii="Times New Roman" w:hAnsi="Times New Roman"/>
          <w:iCs/>
          <w:sz w:val="24"/>
          <w:szCs w:val="24"/>
          <w:vertAlign w:val="subscript"/>
          <w:lang w:bidi="ru-RU"/>
        </w:rPr>
        <w:t xml:space="preserve">max </w:t>
      </w:r>
      <w:r w:rsidRPr="00DB638E">
        <w:rPr>
          <w:rFonts w:ascii="Times New Roman" w:hAnsi="Times New Roman"/>
          <w:iCs/>
          <w:sz w:val="24"/>
          <w:szCs w:val="24"/>
          <w:lang w:bidi="ru-RU"/>
        </w:rPr>
        <w:t>от 91,60% до 155,51%; AUC</w:t>
      </w:r>
      <w:r w:rsidRPr="00DB638E">
        <w:rPr>
          <w:rFonts w:ascii="Times New Roman" w:hAnsi="Times New Roman"/>
          <w:iCs/>
          <w:sz w:val="24"/>
          <w:szCs w:val="24"/>
          <w:vertAlign w:val="subscript"/>
          <w:lang w:bidi="ru-RU"/>
        </w:rPr>
        <w:t xml:space="preserve">0-inf </w:t>
      </w:r>
      <w:r w:rsidRPr="00DB638E">
        <w:rPr>
          <w:rFonts w:ascii="Times New Roman" w:hAnsi="Times New Roman"/>
          <w:iCs/>
          <w:sz w:val="24"/>
          <w:szCs w:val="24"/>
          <w:lang w:bidi="ru-RU"/>
        </w:rPr>
        <w:t>98,79%- 171,26%) и на 2% и 6-7% выше (90% ДИ для C</w:t>
      </w:r>
      <w:r w:rsidRPr="00DB638E">
        <w:rPr>
          <w:rFonts w:ascii="Times New Roman" w:hAnsi="Times New Roman"/>
          <w:iCs/>
          <w:sz w:val="24"/>
          <w:szCs w:val="24"/>
          <w:vertAlign w:val="subscript"/>
          <w:lang w:bidi="ru-RU"/>
        </w:rPr>
        <w:t>max</w:t>
      </w:r>
      <w:r w:rsidRPr="00DB638E">
        <w:rPr>
          <w:rFonts w:ascii="Times New Roman" w:hAnsi="Times New Roman"/>
          <w:iCs/>
          <w:sz w:val="24"/>
          <w:szCs w:val="24"/>
          <w:lang w:bidi="ru-RU"/>
        </w:rPr>
        <w:t xml:space="preserve"> от 78,64% до 133,52%; AUC</w:t>
      </w:r>
      <w:r w:rsidRPr="00DB638E">
        <w:rPr>
          <w:rFonts w:ascii="Times New Roman" w:hAnsi="Times New Roman"/>
          <w:iCs/>
          <w:sz w:val="24"/>
          <w:szCs w:val="24"/>
          <w:vertAlign w:val="subscript"/>
          <w:lang w:bidi="ru-RU"/>
        </w:rPr>
        <w:t xml:space="preserve">0-inf </w:t>
      </w:r>
      <w:r w:rsidRPr="00DB638E">
        <w:rPr>
          <w:rFonts w:ascii="Times New Roman" w:hAnsi="Times New Roman"/>
          <w:iCs/>
          <w:sz w:val="24"/>
          <w:szCs w:val="24"/>
          <w:lang w:bidi="ru-RU"/>
        </w:rPr>
        <w:t>от 79,61% до 140,11%) у пациентов с умеренной почечной недостаточностью по сравнению с пациентами с нормальной функцией почек. Среднее геометрическое значение AUC</w:t>
      </w:r>
      <w:r w:rsidRPr="00DB638E">
        <w:rPr>
          <w:rFonts w:ascii="Times New Roman" w:hAnsi="Times New Roman"/>
          <w:iCs/>
          <w:sz w:val="24"/>
          <w:szCs w:val="24"/>
          <w:vertAlign w:val="subscript"/>
          <w:lang w:bidi="ru-RU"/>
        </w:rPr>
        <w:t xml:space="preserve">0-inf </w:t>
      </w:r>
      <w:r w:rsidR="00A67DAD" w:rsidRPr="00DB638E">
        <w:rPr>
          <w:rFonts w:ascii="Times New Roman" w:hAnsi="Times New Roman"/>
          <w:iCs/>
          <w:sz w:val="24"/>
          <w:szCs w:val="24"/>
          <w:vertAlign w:val="subscript"/>
          <w:lang w:bidi="ru-RU"/>
        </w:rPr>
        <w:t xml:space="preserve"> </w:t>
      </w:r>
      <w:r w:rsidRPr="00DB638E">
        <w:rPr>
          <w:rFonts w:ascii="Times New Roman" w:hAnsi="Times New Roman"/>
          <w:iCs/>
          <w:sz w:val="24"/>
          <w:szCs w:val="24"/>
          <w:lang w:bidi="ru-RU"/>
        </w:rPr>
        <w:t>несвязанного кабозантиниба в плазме крови было на 0,2% выше у пациентов с легкой почечной недостаточностью (90% ДИ от 55,9% до 180%) и на 17% выше (90% ДИ от 65,1% до 209,7%) у пациентов с умеренной почечной недостаточностью по сравнению с пациентами с нормальной функцией почек. Пациенты с тяжелой почечной недостаточностью не изучались.</w:t>
      </w:r>
    </w:p>
    <w:p w14:paraId="3A923C65" w14:textId="77777777" w:rsidR="007005B3" w:rsidRPr="00DB638E" w:rsidRDefault="007005B3" w:rsidP="007005B3">
      <w:pPr>
        <w:autoSpaceDE w:val="0"/>
        <w:autoSpaceDN w:val="0"/>
        <w:adjustRightInd w:val="0"/>
        <w:spacing w:after="0" w:line="240" w:lineRule="auto"/>
        <w:jc w:val="both"/>
        <w:rPr>
          <w:rFonts w:ascii="Times New Roman" w:hAnsi="Times New Roman"/>
          <w:i/>
          <w:sz w:val="24"/>
          <w:szCs w:val="24"/>
          <w:lang w:bidi="ru-RU"/>
        </w:rPr>
      </w:pPr>
      <w:r w:rsidRPr="00DB638E">
        <w:rPr>
          <w:rFonts w:ascii="Times New Roman" w:hAnsi="Times New Roman"/>
          <w:i/>
          <w:sz w:val="24"/>
          <w:szCs w:val="24"/>
          <w:lang w:bidi="ru-RU"/>
        </w:rPr>
        <w:t>Печеночная недостаточность</w:t>
      </w:r>
    </w:p>
    <w:p w14:paraId="1723AFA8" w14:textId="563D4706" w:rsidR="007005B3" w:rsidRPr="00DB638E" w:rsidRDefault="007005B3" w:rsidP="007005B3">
      <w:pPr>
        <w:autoSpaceDE w:val="0"/>
        <w:autoSpaceDN w:val="0"/>
        <w:adjustRightInd w:val="0"/>
        <w:spacing w:after="0" w:line="240" w:lineRule="auto"/>
        <w:jc w:val="both"/>
        <w:rPr>
          <w:rFonts w:ascii="Times New Roman" w:hAnsi="Times New Roman"/>
          <w:iCs/>
          <w:sz w:val="24"/>
          <w:szCs w:val="24"/>
          <w:lang w:bidi="ru-RU"/>
        </w:rPr>
      </w:pPr>
      <w:r w:rsidRPr="00DB638E">
        <w:rPr>
          <w:rFonts w:ascii="Times New Roman" w:hAnsi="Times New Roman"/>
          <w:iCs/>
          <w:sz w:val="24"/>
          <w:szCs w:val="24"/>
          <w:lang w:bidi="ru-RU"/>
        </w:rPr>
        <w:t xml:space="preserve">На основании интегрированного популяционного фармакокинетического анализа кабозантиниба у здоровых добровольцев и больных раком (включая </w:t>
      </w:r>
      <w:r w:rsidR="00173CD9" w:rsidRPr="00DB638E">
        <w:rPr>
          <w:rFonts w:ascii="Times New Roman" w:hAnsi="Times New Roman"/>
          <w:iCs/>
          <w:sz w:val="24"/>
          <w:szCs w:val="24"/>
          <w:lang w:bidi="ru-RU"/>
        </w:rPr>
        <w:t>печеночно-клеточный рак</w:t>
      </w:r>
      <w:r w:rsidRPr="00DB638E">
        <w:rPr>
          <w:rFonts w:ascii="Times New Roman" w:hAnsi="Times New Roman"/>
          <w:iCs/>
          <w:sz w:val="24"/>
          <w:szCs w:val="24"/>
          <w:lang w:bidi="ru-RU"/>
        </w:rPr>
        <w:t xml:space="preserve">) не наблюдалось клинически значимых различий в средней экспозиции кабозантиниба в плазме крови у лиц с нормальной функцией печени (n=1425) и легкой печеночной недостаточностью (n= 558). Имеются ограниченные данные о пациентах с умеренной печеночной недостаточностью (n = 15) в соответствии с критериями NCI-ODWG (Национальный институт рака — рабочая группа по изучению дисфункции </w:t>
      </w:r>
      <w:r w:rsidRPr="00DB638E">
        <w:rPr>
          <w:rFonts w:ascii="Times New Roman" w:hAnsi="Times New Roman"/>
          <w:iCs/>
          <w:sz w:val="24"/>
          <w:szCs w:val="24"/>
          <w:lang w:bidi="ru-RU"/>
        </w:rPr>
        <w:lastRenderedPageBreak/>
        <w:t>органов). Фармакокинетику кабозантиниба у пациентов с тяжелой печеночной недостаточностью не оценивали.</w:t>
      </w:r>
    </w:p>
    <w:p w14:paraId="4F168604" w14:textId="77777777" w:rsidR="007005B3" w:rsidRPr="00DB638E" w:rsidRDefault="007005B3" w:rsidP="007005B3">
      <w:pPr>
        <w:autoSpaceDE w:val="0"/>
        <w:autoSpaceDN w:val="0"/>
        <w:adjustRightInd w:val="0"/>
        <w:spacing w:after="0" w:line="240" w:lineRule="auto"/>
        <w:jc w:val="both"/>
        <w:rPr>
          <w:rFonts w:ascii="Times New Roman" w:hAnsi="Times New Roman"/>
          <w:i/>
          <w:sz w:val="24"/>
          <w:szCs w:val="24"/>
          <w:lang w:bidi="ru-RU"/>
        </w:rPr>
      </w:pPr>
      <w:r w:rsidRPr="00DB638E">
        <w:rPr>
          <w:rFonts w:ascii="Times New Roman" w:hAnsi="Times New Roman"/>
          <w:i/>
          <w:sz w:val="24"/>
          <w:szCs w:val="24"/>
          <w:lang w:bidi="ru-RU"/>
        </w:rPr>
        <w:t>Раса</w:t>
      </w:r>
    </w:p>
    <w:p w14:paraId="2E2013F5" w14:textId="77777777" w:rsidR="007005B3" w:rsidRPr="00DB638E" w:rsidRDefault="007005B3" w:rsidP="007005B3">
      <w:pPr>
        <w:autoSpaceDE w:val="0"/>
        <w:autoSpaceDN w:val="0"/>
        <w:adjustRightInd w:val="0"/>
        <w:spacing w:after="0" w:line="240" w:lineRule="auto"/>
        <w:jc w:val="both"/>
        <w:rPr>
          <w:rFonts w:ascii="Times New Roman" w:hAnsi="Times New Roman"/>
          <w:iCs/>
          <w:sz w:val="24"/>
          <w:szCs w:val="24"/>
          <w:lang w:bidi="ru-RU"/>
        </w:rPr>
      </w:pPr>
      <w:r w:rsidRPr="00DB638E">
        <w:rPr>
          <w:rFonts w:ascii="Times New Roman" w:hAnsi="Times New Roman"/>
          <w:iCs/>
          <w:sz w:val="24"/>
          <w:szCs w:val="24"/>
          <w:lang w:bidi="ru-RU"/>
        </w:rPr>
        <w:t>Популяционный фармакокинетический анализ не выявил клинически значимых различий в фармакокинетике кабозантиниба в зависимости от расы.</w:t>
      </w:r>
    </w:p>
    <w:p w14:paraId="1FAA62F1" w14:textId="77777777" w:rsidR="007005B3" w:rsidRPr="00DB638E" w:rsidRDefault="007005B3" w:rsidP="007005B3">
      <w:pPr>
        <w:autoSpaceDE w:val="0"/>
        <w:autoSpaceDN w:val="0"/>
        <w:adjustRightInd w:val="0"/>
        <w:spacing w:after="0" w:line="240" w:lineRule="auto"/>
        <w:rPr>
          <w:rFonts w:ascii="Times New Roman" w:hAnsi="Times New Roman"/>
          <w:i/>
          <w:sz w:val="24"/>
          <w:szCs w:val="24"/>
          <w:lang w:eastAsia="ru-RU"/>
        </w:rPr>
      </w:pPr>
      <w:r w:rsidRPr="00DB638E">
        <w:rPr>
          <w:rFonts w:ascii="Times New Roman" w:hAnsi="Times New Roman"/>
          <w:i/>
          <w:sz w:val="24"/>
          <w:szCs w:val="24"/>
          <w:lang w:eastAsia="ru-RU"/>
        </w:rPr>
        <w:t>Дети</w:t>
      </w:r>
    </w:p>
    <w:p w14:paraId="66A26F38" w14:textId="77777777" w:rsidR="007005B3" w:rsidRPr="00DB638E" w:rsidRDefault="007005B3" w:rsidP="007005B3">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Данные, полученные в результате моделирования с использованием популяционной фармакокинетической модели, разработанной на здоровых субъектах, а также на взрослых пациентах с различными типами злокачественных новообразований, показывают, что у подростков в возрасте 12 лет и старше доза 40 мг кабозантиниба один раз в сутки для пациентов &lt; 40 кг, или доза 60 мг один раз в день у пациентов с массой тела ≥ 40 кг приводит к аналогичному уровню экспозиции в плазме</w:t>
      </w:r>
      <w:r w:rsidR="007F559B" w:rsidRPr="00DB638E">
        <w:rPr>
          <w:rFonts w:ascii="Times New Roman" w:hAnsi="Times New Roman"/>
          <w:iCs/>
          <w:sz w:val="24"/>
          <w:szCs w:val="24"/>
          <w:lang w:eastAsia="ru-RU"/>
        </w:rPr>
        <w:t xml:space="preserve"> </w:t>
      </w:r>
      <w:r w:rsidRPr="00DB638E">
        <w:rPr>
          <w:rFonts w:ascii="Times New Roman" w:hAnsi="Times New Roman"/>
          <w:iCs/>
          <w:sz w:val="24"/>
          <w:szCs w:val="24"/>
          <w:lang w:eastAsia="ru-RU"/>
        </w:rPr>
        <w:t>у взрослых, получавших 60 мг кабозантиниба один раз в день (см. раздел 4.2).</w:t>
      </w:r>
    </w:p>
    <w:p w14:paraId="0091B5FA" w14:textId="64FA5D29" w:rsidR="00957BAF" w:rsidRPr="00DB638E" w:rsidRDefault="007005B3" w:rsidP="007F559B">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 xml:space="preserve">В двух клинических исследованиях, проведенных COG у детей с солидными опухолями (ADVL1211 и ADVL1622), кабозантиниб дозировали в зависимости от площади поверхности тела (ППТ) в соответствии с номограммой дозирования с использованием доступных таблеток по 20 мг и 60 мг, предназначенных для взрослых. Среди 55 пациентов средний возраст составил 13 лет (диапазон: от 4 до 18 лет). Популяционный ФК-анализ был построен с использованием ФК-данных, собранных в обоих исследованиях. ФК кабозантиниба адекватно описывается двухкомпонентной моделью с процессами элиминации и абсорбции первого порядка. Не было доказательств того, что возраст, пол, раса, этническая принадлежность и тип опухоли влияют на фармакокинетику кабозантиниба у детей и подростков. Было обнаружено, что только </w:t>
      </w:r>
      <w:r w:rsidR="00A809F1" w:rsidRPr="00DB638E">
        <w:rPr>
          <w:rFonts w:ascii="Times New Roman" w:hAnsi="Times New Roman"/>
          <w:iCs/>
          <w:sz w:val="24"/>
          <w:szCs w:val="24"/>
          <w:lang w:eastAsia="ru-RU"/>
        </w:rPr>
        <w:t xml:space="preserve">ППТ </w:t>
      </w:r>
      <w:r w:rsidRPr="00DB638E">
        <w:rPr>
          <w:rFonts w:ascii="Times New Roman" w:hAnsi="Times New Roman"/>
          <w:iCs/>
          <w:sz w:val="24"/>
          <w:szCs w:val="24"/>
          <w:lang w:eastAsia="ru-RU"/>
        </w:rPr>
        <w:t xml:space="preserve">является значимым предиктором фармакокинетики кабозантиниба. </w:t>
      </w:r>
      <w:r w:rsidR="007F559B" w:rsidRPr="00DB638E">
        <w:rPr>
          <w:rFonts w:ascii="Times New Roman" w:hAnsi="Times New Roman"/>
          <w:iCs/>
          <w:sz w:val="24"/>
          <w:szCs w:val="24"/>
          <w:lang w:eastAsia="ru-RU"/>
        </w:rPr>
        <w:t xml:space="preserve">В разработанной модели не наблюдалось зависимости от дозы для трех испытанных уровней доз (30, 40 и 55 мг/м²). Воздействие на детей и подростков после введения основанной на </w:t>
      </w:r>
      <w:r w:rsidR="00A809F1" w:rsidRPr="00DB638E">
        <w:rPr>
          <w:rFonts w:ascii="Times New Roman" w:hAnsi="Times New Roman"/>
          <w:iCs/>
          <w:sz w:val="24"/>
          <w:szCs w:val="24"/>
          <w:lang w:eastAsia="ru-RU"/>
        </w:rPr>
        <w:t xml:space="preserve">ППТ </w:t>
      </w:r>
      <w:r w:rsidR="007F559B" w:rsidRPr="00DB638E">
        <w:rPr>
          <w:rFonts w:ascii="Times New Roman" w:hAnsi="Times New Roman"/>
          <w:iCs/>
          <w:sz w:val="24"/>
          <w:szCs w:val="24"/>
          <w:lang w:eastAsia="ru-RU"/>
        </w:rPr>
        <w:t>дозы 40 мг/м² аналогично воздействию на взрослых при фиксированной дозе 60 мг один раз в день.</w:t>
      </w:r>
    </w:p>
    <w:p w14:paraId="70FEEA3F" w14:textId="77777777" w:rsidR="007F559B" w:rsidRPr="00DB638E" w:rsidRDefault="007F559B" w:rsidP="007F559B">
      <w:pPr>
        <w:autoSpaceDE w:val="0"/>
        <w:autoSpaceDN w:val="0"/>
        <w:adjustRightInd w:val="0"/>
        <w:spacing w:after="0" w:line="240" w:lineRule="auto"/>
        <w:jc w:val="both"/>
        <w:rPr>
          <w:rFonts w:ascii="Times New Roman" w:hAnsi="Times New Roman"/>
          <w:b/>
          <w:sz w:val="24"/>
          <w:szCs w:val="24"/>
          <w:lang w:eastAsia="ru-RU"/>
        </w:rPr>
      </w:pPr>
    </w:p>
    <w:p w14:paraId="7E6D5617" w14:textId="77777777" w:rsidR="00DF3381" w:rsidRPr="00DB638E"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DB638E">
        <w:rPr>
          <w:rFonts w:ascii="Times New Roman" w:hAnsi="Times New Roman"/>
          <w:b/>
          <w:sz w:val="24"/>
          <w:szCs w:val="24"/>
          <w:lang w:eastAsia="ru-RU"/>
        </w:rPr>
        <w:t>5.3</w:t>
      </w:r>
      <w:r w:rsidR="00DF3381" w:rsidRPr="00DB638E">
        <w:rPr>
          <w:rFonts w:ascii="Times New Roman" w:hAnsi="Times New Roman"/>
          <w:b/>
          <w:sz w:val="24"/>
          <w:szCs w:val="24"/>
          <w:lang w:eastAsia="ru-RU"/>
        </w:rPr>
        <w:t xml:space="preserve"> </w:t>
      </w:r>
      <w:r w:rsidR="00DF3381" w:rsidRPr="00DB638E">
        <w:rPr>
          <w:rFonts w:ascii="Times New Roman" w:eastAsia="TimesNewRomanPSMT" w:hAnsi="Times New Roman"/>
          <w:b/>
          <w:sz w:val="24"/>
          <w:szCs w:val="24"/>
          <w:lang w:eastAsia="ru-RU"/>
        </w:rPr>
        <w:t>Да</w:t>
      </w:r>
      <w:r w:rsidR="00DD5E3A" w:rsidRPr="00DB638E">
        <w:rPr>
          <w:rFonts w:ascii="Times New Roman" w:eastAsia="TimesNewRomanPSMT" w:hAnsi="Times New Roman"/>
          <w:b/>
          <w:sz w:val="24"/>
          <w:szCs w:val="24"/>
          <w:lang w:eastAsia="ru-RU"/>
        </w:rPr>
        <w:t>нные доклинической безопасности</w:t>
      </w:r>
    </w:p>
    <w:p w14:paraId="1836B108" w14:textId="2A6524DE" w:rsidR="00971E70" w:rsidRPr="00DB638E" w:rsidRDefault="00971E70" w:rsidP="00971E70">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Побочные реакции, не наблюдавшиеся в клинических исследованиях, но наблюдавшиеся у животных при уровнях воздействия, аналогичных уровням клинического воздействия и возможно имеющих отношение к клиническому использованию, были следующими:</w:t>
      </w:r>
    </w:p>
    <w:p w14:paraId="73088F0F" w14:textId="77777777" w:rsidR="00971E70" w:rsidRPr="00DB638E" w:rsidRDefault="00971E70" w:rsidP="00971E70">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В исследованиях токсичности повторных доз на крысах и собаках продолжительностью до 6 месяцев органами-мишенями токсичности были желудочно-кишечный тракт, костный мозг, лимфоидные ткани, ткани почек, надпочечников и репродуктивных путей. Уровень отсутствия наблюдаемых побочных эффектов (NOAEL) по этим данным был ниже уровней клинического воздействия на человека при назначенной терапевтической дозе.</w:t>
      </w:r>
    </w:p>
    <w:p w14:paraId="12CF04CB" w14:textId="505BAA87" w:rsidR="00971E70" w:rsidRPr="00DB638E" w:rsidRDefault="00971E70" w:rsidP="00971E70">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Кабозантиниб не выявил мутагенного или кластогенного потенциала в стандартной серии анализов генотоксичности. Канцерогенный потенциал кабозантиниба оценивался на двух видах: трансгенных мышах rasH2 и крысах Sprague-Dawley. В двухлетнем исследовании канцерогенности на крысах неопластические результаты, связанные с кабозантинибом, заключались в увеличении частоты доброкачественной феохромоцитомы, отдельно или в сочетании со злокачественной феохромоцитомой/комплексной злокачественной феохромоцитомой мозгового вещества надпочечников у обоих полов при воздействии значительно ниже предполагаемого воздействия у людей. Клиническая значимость наблюдаемых неопластических поражений у крыс неопределенна, но, вероятно, будет низкой.</w:t>
      </w:r>
    </w:p>
    <w:p w14:paraId="7664C88D" w14:textId="67A9CE43" w:rsidR="00971E70" w:rsidRPr="00DB638E" w:rsidRDefault="00971E70" w:rsidP="00971E70">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lastRenderedPageBreak/>
        <w:t>Кабозантиниб не оказывал канцерогенного действия на мышиной модели rasH2 при воздействии, немного превышающем предполагаемое терапевтическое воздействие на человека.</w:t>
      </w:r>
    </w:p>
    <w:p w14:paraId="14BF90AE" w14:textId="785ADCA5" w:rsidR="00CF1CC9" w:rsidRPr="00DB638E" w:rsidRDefault="00971E70" w:rsidP="00971E70">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 xml:space="preserve">Исследования фертильности на крысах показали снижение мужской и женской фертильности. Кроме того, у собак-самцов наблюдался гипосперматогенез при уровнях воздействия ниже уровней клинического воздействия на человека при назначенной терапевтической дозе. </w:t>
      </w:r>
      <w:r w:rsidR="00CF1CC9" w:rsidRPr="00DB638E">
        <w:rPr>
          <w:rFonts w:ascii="Times New Roman" w:hAnsi="Times New Roman"/>
          <w:iCs/>
          <w:sz w:val="24"/>
          <w:szCs w:val="24"/>
          <w:lang w:eastAsia="ru-RU"/>
        </w:rPr>
        <w:t>Исследования эмбрио-фетального эффекта проводились у крыс и кроликов. У крыс кабозантиниб вызывал постимплантационные потери, отеки плода, расщелину неба/ губы, кожную аплазию и изогнутый или зачаточный хвост. У кроликов кабозантиниб привел к изменениям эмбриональной мягкой ткани (уменьшенный размер селезенки, небольшая или отсутствующая промежуточная легочная доля) и повышенная частота развития у плода общей мальформации. NOAEL для эмбрио-фетальной токсичности и тератогенных результатов были ниже уровня клинических экспозиций у человека при предполагаемой терапевтической дозе.</w:t>
      </w:r>
    </w:p>
    <w:p w14:paraId="141E28BF" w14:textId="5AA556F8" w:rsidR="00CE03ED" w:rsidRPr="00DB638E" w:rsidRDefault="00794410" w:rsidP="00CF1CC9">
      <w:pPr>
        <w:autoSpaceDE w:val="0"/>
        <w:autoSpaceDN w:val="0"/>
        <w:adjustRightInd w:val="0"/>
        <w:spacing w:after="0" w:line="240" w:lineRule="auto"/>
        <w:jc w:val="both"/>
        <w:rPr>
          <w:rFonts w:ascii="Times New Roman" w:hAnsi="Times New Roman"/>
          <w:iCs/>
          <w:sz w:val="24"/>
          <w:szCs w:val="24"/>
          <w:lang w:eastAsia="ru-RU"/>
        </w:rPr>
      </w:pPr>
      <w:r w:rsidRPr="00DB638E">
        <w:rPr>
          <w:rFonts w:ascii="Times New Roman" w:hAnsi="Times New Roman"/>
          <w:iCs/>
          <w:sz w:val="24"/>
          <w:szCs w:val="24"/>
          <w:lang w:eastAsia="ru-RU"/>
        </w:rPr>
        <w:t>Молодые</w:t>
      </w:r>
      <w:r w:rsidR="00CF1CC9" w:rsidRPr="00DB638E">
        <w:rPr>
          <w:rFonts w:ascii="Times New Roman" w:hAnsi="Times New Roman"/>
          <w:iCs/>
          <w:sz w:val="24"/>
          <w:szCs w:val="24"/>
          <w:lang w:eastAsia="ru-RU"/>
        </w:rPr>
        <w:t xml:space="preserve"> крысы (сопоставимые с &gt; 2-летней педиатрической популяцией), которым вводили кабозантиниб, показали увеличенные параметры WBC, снижение гемопоэза, половозрелую/незрелую женскую репродуктивную систему (без замедленного открытия влагалища), аномалии зубов, снижение минерального содержания и плотности костной ткани, пигментацию печени и лимфу узловой лимфоидной гиперплазии. </w:t>
      </w:r>
      <w:r w:rsidR="00971E70" w:rsidRPr="00DB638E">
        <w:rPr>
          <w:rFonts w:ascii="Times New Roman" w:hAnsi="Times New Roman"/>
          <w:iCs/>
          <w:sz w:val="24"/>
          <w:szCs w:val="24"/>
          <w:lang w:eastAsia="ru-RU"/>
        </w:rPr>
        <w:t>Изменения в матке/яичниках и снижение кроветворения носили преходящий характер, в то время как влияние на параметры костей и пигментацию печени было устойчивым</w:t>
      </w:r>
      <w:r w:rsidR="00CF1CC9" w:rsidRPr="00DB638E">
        <w:rPr>
          <w:rFonts w:ascii="Times New Roman" w:hAnsi="Times New Roman"/>
          <w:iCs/>
          <w:sz w:val="24"/>
          <w:szCs w:val="24"/>
          <w:lang w:eastAsia="ru-RU"/>
        </w:rPr>
        <w:t xml:space="preserve">. </w:t>
      </w:r>
      <w:r w:rsidR="00971E70" w:rsidRPr="00DB638E">
        <w:rPr>
          <w:rFonts w:ascii="Times New Roman" w:hAnsi="Times New Roman"/>
          <w:iCs/>
          <w:sz w:val="24"/>
          <w:szCs w:val="24"/>
          <w:lang w:eastAsia="ru-RU"/>
        </w:rPr>
        <w:t>Молодые крысы (соответствующие детской популяции &lt;2 лет) показали аналогичные результаты, связанные с лечением, с дополнительными результатами в мужской репродуктивной системе (дегенерация и/или атрофия семенных канальцев в семенниках, уменьшение количества сперматозоидов в просвете придатка яичка) и оказались более чувствительны к токсичности, связанной с кабозантинибом, при сопоставимых уровнях доз.</w:t>
      </w:r>
    </w:p>
    <w:p w14:paraId="640DF071" w14:textId="77777777" w:rsidR="00CF1CC9" w:rsidRPr="00DB638E" w:rsidRDefault="00CF1CC9" w:rsidP="00CF1CC9">
      <w:pPr>
        <w:autoSpaceDE w:val="0"/>
        <w:autoSpaceDN w:val="0"/>
        <w:adjustRightInd w:val="0"/>
        <w:spacing w:after="0" w:line="240" w:lineRule="auto"/>
        <w:rPr>
          <w:rFonts w:ascii="Times New Roman" w:hAnsi="Times New Roman"/>
          <w:b/>
          <w:sz w:val="24"/>
          <w:szCs w:val="24"/>
          <w:lang w:eastAsia="ru-RU"/>
        </w:rPr>
      </w:pPr>
    </w:p>
    <w:p w14:paraId="05CDFCB7" w14:textId="77777777" w:rsidR="00DF3381" w:rsidRPr="00DB638E"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DB638E">
        <w:rPr>
          <w:rFonts w:ascii="Times New Roman" w:hAnsi="Times New Roman"/>
          <w:b/>
          <w:sz w:val="24"/>
          <w:szCs w:val="24"/>
          <w:lang w:eastAsia="ru-RU"/>
        </w:rPr>
        <w:t xml:space="preserve">6. </w:t>
      </w:r>
      <w:r w:rsidRPr="00DB638E">
        <w:rPr>
          <w:rFonts w:ascii="Times New Roman" w:eastAsia="TimesNewRomanPSMT" w:hAnsi="Times New Roman"/>
          <w:b/>
          <w:sz w:val="24"/>
          <w:szCs w:val="24"/>
          <w:lang w:eastAsia="ru-RU"/>
        </w:rPr>
        <w:t>ФАРМАЦЕВТИЧЕСКИЕ СВОЙСТВА</w:t>
      </w:r>
    </w:p>
    <w:p w14:paraId="4A64ADE7" w14:textId="77777777" w:rsidR="005921EA" w:rsidRPr="00DB638E"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DB638E">
        <w:rPr>
          <w:rFonts w:ascii="Times New Roman" w:hAnsi="Times New Roman"/>
          <w:b/>
          <w:sz w:val="24"/>
          <w:szCs w:val="24"/>
          <w:lang w:eastAsia="ru-RU"/>
        </w:rPr>
        <w:t>6.1</w:t>
      </w:r>
      <w:r w:rsidR="00DF3381" w:rsidRPr="00DB638E">
        <w:rPr>
          <w:rFonts w:ascii="Times New Roman" w:hAnsi="Times New Roman"/>
          <w:b/>
          <w:sz w:val="24"/>
          <w:szCs w:val="24"/>
          <w:lang w:eastAsia="ru-RU"/>
        </w:rPr>
        <w:t xml:space="preserve"> </w:t>
      </w:r>
      <w:r w:rsidR="00DF3381" w:rsidRPr="00DB638E">
        <w:rPr>
          <w:rFonts w:ascii="Times New Roman" w:eastAsia="TimesNewRomanPSMT" w:hAnsi="Times New Roman"/>
          <w:b/>
          <w:sz w:val="24"/>
          <w:szCs w:val="24"/>
          <w:lang w:eastAsia="ru-RU"/>
        </w:rPr>
        <w:t>Перечень вспомогательных веществ</w:t>
      </w:r>
    </w:p>
    <w:p w14:paraId="13706451" w14:textId="77777777" w:rsidR="00515826" w:rsidRPr="00DB638E"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bookmarkStart w:id="138" w:name="_Hlk140480428"/>
      <w:r w:rsidRPr="00DB638E">
        <w:rPr>
          <w:rFonts w:ascii="Times New Roman" w:eastAsia="TimesNewRomanPSMT" w:hAnsi="Times New Roman"/>
          <w:sz w:val="24"/>
          <w:szCs w:val="24"/>
          <w:lang w:eastAsia="ru-RU"/>
        </w:rPr>
        <w:t>Целлюлоза микрокристаллическая рН 101</w:t>
      </w:r>
    </w:p>
    <w:p w14:paraId="59C53265" w14:textId="77777777" w:rsidR="0075737A" w:rsidRPr="00DB638E"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r w:rsidRPr="00DB638E">
        <w:rPr>
          <w:rFonts w:ascii="Times New Roman" w:eastAsia="TimesNewRomanPSMT" w:hAnsi="Times New Roman"/>
          <w:sz w:val="24"/>
          <w:szCs w:val="24"/>
          <w:lang w:eastAsia="ru-RU"/>
        </w:rPr>
        <w:t>Лактозы моногидрат</w:t>
      </w:r>
    </w:p>
    <w:p w14:paraId="7D2B24A7" w14:textId="77777777" w:rsidR="0075737A" w:rsidRPr="00DB638E"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r w:rsidRPr="00DB638E">
        <w:rPr>
          <w:rFonts w:ascii="Times New Roman" w:eastAsia="TimesNewRomanPSMT" w:hAnsi="Times New Roman"/>
          <w:sz w:val="24"/>
          <w:szCs w:val="24"/>
          <w:lang w:eastAsia="ru-RU"/>
        </w:rPr>
        <w:t>Натрия кроскармеллоза</w:t>
      </w:r>
    </w:p>
    <w:p w14:paraId="7B2A244F" w14:textId="77777777" w:rsidR="0075737A" w:rsidRPr="00DB638E"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r w:rsidRPr="00DB638E">
        <w:rPr>
          <w:rFonts w:ascii="Times New Roman" w:eastAsia="TimesNewRomanPSMT" w:hAnsi="Times New Roman"/>
          <w:sz w:val="24"/>
          <w:szCs w:val="24"/>
          <w:lang w:eastAsia="ru-RU"/>
        </w:rPr>
        <w:t>Гипромеллоза Е50</w:t>
      </w:r>
    </w:p>
    <w:p w14:paraId="1ABFDE77" w14:textId="77777777" w:rsidR="0075737A" w:rsidRPr="00DB638E"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r w:rsidRPr="00DB638E">
        <w:rPr>
          <w:rFonts w:ascii="Times New Roman" w:eastAsia="TimesNewRomanPSMT" w:hAnsi="Times New Roman"/>
          <w:sz w:val="24"/>
          <w:szCs w:val="24"/>
          <w:lang w:eastAsia="ru-RU"/>
        </w:rPr>
        <w:t>Кремния диоксид коллоидный</w:t>
      </w:r>
    </w:p>
    <w:p w14:paraId="4DC64722" w14:textId="57BB16E0" w:rsidR="0075737A" w:rsidRPr="00DB638E"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r w:rsidRPr="00DB638E">
        <w:rPr>
          <w:rFonts w:ascii="Times New Roman" w:eastAsia="TimesNewRomanPSMT" w:hAnsi="Times New Roman"/>
          <w:sz w:val="24"/>
          <w:szCs w:val="24"/>
          <w:lang w:eastAsia="ru-RU"/>
        </w:rPr>
        <w:t>Магния стеарат</w:t>
      </w:r>
    </w:p>
    <w:p w14:paraId="3F6971C2" w14:textId="48D01A16" w:rsidR="00B36AE0" w:rsidRPr="00DB638E" w:rsidRDefault="00B36AE0" w:rsidP="0078568D">
      <w:pPr>
        <w:autoSpaceDE w:val="0"/>
        <w:autoSpaceDN w:val="0"/>
        <w:adjustRightInd w:val="0"/>
        <w:spacing w:after="0" w:line="240" w:lineRule="auto"/>
        <w:rPr>
          <w:rFonts w:ascii="Times New Roman" w:eastAsia="TimesNewRomanPSMT" w:hAnsi="Times New Roman"/>
          <w:sz w:val="24"/>
          <w:szCs w:val="24"/>
          <w:lang w:eastAsia="ru-RU"/>
        </w:rPr>
      </w:pPr>
      <w:r w:rsidRPr="00DB638E">
        <w:rPr>
          <w:rFonts w:ascii="Times New Roman" w:eastAsia="TimesNewRomanPSMT" w:hAnsi="Times New Roman"/>
          <w:sz w:val="24"/>
          <w:szCs w:val="24"/>
          <w:lang w:eastAsia="ru-RU"/>
        </w:rPr>
        <w:t>Вода очищенная</w:t>
      </w:r>
    </w:p>
    <w:p w14:paraId="4AA3BD44" w14:textId="77777777" w:rsidR="0075737A" w:rsidRPr="00DB638E" w:rsidRDefault="0075737A" w:rsidP="0078568D">
      <w:pPr>
        <w:autoSpaceDE w:val="0"/>
        <w:autoSpaceDN w:val="0"/>
        <w:adjustRightInd w:val="0"/>
        <w:spacing w:after="0" w:line="240" w:lineRule="auto"/>
        <w:rPr>
          <w:rFonts w:ascii="Times New Roman" w:eastAsia="TimesNewRomanPSMT" w:hAnsi="Times New Roman"/>
          <w:i/>
          <w:iCs/>
          <w:sz w:val="24"/>
          <w:szCs w:val="24"/>
          <w:lang w:eastAsia="ru-RU"/>
        </w:rPr>
      </w:pPr>
      <w:r w:rsidRPr="00DB638E">
        <w:rPr>
          <w:rFonts w:ascii="Times New Roman" w:eastAsia="TimesNewRomanPSMT" w:hAnsi="Times New Roman"/>
          <w:i/>
          <w:iCs/>
          <w:sz w:val="24"/>
          <w:szCs w:val="24"/>
          <w:lang w:eastAsia="ru-RU"/>
        </w:rPr>
        <w:t>Опадрай желтый 03F520567:</w:t>
      </w:r>
    </w:p>
    <w:p w14:paraId="06A0B259" w14:textId="77777777" w:rsidR="0075737A" w:rsidRPr="00DB638E"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r w:rsidRPr="00DB638E">
        <w:rPr>
          <w:rFonts w:ascii="Times New Roman" w:eastAsia="TimesNewRomanPSMT" w:hAnsi="Times New Roman"/>
          <w:sz w:val="24"/>
          <w:szCs w:val="24"/>
          <w:lang w:eastAsia="ru-RU"/>
        </w:rPr>
        <w:t>Гипромеллоза</w:t>
      </w:r>
    </w:p>
    <w:p w14:paraId="5DE6AF3C" w14:textId="77777777" w:rsidR="0075737A" w:rsidRPr="00DB638E"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r w:rsidRPr="00DB638E">
        <w:rPr>
          <w:rFonts w:ascii="Times New Roman" w:eastAsia="TimesNewRomanPSMT" w:hAnsi="Times New Roman"/>
          <w:sz w:val="24"/>
          <w:szCs w:val="24"/>
          <w:lang w:eastAsia="ru-RU"/>
        </w:rPr>
        <w:t>Титана диоксид (Е171)</w:t>
      </w:r>
    </w:p>
    <w:p w14:paraId="75DD85C2" w14:textId="77777777" w:rsidR="0075737A" w:rsidRPr="00DB638E"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r w:rsidRPr="00DB638E">
        <w:rPr>
          <w:rFonts w:ascii="Times New Roman" w:eastAsia="TimesNewRomanPSMT" w:hAnsi="Times New Roman"/>
          <w:sz w:val="24"/>
          <w:szCs w:val="24"/>
          <w:lang w:eastAsia="ru-RU"/>
        </w:rPr>
        <w:t>Полиэтиленгликоль</w:t>
      </w:r>
    </w:p>
    <w:p w14:paraId="4E615212" w14:textId="77777777" w:rsidR="0075737A" w:rsidRPr="00DB638E"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r w:rsidRPr="00DB638E">
        <w:rPr>
          <w:rFonts w:ascii="Times New Roman" w:eastAsia="TimesNewRomanPSMT" w:hAnsi="Times New Roman"/>
          <w:sz w:val="24"/>
          <w:szCs w:val="24"/>
          <w:lang w:eastAsia="ru-RU"/>
        </w:rPr>
        <w:t>Железа оксид желтый (Е172)</w:t>
      </w:r>
    </w:p>
    <w:bookmarkEnd w:id="138"/>
    <w:p w14:paraId="06965A47" w14:textId="77777777" w:rsidR="0075737A" w:rsidRPr="00DB638E" w:rsidRDefault="0075737A" w:rsidP="0078568D">
      <w:pPr>
        <w:autoSpaceDE w:val="0"/>
        <w:autoSpaceDN w:val="0"/>
        <w:adjustRightInd w:val="0"/>
        <w:spacing w:after="0" w:line="240" w:lineRule="auto"/>
        <w:rPr>
          <w:rFonts w:ascii="Times New Roman" w:hAnsi="Times New Roman"/>
          <w:b/>
          <w:sz w:val="24"/>
          <w:szCs w:val="24"/>
          <w:lang w:eastAsia="ru-RU"/>
        </w:rPr>
      </w:pPr>
    </w:p>
    <w:p w14:paraId="5112122F" w14:textId="77777777" w:rsidR="00DF3381" w:rsidRPr="00DB638E"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DB638E">
        <w:rPr>
          <w:rFonts w:ascii="Times New Roman" w:hAnsi="Times New Roman"/>
          <w:b/>
          <w:sz w:val="24"/>
          <w:szCs w:val="24"/>
          <w:lang w:eastAsia="ru-RU"/>
        </w:rPr>
        <w:t>6.2</w:t>
      </w:r>
      <w:r w:rsidR="00DF3381" w:rsidRPr="00DB638E">
        <w:rPr>
          <w:rFonts w:ascii="Times New Roman" w:hAnsi="Times New Roman"/>
          <w:b/>
          <w:sz w:val="24"/>
          <w:szCs w:val="24"/>
          <w:lang w:eastAsia="ru-RU"/>
        </w:rPr>
        <w:t xml:space="preserve"> </w:t>
      </w:r>
      <w:r w:rsidR="00DF3381" w:rsidRPr="00DB638E">
        <w:rPr>
          <w:rFonts w:ascii="Times New Roman" w:eastAsia="TimesNewRomanPSMT" w:hAnsi="Times New Roman"/>
          <w:b/>
          <w:sz w:val="24"/>
          <w:szCs w:val="24"/>
          <w:lang w:eastAsia="ru-RU"/>
        </w:rPr>
        <w:t>Несовместимость</w:t>
      </w:r>
    </w:p>
    <w:p w14:paraId="3D507E59" w14:textId="77777777" w:rsidR="00215CBB" w:rsidRPr="00DB638E" w:rsidRDefault="0075737A" w:rsidP="00215CBB">
      <w:pPr>
        <w:autoSpaceDE w:val="0"/>
        <w:autoSpaceDN w:val="0"/>
        <w:adjustRightInd w:val="0"/>
        <w:spacing w:after="0" w:line="240" w:lineRule="auto"/>
        <w:jc w:val="both"/>
        <w:rPr>
          <w:rFonts w:ascii="Times New Roman" w:eastAsia="TimesNewRomanPSMT" w:hAnsi="Times New Roman"/>
          <w:sz w:val="24"/>
          <w:szCs w:val="24"/>
          <w:lang w:eastAsia="ru-RU"/>
        </w:rPr>
      </w:pPr>
      <w:r w:rsidRPr="00DB638E">
        <w:rPr>
          <w:rFonts w:ascii="Times New Roman" w:eastAsia="TimesNewRomanPSMT" w:hAnsi="Times New Roman"/>
          <w:sz w:val="24"/>
          <w:szCs w:val="24"/>
          <w:lang w:eastAsia="ru-RU"/>
        </w:rPr>
        <w:t>Не применимо.</w:t>
      </w:r>
    </w:p>
    <w:p w14:paraId="540BFE0A" w14:textId="77777777" w:rsidR="00515826" w:rsidRPr="00DB638E" w:rsidRDefault="00515826" w:rsidP="0078568D">
      <w:pPr>
        <w:spacing w:after="0" w:line="240" w:lineRule="auto"/>
        <w:jc w:val="both"/>
        <w:rPr>
          <w:rFonts w:ascii="Times New Roman" w:hAnsi="Times New Roman"/>
          <w:b/>
          <w:sz w:val="24"/>
          <w:szCs w:val="24"/>
          <w:lang w:bidi="ru-RU"/>
        </w:rPr>
      </w:pPr>
    </w:p>
    <w:p w14:paraId="6B1D9A13" w14:textId="77777777" w:rsidR="009128A3" w:rsidRPr="00DB638E" w:rsidRDefault="009128A3" w:rsidP="0078568D">
      <w:pPr>
        <w:spacing w:after="0" w:line="240" w:lineRule="auto"/>
        <w:jc w:val="both"/>
        <w:rPr>
          <w:rFonts w:ascii="Times New Roman" w:hAnsi="Times New Roman"/>
          <w:b/>
          <w:sz w:val="24"/>
          <w:szCs w:val="24"/>
          <w:lang w:bidi="ru-RU"/>
        </w:rPr>
      </w:pPr>
      <w:r w:rsidRPr="00DB638E">
        <w:rPr>
          <w:rFonts w:ascii="Times New Roman" w:hAnsi="Times New Roman"/>
          <w:b/>
          <w:sz w:val="24"/>
          <w:szCs w:val="24"/>
          <w:lang w:bidi="ru-RU"/>
        </w:rPr>
        <w:t>6.3</w:t>
      </w:r>
      <w:r w:rsidRPr="00DB638E">
        <w:rPr>
          <w:rFonts w:ascii="Times New Roman" w:hAnsi="Times New Roman"/>
          <w:sz w:val="24"/>
          <w:szCs w:val="24"/>
          <w:lang w:bidi="ru-RU"/>
        </w:rPr>
        <w:t xml:space="preserve"> </w:t>
      </w:r>
      <w:r w:rsidRPr="00DB638E">
        <w:rPr>
          <w:rFonts w:ascii="Times New Roman" w:hAnsi="Times New Roman"/>
          <w:b/>
          <w:sz w:val="24"/>
          <w:szCs w:val="24"/>
          <w:lang w:bidi="ru-RU"/>
        </w:rPr>
        <w:t>Срок годности</w:t>
      </w:r>
    </w:p>
    <w:p w14:paraId="69ACBFF0" w14:textId="56EACD3E" w:rsidR="00CE03ED" w:rsidRPr="00DB638E" w:rsidRDefault="00015117" w:rsidP="0078568D">
      <w:pPr>
        <w:spacing w:after="0" w:line="240" w:lineRule="auto"/>
        <w:jc w:val="both"/>
        <w:rPr>
          <w:rFonts w:ascii="Times New Roman" w:hAnsi="Times New Roman"/>
          <w:sz w:val="24"/>
          <w:szCs w:val="24"/>
          <w:lang w:bidi="ru-RU"/>
        </w:rPr>
      </w:pPr>
      <w:bookmarkStart w:id="139" w:name="_Hlk140480547"/>
      <w:r w:rsidRPr="00DB638E">
        <w:rPr>
          <w:rFonts w:ascii="Times New Roman" w:hAnsi="Times New Roman"/>
          <w:sz w:val="24"/>
          <w:szCs w:val="24"/>
          <w:lang w:bidi="ru-RU"/>
        </w:rPr>
        <w:t>3</w:t>
      </w:r>
      <w:r w:rsidR="0075737A" w:rsidRPr="00DB638E">
        <w:rPr>
          <w:rFonts w:ascii="Times New Roman" w:hAnsi="Times New Roman"/>
          <w:sz w:val="24"/>
          <w:szCs w:val="24"/>
          <w:lang w:bidi="ru-RU"/>
        </w:rPr>
        <w:t xml:space="preserve"> года</w:t>
      </w:r>
    </w:p>
    <w:bookmarkEnd w:id="139"/>
    <w:p w14:paraId="234C4FE7" w14:textId="77777777" w:rsidR="00CE03ED" w:rsidRPr="00DB638E" w:rsidRDefault="00CE03ED" w:rsidP="0078568D">
      <w:pPr>
        <w:spacing w:after="0" w:line="240" w:lineRule="auto"/>
        <w:jc w:val="both"/>
        <w:rPr>
          <w:rFonts w:ascii="Times New Roman" w:hAnsi="Times New Roman"/>
          <w:sz w:val="24"/>
          <w:szCs w:val="24"/>
        </w:rPr>
      </w:pPr>
      <w:r w:rsidRPr="00DB638E">
        <w:rPr>
          <w:rFonts w:ascii="Times New Roman" w:hAnsi="Times New Roman"/>
          <w:sz w:val="24"/>
          <w:szCs w:val="24"/>
          <w:lang w:bidi="ru-RU"/>
        </w:rPr>
        <w:t>Не применять по истечении срока годности.</w:t>
      </w:r>
    </w:p>
    <w:p w14:paraId="41A2121B" w14:textId="77777777" w:rsidR="00515826" w:rsidRPr="00DB638E" w:rsidRDefault="00515826" w:rsidP="0078568D">
      <w:pPr>
        <w:spacing w:after="0" w:line="240" w:lineRule="auto"/>
        <w:jc w:val="both"/>
        <w:rPr>
          <w:rFonts w:ascii="Times New Roman" w:eastAsia="Times New Roman" w:hAnsi="Times New Roman"/>
          <w:b/>
          <w:sz w:val="24"/>
          <w:szCs w:val="24"/>
          <w:lang w:eastAsia="ru-RU"/>
        </w:rPr>
      </w:pPr>
    </w:p>
    <w:p w14:paraId="019D70B3" w14:textId="77777777" w:rsidR="00632571" w:rsidRPr="00DB638E" w:rsidRDefault="00632571" w:rsidP="0078568D">
      <w:pPr>
        <w:spacing w:after="0" w:line="240" w:lineRule="auto"/>
        <w:jc w:val="both"/>
        <w:rPr>
          <w:rFonts w:ascii="Times New Roman" w:eastAsia="Times New Roman" w:hAnsi="Times New Roman"/>
          <w:b/>
          <w:sz w:val="24"/>
          <w:szCs w:val="24"/>
          <w:lang w:eastAsia="ru-RU"/>
        </w:rPr>
      </w:pPr>
      <w:r w:rsidRPr="00DB638E">
        <w:rPr>
          <w:rFonts w:ascii="Times New Roman" w:eastAsia="Times New Roman" w:hAnsi="Times New Roman"/>
          <w:b/>
          <w:sz w:val="24"/>
          <w:szCs w:val="24"/>
          <w:lang w:eastAsia="ru-RU"/>
        </w:rPr>
        <w:t xml:space="preserve">6.4 </w:t>
      </w:r>
      <w:r w:rsidRPr="00DB638E">
        <w:rPr>
          <w:rFonts w:ascii="Times New Roman" w:hAnsi="Times New Roman"/>
          <w:b/>
          <w:sz w:val="24"/>
          <w:szCs w:val="24"/>
          <w:lang w:bidi="ru-RU"/>
        </w:rPr>
        <w:t xml:space="preserve">Особые </w:t>
      </w:r>
      <w:r w:rsidRPr="00DB638E">
        <w:rPr>
          <w:rFonts w:ascii="Times New Roman" w:eastAsia="Times New Roman" w:hAnsi="Times New Roman"/>
          <w:b/>
          <w:sz w:val="24"/>
          <w:szCs w:val="24"/>
          <w:lang w:eastAsia="ru-RU"/>
        </w:rPr>
        <w:t>меры предосторожности при хранении</w:t>
      </w:r>
    </w:p>
    <w:p w14:paraId="0FF9432B" w14:textId="73D4DB83" w:rsidR="00632571" w:rsidRPr="00DB638E" w:rsidRDefault="00EE5847" w:rsidP="0078568D">
      <w:pPr>
        <w:spacing w:after="0" w:line="240" w:lineRule="auto"/>
        <w:jc w:val="both"/>
        <w:rPr>
          <w:rFonts w:ascii="Times New Roman" w:hAnsi="Times New Roman"/>
          <w:sz w:val="24"/>
          <w:szCs w:val="24"/>
        </w:rPr>
      </w:pPr>
      <w:bookmarkStart w:id="140" w:name="_Hlk140480566"/>
      <w:r w:rsidRPr="00DB638E">
        <w:rPr>
          <w:rFonts w:ascii="Times New Roman" w:hAnsi="Times New Roman"/>
          <w:sz w:val="24"/>
          <w:szCs w:val="24"/>
        </w:rPr>
        <w:t>При температуре не выше 30 °С</w:t>
      </w:r>
    </w:p>
    <w:bookmarkEnd w:id="140"/>
    <w:p w14:paraId="68928EAE" w14:textId="77777777" w:rsidR="00632571" w:rsidRPr="00DB638E" w:rsidRDefault="00632571" w:rsidP="0078568D">
      <w:pPr>
        <w:spacing w:after="0" w:line="240" w:lineRule="auto"/>
        <w:jc w:val="both"/>
        <w:rPr>
          <w:rFonts w:ascii="Times New Roman" w:hAnsi="Times New Roman"/>
          <w:sz w:val="24"/>
          <w:szCs w:val="24"/>
        </w:rPr>
      </w:pPr>
      <w:r w:rsidRPr="00DB638E">
        <w:rPr>
          <w:rFonts w:ascii="Times New Roman" w:hAnsi="Times New Roman"/>
          <w:sz w:val="24"/>
          <w:szCs w:val="24"/>
        </w:rPr>
        <w:t xml:space="preserve">Хранить в недоступном для детей месте! </w:t>
      </w:r>
      <w:bookmarkStart w:id="141" w:name="2175220289"/>
    </w:p>
    <w:bookmarkEnd w:id="141"/>
    <w:p w14:paraId="5978882E" w14:textId="77777777" w:rsidR="00515826" w:rsidRPr="00DB638E" w:rsidRDefault="00515826" w:rsidP="0078568D">
      <w:pPr>
        <w:autoSpaceDE w:val="0"/>
        <w:autoSpaceDN w:val="0"/>
        <w:adjustRightInd w:val="0"/>
        <w:spacing w:after="0" w:line="240" w:lineRule="auto"/>
        <w:rPr>
          <w:rFonts w:ascii="Times New Roman" w:hAnsi="Times New Roman"/>
          <w:b/>
          <w:sz w:val="24"/>
          <w:szCs w:val="24"/>
          <w:lang w:eastAsia="ru-RU"/>
        </w:rPr>
      </w:pPr>
    </w:p>
    <w:p w14:paraId="000D4281" w14:textId="77777777" w:rsidR="00B90A1E" w:rsidRPr="00DB638E" w:rsidRDefault="00EC480E" w:rsidP="0078568D">
      <w:pPr>
        <w:autoSpaceDE w:val="0"/>
        <w:autoSpaceDN w:val="0"/>
        <w:adjustRightInd w:val="0"/>
        <w:spacing w:after="0" w:line="240" w:lineRule="auto"/>
        <w:rPr>
          <w:rFonts w:ascii="Times New Roman" w:eastAsia="TimesNewRomanPSMT" w:hAnsi="Times New Roman"/>
          <w:b/>
          <w:sz w:val="24"/>
          <w:szCs w:val="24"/>
          <w:lang w:eastAsia="ru-RU"/>
        </w:rPr>
      </w:pPr>
      <w:r w:rsidRPr="00DB638E">
        <w:rPr>
          <w:rFonts w:ascii="Times New Roman" w:hAnsi="Times New Roman"/>
          <w:b/>
          <w:sz w:val="24"/>
          <w:szCs w:val="24"/>
          <w:lang w:eastAsia="ru-RU"/>
        </w:rPr>
        <w:t>6.5</w:t>
      </w:r>
      <w:r w:rsidR="00B90A1E" w:rsidRPr="00DB638E">
        <w:rPr>
          <w:rFonts w:ascii="Times New Roman" w:hAnsi="Times New Roman"/>
          <w:b/>
          <w:sz w:val="24"/>
          <w:szCs w:val="24"/>
          <w:lang w:eastAsia="ru-RU"/>
        </w:rPr>
        <w:t xml:space="preserve"> </w:t>
      </w:r>
      <w:r w:rsidR="001E2FC7" w:rsidRPr="00DB638E">
        <w:rPr>
          <w:rFonts w:ascii="Times New Roman" w:eastAsia="TimesNewRomanPSMT" w:hAnsi="Times New Roman"/>
          <w:b/>
          <w:sz w:val="24"/>
          <w:szCs w:val="24"/>
          <w:lang w:eastAsia="ru-RU"/>
        </w:rPr>
        <w:t>Форма выпуска и упаковка</w:t>
      </w:r>
      <w:r w:rsidR="00B90A1E" w:rsidRPr="00DB638E">
        <w:rPr>
          <w:rFonts w:ascii="Times New Roman" w:eastAsia="TimesNewRomanPSMT" w:hAnsi="Times New Roman"/>
          <w:b/>
          <w:sz w:val="24"/>
          <w:szCs w:val="24"/>
          <w:lang w:eastAsia="ru-RU"/>
        </w:rPr>
        <w:t xml:space="preserve"> </w:t>
      </w:r>
    </w:p>
    <w:p w14:paraId="17BCF0A9" w14:textId="77777777" w:rsidR="0075737A" w:rsidRPr="00DB638E" w:rsidRDefault="0075737A" w:rsidP="0075737A">
      <w:pPr>
        <w:autoSpaceDE w:val="0"/>
        <w:autoSpaceDN w:val="0"/>
        <w:adjustRightInd w:val="0"/>
        <w:spacing w:after="0" w:line="240" w:lineRule="auto"/>
        <w:jc w:val="both"/>
        <w:rPr>
          <w:rFonts w:ascii="Times New Roman" w:eastAsia="Microsoft Sans Serif" w:hAnsi="Times New Roman"/>
          <w:sz w:val="24"/>
          <w:szCs w:val="24"/>
          <w:lang w:eastAsia="ru-RU" w:bidi="ru-RU"/>
        </w:rPr>
      </w:pPr>
      <w:bookmarkStart w:id="142" w:name="_Hlk140480538"/>
      <w:r w:rsidRPr="00DB638E">
        <w:rPr>
          <w:rFonts w:ascii="Times New Roman" w:eastAsia="Microsoft Sans Serif" w:hAnsi="Times New Roman"/>
          <w:sz w:val="24"/>
          <w:szCs w:val="24"/>
          <w:lang w:eastAsia="ru-RU" w:bidi="ru-RU"/>
        </w:rPr>
        <w:t xml:space="preserve">По 30 таблеток помещают в контейнеры из полиэтилена высокой плотности. </w:t>
      </w:r>
    </w:p>
    <w:p w14:paraId="466933CD" w14:textId="77777777" w:rsidR="00515826" w:rsidRPr="00DB638E" w:rsidRDefault="0075737A" w:rsidP="0075737A">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DB638E">
        <w:rPr>
          <w:rFonts w:ascii="Times New Roman" w:eastAsia="Microsoft Sans Serif" w:hAnsi="Times New Roman"/>
          <w:sz w:val="24"/>
          <w:szCs w:val="24"/>
          <w:lang w:eastAsia="ru-RU" w:bidi="ru-RU"/>
        </w:rPr>
        <w:t>По 1 контейнеру вместе с инструкцией по медицинскому применению на казахском и русском языках помещают в пачку из картона.</w:t>
      </w:r>
    </w:p>
    <w:bookmarkEnd w:id="142"/>
    <w:p w14:paraId="4CF50DA4" w14:textId="77777777" w:rsidR="0075737A" w:rsidRPr="00DB638E" w:rsidRDefault="0075737A" w:rsidP="0075737A">
      <w:pPr>
        <w:autoSpaceDE w:val="0"/>
        <w:autoSpaceDN w:val="0"/>
        <w:adjustRightInd w:val="0"/>
        <w:spacing w:after="0" w:line="240" w:lineRule="auto"/>
        <w:jc w:val="both"/>
        <w:rPr>
          <w:rFonts w:ascii="Times New Roman" w:hAnsi="Times New Roman"/>
          <w:b/>
          <w:sz w:val="24"/>
          <w:szCs w:val="24"/>
          <w:lang w:eastAsia="ru-RU"/>
        </w:rPr>
      </w:pPr>
    </w:p>
    <w:p w14:paraId="70192FDB" w14:textId="77777777" w:rsidR="00B90A1E" w:rsidRPr="00DB638E" w:rsidRDefault="00515826" w:rsidP="00515826">
      <w:pPr>
        <w:tabs>
          <w:tab w:val="left" w:pos="284"/>
        </w:tabs>
        <w:autoSpaceDE w:val="0"/>
        <w:autoSpaceDN w:val="0"/>
        <w:adjustRightInd w:val="0"/>
        <w:spacing w:after="0" w:line="240" w:lineRule="auto"/>
        <w:jc w:val="both"/>
        <w:rPr>
          <w:rFonts w:ascii="Times New Roman" w:eastAsia="TimesNewRomanPSMT" w:hAnsi="Times New Roman"/>
          <w:b/>
          <w:sz w:val="24"/>
          <w:szCs w:val="24"/>
          <w:lang w:eastAsia="ru-RU"/>
        </w:rPr>
      </w:pPr>
      <w:r w:rsidRPr="00DB638E">
        <w:rPr>
          <w:rFonts w:ascii="Times New Roman" w:hAnsi="Times New Roman"/>
          <w:b/>
          <w:sz w:val="24"/>
          <w:szCs w:val="24"/>
          <w:lang w:eastAsia="ru-RU"/>
        </w:rPr>
        <w:t xml:space="preserve">6.6 </w:t>
      </w:r>
      <w:r w:rsidR="00B90A1E" w:rsidRPr="00DB638E">
        <w:rPr>
          <w:rFonts w:ascii="Times New Roman" w:eastAsia="TimesNewRomanPSMT" w:hAnsi="Times New Roman"/>
          <w:b/>
          <w:sz w:val="24"/>
          <w:szCs w:val="24"/>
          <w:lang w:eastAsia="ru-RU"/>
        </w:rPr>
        <w:t>Особые меры предосторожности при уничтожении</w:t>
      </w:r>
      <w:r w:rsidR="00A26BB4" w:rsidRPr="00DB638E">
        <w:rPr>
          <w:rFonts w:ascii="Times New Roman" w:eastAsia="TimesNewRomanPSMT" w:hAnsi="Times New Roman"/>
          <w:b/>
          <w:sz w:val="24"/>
          <w:szCs w:val="24"/>
          <w:lang w:eastAsia="ru-RU"/>
        </w:rPr>
        <w:t xml:space="preserve"> </w:t>
      </w:r>
      <w:r w:rsidR="00B90A1E" w:rsidRPr="00DB638E">
        <w:rPr>
          <w:rFonts w:ascii="Times New Roman" w:eastAsia="TimesNewRomanPSMT" w:hAnsi="Times New Roman"/>
          <w:b/>
          <w:sz w:val="24"/>
          <w:szCs w:val="24"/>
          <w:lang w:eastAsia="ru-RU"/>
        </w:rPr>
        <w:t>использованного лекарственного препарата или отходов, полученных</w:t>
      </w:r>
      <w:r w:rsidR="00A26BB4" w:rsidRPr="00DB638E">
        <w:rPr>
          <w:rFonts w:ascii="Times New Roman" w:eastAsia="TimesNewRomanPSMT" w:hAnsi="Times New Roman"/>
          <w:b/>
          <w:sz w:val="24"/>
          <w:szCs w:val="24"/>
          <w:lang w:eastAsia="ru-RU"/>
        </w:rPr>
        <w:t xml:space="preserve"> </w:t>
      </w:r>
      <w:r w:rsidR="00B90A1E" w:rsidRPr="00DB638E">
        <w:rPr>
          <w:rFonts w:ascii="Times New Roman" w:eastAsia="TimesNewRomanPSMT" w:hAnsi="Times New Roman"/>
          <w:b/>
          <w:sz w:val="24"/>
          <w:szCs w:val="24"/>
          <w:lang w:eastAsia="ru-RU"/>
        </w:rPr>
        <w:t>после применения лекарственного пре</w:t>
      </w:r>
      <w:r w:rsidR="00881BDD" w:rsidRPr="00DB638E">
        <w:rPr>
          <w:rFonts w:ascii="Times New Roman" w:eastAsia="TimesNewRomanPSMT" w:hAnsi="Times New Roman"/>
          <w:b/>
          <w:sz w:val="24"/>
          <w:szCs w:val="24"/>
          <w:lang w:eastAsia="ru-RU"/>
        </w:rPr>
        <w:t>парата или работы с ним</w:t>
      </w:r>
    </w:p>
    <w:p w14:paraId="114DD840" w14:textId="77777777" w:rsidR="004C6613" w:rsidRPr="00DB638E" w:rsidRDefault="0075737A" w:rsidP="0078568D">
      <w:pPr>
        <w:autoSpaceDE w:val="0"/>
        <w:autoSpaceDN w:val="0"/>
        <w:adjustRightInd w:val="0"/>
        <w:spacing w:after="0" w:line="240" w:lineRule="auto"/>
        <w:rPr>
          <w:rFonts w:ascii="Times New Roman" w:hAnsi="Times New Roman"/>
          <w:sz w:val="24"/>
          <w:szCs w:val="24"/>
        </w:rPr>
      </w:pPr>
      <w:r w:rsidRPr="00DB638E">
        <w:rPr>
          <w:rFonts w:ascii="Times New Roman" w:hAnsi="Times New Roman"/>
          <w:sz w:val="24"/>
          <w:szCs w:val="24"/>
        </w:rPr>
        <w:t>Утилизировать в соответствии с установленными требованиями.</w:t>
      </w:r>
    </w:p>
    <w:p w14:paraId="726DD41B" w14:textId="77777777" w:rsidR="00515826" w:rsidRPr="00DB638E" w:rsidRDefault="00515826" w:rsidP="0078568D">
      <w:pPr>
        <w:autoSpaceDE w:val="0"/>
        <w:autoSpaceDN w:val="0"/>
        <w:adjustRightInd w:val="0"/>
        <w:spacing w:after="0" w:line="240" w:lineRule="auto"/>
        <w:rPr>
          <w:rFonts w:ascii="Times New Roman" w:hAnsi="Times New Roman"/>
          <w:b/>
          <w:bCs/>
          <w:sz w:val="24"/>
          <w:szCs w:val="24"/>
        </w:rPr>
      </w:pPr>
    </w:p>
    <w:p w14:paraId="7A6F0D3C" w14:textId="77777777" w:rsidR="00724DB0" w:rsidRPr="00DB638E" w:rsidRDefault="004200EA" w:rsidP="0078568D">
      <w:pPr>
        <w:autoSpaceDE w:val="0"/>
        <w:autoSpaceDN w:val="0"/>
        <w:adjustRightInd w:val="0"/>
        <w:spacing w:after="0" w:line="240" w:lineRule="auto"/>
        <w:rPr>
          <w:rFonts w:ascii="Times New Roman" w:hAnsi="Times New Roman"/>
          <w:b/>
          <w:bCs/>
          <w:sz w:val="24"/>
          <w:szCs w:val="24"/>
        </w:rPr>
      </w:pPr>
      <w:r w:rsidRPr="00DB638E">
        <w:rPr>
          <w:rFonts w:ascii="Times New Roman" w:hAnsi="Times New Roman"/>
          <w:b/>
          <w:bCs/>
          <w:sz w:val="24"/>
          <w:szCs w:val="24"/>
        </w:rPr>
        <w:t xml:space="preserve">6.7 </w:t>
      </w:r>
      <w:r w:rsidR="005921EA" w:rsidRPr="00DB638E">
        <w:rPr>
          <w:rFonts w:ascii="Times New Roman" w:hAnsi="Times New Roman"/>
          <w:b/>
          <w:bCs/>
          <w:sz w:val="24"/>
          <w:szCs w:val="24"/>
        </w:rPr>
        <w:t>Условия о</w:t>
      </w:r>
      <w:r w:rsidRPr="00DB638E">
        <w:rPr>
          <w:rFonts w:ascii="Times New Roman" w:hAnsi="Times New Roman"/>
          <w:b/>
          <w:bCs/>
          <w:sz w:val="24"/>
          <w:szCs w:val="24"/>
        </w:rPr>
        <w:t>тпуск</w:t>
      </w:r>
      <w:r w:rsidR="005921EA" w:rsidRPr="00DB638E">
        <w:rPr>
          <w:rFonts w:ascii="Times New Roman" w:hAnsi="Times New Roman"/>
          <w:b/>
          <w:bCs/>
          <w:sz w:val="24"/>
          <w:szCs w:val="24"/>
        </w:rPr>
        <w:t>а</w:t>
      </w:r>
      <w:r w:rsidRPr="00DB638E">
        <w:rPr>
          <w:rFonts w:ascii="Times New Roman" w:hAnsi="Times New Roman"/>
          <w:b/>
          <w:bCs/>
          <w:sz w:val="24"/>
          <w:szCs w:val="24"/>
        </w:rPr>
        <w:t xml:space="preserve"> из аптек</w:t>
      </w:r>
      <w:r w:rsidR="00D041C3" w:rsidRPr="00DB638E">
        <w:rPr>
          <w:rFonts w:ascii="Times New Roman" w:hAnsi="Times New Roman"/>
          <w:b/>
          <w:bCs/>
          <w:sz w:val="24"/>
          <w:szCs w:val="24"/>
        </w:rPr>
        <w:t xml:space="preserve"> </w:t>
      </w:r>
    </w:p>
    <w:p w14:paraId="115BB9B3" w14:textId="77777777" w:rsidR="004200EA" w:rsidRPr="00DB638E" w:rsidRDefault="00724DB0" w:rsidP="0078568D">
      <w:pPr>
        <w:autoSpaceDE w:val="0"/>
        <w:autoSpaceDN w:val="0"/>
        <w:adjustRightInd w:val="0"/>
        <w:spacing w:after="0" w:line="240" w:lineRule="auto"/>
        <w:rPr>
          <w:rFonts w:ascii="Times New Roman" w:hAnsi="Times New Roman"/>
          <w:bCs/>
          <w:sz w:val="24"/>
          <w:szCs w:val="24"/>
        </w:rPr>
      </w:pPr>
      <w:r w:rsidRPr="00DB638E">
        <w:rPr>
          <w:rFonts w:ascii="Times New Roman" w:hAnsi="Times New Roman"/>
          <w:bCs/>
          <w:sz w:val="24"/>
          <w:szCs w:val="24"/>
        </w:rPr>
        <w:t>По рецепту</w:t>
      </w:r>
    </w:p>
    <w:p w14:paraId="06EFC818" w14:textId="77777777" w:rsidR="00D041C3" w:rsidRPr="00DB638E" w:rsidRDefault="00D041C3" w:rsidP="0078568D">
      <w:pPr>
        <w:autoSpaceDE w:val="0"/>
        <w:autoSpaceDN w:val="0"/>
        <w:adjustRightInd w:val="0"/>
        <w:spacing w:after="0" w:line="240" w:lineRule="auto"/>
        <w:rPr>
          <w:rFonts w:ascii="Times New Roman" w:hAnsi="Times New Roman"/>
          <w:b/>
          <w:sz w:val="24"/>
          <w:szCs w:val="24"/>
        </w:rPr>
      </w:pPr>
    </w:p>
    <w:p w14:paraId="37DBFFCF" w14:textId="77777777" w:rsidR="00120934" w:rsidRPr="00DB638E" w:rsidRDefault="008407EF" w:rsidP="0078568D">
      <w:pPr>
        <w:autoSpaceDE w:val="0"/>
        <w:autoSpaceDN w:val="0"/>
        <w:spacing w:after="0" w:line="240" w:lineRule="auto"/>
        <w:jc w:val="both"/>
        <w:rPr>
          <w:rFonts w:ascii="Times New Roman" w:eastAsia="Times New Roman" w:hAnsi="Times New Roman"/>
          <w:b/>
          <w:sz w:val="24"/>
          <w:szCs w:val="24"/>
          <w:lang w:eastAsia="ru-RU"/>
        </w:rPr>
      </w:pPr>
      <w:r w:rsidRPr="00DB638E">
        <w:rPr>
          <w:rFonts w:ascii="Times New Roman" w:eastAsia="Times New Roman" w:hAnsi="Times New Roman"/>
          <w:b/>
          <w:sz w:val="24"/>
          <w:szCs w:val="24"/>
          <w:lang w:val="uk-UA" w:eastAsia="ru-RU"/>
        </w:rPr>
        <w:t>7. ДЕРЖАТЕЛЬ</w:t>
      </w:r>
      <w:r w:rsidRPr="00DB638E">
        <w:rPr>
          <w:rFonts w:ascii="Times New Roman" w:eastAsia="Times New Roman" w:hAnsi="Times New Roman"/>
          <w:b/>
          <w:sz w:val="24"/>
          <w:szCs w:val="24"/>
          <w:lang w:eastAsia="ru-RU"/>
        </w:rPr>
        <w:t xml:space="preserve"> РЕГИСТРАЦИОННОГО УДОСТОВЕРЕНИЯ</w:t>
      </w:r>
    </w:p>
    <w:p w14:paraId="0DF17FCB" w14:textId="77777777" w:rsidR="00540DB1" w:rsidRPr="00DB638E" w:rsidRDefault="00540DB1" w:rsidP="00540DB1">
      <w:pPr>
        <w:autoSpaceDE w:val="0"/>
        <w:autoSpaceDN w:val="0"/>
        <w:spacing w:after="0" w:line="240" w:lineRule="auto"/>
        <w:jc w:val="both"/>
        <w:rPr>
          <w:rFonts w:ascii="Times New Roman" w:eastAsia="Microsoft Sans Serif" w:hAnsi="Times New Roman"/>
          <w:sz w:val="24"/>
          <w:szCs w:val="24"/>
          <w:lang w:eastAsia="ru-RU" w:bidi="ru-RU"/>
        </w:rPr>
      </w:pPr>
      <w:r w:rsidRPr="00DB638E">
        <w:rPr>
          <w:rFonts w:ascii="Times New Roman" w:eastAsia="Microsoft Sans Serif" w:hAnsi="Times New Roman"/>
          <w:sz w:val="24"/>
          <w:szCs w:val="24"/>
          <w:lang w:eastAsia="ru-RU" w:bidi="ru-RU"/>
        </w:rPr>
        <w:t>BDR Pharmaceutical</w:t>
      </w:r>
      <w:r w:rsidR="007972B3" w:rsidRPr="00DB638E">
        <w:rPr>
          <w:rFonts w:ascii="Times New Roman" w:eastAsia="Microsoft Sans Serif" w:hAnsi="Times New Roman"/>
          <w:sz w:val="24"/>
          <w:szCs w:val="24"/>
          <w:lang w:val="en-US" w:eastAsia="ru-RU" w:bidi="ru-RU"/>
        </w:rPr>
        <w:t>s</w:t>
      </w:r>
      <w:r w:rsidRPr="00DB638E">
        <w:rPr>
          <w:rFonts w:ascii="Times New Roman" w:eastAsia="Microsoft Sans Serif" w:hAnsi="Times New Roman"/>
          <w:sz w:val="24"/>
          <w:szCs w:val="24"/>
          <w:lang w:eastAsia="ru-RU" w:bidi="ru-RU"/>
        </w:rPr>
        <w:t xml:space="preserve"> International Pvt. Ltd.</w:t>
      </w:r>
    </w:p>
    <w:p w14:paraId="04C04F30" w14:textId="77777777" w:rsidR="00540DB1" w:rsidRPr="00DB638E" w:rsidRDefault="00540DB1" w:rsidP="00540DB1">
      <w:pPr>
        <w:autoSpaceDE w:val="0"/>
        <w:autoSpaceDN w:val="0"/>
        <w:spacing w:after="0" w:line="240" w:lineRule="auto"/>
        <w:jc w:val="both"/>
        <w:rPr>
          <w:rFonts w:ascii="Times New Roman" w:eastAsia="Microsoft Sans Serif" w:hAnsi="Times New Roman"/>
          <w:sz w:val="24"/>
          <w:szCs w:val="24"/>
          <w:lang w:val="en-US" w:eastAsia="ru-RU" w:bidi="ru-RU"/>
        </w:rPr>
      </w:pPr>
      <w:r w:rsidRPr="00DB638E">
        <w:rPr>
          <w:rFonts w:ascii="Times New Roman" w:eastAsia="Microsoft Sans Serif" w:hAnsi="Times New Roman"/>
          <w:sz w:val="24"/>
          <w:szCs w:val="24"/>
          <w:lang w:val="en-US" w:eastAsia="ru-RU" w:bidi="ru-RU"/>
        </w:rPr>
        <w:t>R.S. No. 578, Near Effluent Channel Road,</w:t>
      </w:r>
    </w:p>
    <w:p w14:paraId="60AAA001" w14:textId="586866A7" w:rsidR="00540DB1" w:rsidRPr="00DB638E" w:rsidRDefault="00540DB1" w:rsidP="00540DB1">
      <w:pPr>
        <w:autoSpaceDE w:val="0"/>
        <w:autoSpaceDN w:val="0"/>
        <w:spacing w:after="0" w:line="240" w:lineRule="auto"/>
        <w:jc w:val="both"/>
        <w:rPr>
          <w:rFonts w:ascii="Times New Roman" w:eastAsia="Microsoft Sans Serif" w:hAnsi="Times New Roman"/>
          <w:sz w:val="24"/>
          <w:szCs w:val="24"/>
          <w:lang w:val="en-US" w:eastAsia="ru-RU" w:bidi="ru-RU"/>
        </w:rPr>
      </w:pPr>
      <w:r w:rsidRPr="00DB638E">
        <w:rPr>
          <w:rFonts w:ascii="Times New Roman" w:eastAsia="Microsoft Sans Serif" w:hAnsi="Times New Roman"/>
          <w:sz w:val="24"/>
          <w:szCs w:val="24"/>
          <w:lang w:val="en-US" w:eastAsia="ru-RU" w:bidi="ru-RU"/>
        </w:rPr>
        <w:t>Village Luna, Taluka Padra,</w:t>
      </w:r>
    </w:p>
    <w:p w14:paraId="0CC92FB7" w14:textId="010391D7" w:rsidR="00540DB1" w:rsidRPr="00DB638E" w:rsidRDefault="00540DB1" w:rsidP="00540DB1">
      <w:pPr>
        <w:autoSpaceDE w:val="0"/>
        <w:autoSpaceDN w:val="0"/>
        <w:spacing w:after="0" w:line="240" w:lineRule="auto"/>
        <w:jc w:val="both"/>
        <w:rPr>
          <w:rFonts w:ascii="Times New Roman" w:eastAsia="Microsoft Sans Serif" w:hAnsi="Times New Roman"/>
          <w:sz w:val="24"/>
          <w:szCs w:val="24"/>
          <w:lang w:val="en-US" w:eastAsia="ru-RU" w:bidi="ru-RU"/>
        </w:rPr>
      </w:pPr>
      <w:r w:rsidRPr="00DB638E">
        <w:rPr>
          <w:rFonts w:ascii="Times New Roman" w:eastAsia="Microsoft Sans Serif" w:hAnsi="Times New Roman"/>
          <w:sz w:val="24"/>
          <w:szCs w:val="24"/>
          <w:lang w:val="en-US" w:eastAsia="ru-RU" w:bidi="ru-RU"/>
        </w:rPr>
        <w:t>District Vadodara/</w:t>
      </w:r>
      <w:r w:rsidRPr="00DB638E">
        <w:rPr>
          <w:rFonts w:ascii="Times New Roman" w:eastAsia="Microsoft Sans Serif" w:hAnsi="Times New Roman"/>
          <w:sz w:val="24"/>
          <w:szCs w:val="24"/>
          <w:lang w:eastAsia="ru-RU" w:bidi="ru-RU"/>
        </w:rPr>
        <w:t>Вадодара</w:t>
      </w:r>
      <w:r w:rsidRPr="00DB638E">
        <w:rPr>
          <w:rFonts w:ascii="Times New Roman" w:eastAsia="Microsoft Sans Serif" w:hAnsi="Times New Roman"/>
          <w:sz w:val="24"/>
          <w:szCs w:val="24"/>
          <w:lang w:val="en-US" w:eastAsia="ru-RU" w:bidi="ru-RU"/>
        </w:rPr>
        <w:t xml:space="preserve"> - 391 440, Gujarat, </w:t>
      </w:r>
      <w:r w:rsidRPr="00DB638E">
        <w:rPr>
          <w:rFonts w:ascii="Times New Roman" w:eastAsia="Microsoft Sans Serif" w:hAnsi="Times New Roman"/>
          <w:sz w:val="24"/>
          <w:szCs w:val="24"/>
          <w:lang w:eastAsia="ru-RU" w:bidi="ru-RU"/>
        </w:rPr>
        <w:t>Индия</w:t>
      </w:r>
    </w:p>
    <w:p w14:paraId="00FE9C8E" w14:textId="6F912442" w:rsidR="00483EC5" w:rsidRPr="00DB638E" w:rsidRDefault="00483EC5" w:rsidP="00540DB1">
      <w:pPr>
        <w:autoSpaceDE w:val="0"/>
        <w:autoSpaceDN w:val="0"/>
        <w:spacing w:after="0" w:line="240" w:lineRule="auto"/>
        <w:jc w:val="both"/>
        <w:rPr>
          <w:rFonts w:ascii="Times New Roman" w:eastAsia="Microsoft Sans Serif" w:hAnsi="Times New Roman"/>
          <w:sz w:val="24"/>
          <w:szCs w:val="24"/>
          <w:lang w:eastAsia="ru-RU" w:bidi="ru-RU"/>
        </w:rPr>
      </w:pPr>
      <w:r w:rsidRPr="00DB638E">
        <w:rPr>
          <w:rFonts w:ascii="Times New Roman" w:eastAsia="Microsoft Sans Serif" w:hAnsi="Times New Roman"/>
          <w:sz w:val="24"/>
          <w:szCs w:val="24"/>
          <w:lang w:eastAsia="ru-RU" w:bidi="ru-RU"/>
        </w:rPr>
        <w:t xml:space="preserve">Тел. +91 22 4056 0560, электронная почта: </w:t>
      </w:r>
      <w:hyperlink r:id="rId18" w:history="1">
        <w:r w:rsidRPr="00DB638E">
          <w:rPr>
            <w:rStyle w:val="af"/>
            <w:rFonts w:ascii="Times New Roman" w:eastAsia="Microsoft Sans Serif" w:hAnsi="Times New Roman"/>
            <w:sz w:val="24"/>
            <w:szCs w:val="24"/>
            <w:lang w:val="en-US" w:eastAsia="ru-RU" w:bidi="ru-RU"/>
          </w:rPr>
          <w:t>bdrpharma</w:t>
        </w:r>
        <w:r w:rsidRPr="00DB638E">
          <w:rPr>
            <w:rStyle w:val="af"/>
            <w:rFonts w:ascii="Times New Roman" w:eastAsia="Microsoft Sans Serif" w:hAnsi="Times New Roman"/>
            <w:sz w:val="24"/>
            <w:szCs w:val="24"/>
            <w:lang w:eastAsia="ru-RU" w:bidi="ru-RU"/>
          </w:rPr>
          <w:t>@</w:t>
        </w:r>
        <w:r w:rsidRPr="00DB638E">
          <w:rPr>
            <w:rStyle w:val="af"/>
            <w:rFonts w:ascii="Times New Roman" w:eastAsia="Microsoft Sans Serif" w:hAnsi="Times New Roman"/>
            <w:sz w:val="24"/>
            <w:szCs w:val="24"/>
            <w:lang w:val="en-US" w:eastAsia="ru-RU" w:bidi="ru-RU"/>
          </w:rPr>
          <w:t>vsnl</w:t>
        </w:r>
        <w:r w:rsidRPr="00DB638E">
          <w:rPr>
            <w:rStyle w:val="af"/>
            <w:rFonts w:ascii="Times New Roman" w:eastAsia="Microsoft Sans Serif" w:hAnsi="Times New Roman"/>
            <w:sz w:val="24"/>
            <w:szCs w:val="24"/>
            <w:lang w:eastAsia="ru-RU" w:bidi="ru-RU"/>
          </w:rPr>
          <w:t>.</w:t>
        </w:r>
        <w:r w:rsidRPr="00DB638E">
          <w:rPr>
            <w:rStyle w:val="af"/>
            <w:rFonts w:ascii="Times New Roman" w:eastAsia="Microsoft Sans Serif" w:hAnsi="Times New Roman"/>
            <w:sz w:val="24"/>
            <w:szCs w:val="24"/>
            <w:lang w:val="en-US" w:eastAsia="ru-RU" w:bidi="ru-RU"/>
          </w:rPr>
          <w:t>com</w:t>
        </w:r>
      </w:hyperlink>
    </w:p>
    <w:p w14:paraId="29BA4D84" w14:textId="77777777" w:rsidR="00483EC5" w:rsidRPr="00DB638E" w:rsidRDefault="00483EC5" w:rsidP="00540DB1">
      <w:pPr>
        <w:autoSpaceDE w:val="0"/>
        <w:autoSpaceDN w:val="0"/>
        <w:spacing w:after="0" w:line="240" w:lineRule="auto"/>
        <w:jc w:val="both"/>
        <w:rPr>
          <w:rFonts w:ascii="Times New Roman" w:eastAsia="Microsoft Sans Serif" w:hAnsi="Times New Roman"/>
          <w:sz w:val="24"/>
          <w:szCs w:val="24"/>
          <w:lang w:eastAsia="ru-RU" w:bidi="ru-RU"/>
        </w:rPr>
      </w:pPr>
    </w:p>
    <w:p w14:paraId="1240D913" w14:textId="77777777" w:rsidR="00593F7B" w:rsidRPr="00DB638E" w:rsidRDefault="00515826" w:rsidP="0078568D">
      <w:pPr>
        <w:autoSpaceDE w:val="0"/>
        <w:autoSpaceDN w:val="0"/>
        <w:spacing w:after="0" w:line="240" w:lineRule="auto"/>
        <w:jc w:val="both"/>
        <w:rPr>
          <w:rFonts w:ascii="Times New Roman" w:eastAsia="Times New Roman" w:hAnsi="Times New Roman"/>
          <w:b/>
          <w:sz w:val="24"/>
          <w:szCs w:val="24"/>
          <w:lang w:val="uk-UA" w:eastAsia="ru-RU"/>
        </w:rPr>
      </w:pPr>
      <w:r w:rsidRPr="00DB638E">
        <w:rPr>
          <w:rFonts w:ascii="Times New Roman" w:eastAsia="Times New Roman" w:hAnsi="Times New Roman"/>
          <w:b/>
          <w:sz w:val="24"/>
          <w:szCs w:val="24"/>
          <w:lang w:val="uk-UA" w:eastAsia="ru-RU"/>
        </w:rPr>
        <w:t>7.1</w:t>
      </w:r>
      <w:r w:rsidR="00593F7B" w:rsidRPr="00DB638E">
        <w:rPr>
          <w:rFonts w:ascii="Times New Roman" w:eastAsia="Times New Roman" w:hAnsi="Times New Roman"/>
          <w:b/>
          <w:sz w:val="24"/>
          <w:szCs w:val="24"/>
          <w:lang w:val="uk-UA" w:eastAsia="ru-RU"/>
        </w:rPr>
        <w:t xml:space="preserve"> ПРЕДСТАВИТЕЛЬ ДЕРЖАТЕЛЯ РЕГИСТРАЦИОННОГО УДОСТОВЕРЕНИЯ</w:t>
      </w:r>
    </w:p>
    <w:p w14:paraId="5CD45696" w14:textId="77777777" w:rsidR="00593F7B" w:rsidRPr="00DB638E" w:rsidRDefault="00593F7B" w:rsidP="0078568D">
      <w:pPr>
        <w:pStyle w:val="Style5"/>
        <w:widowControl/>
        <w:tabs>
          <w:tab w:val="left" w:pos="7371"/>
        </w:tabs>
        <w:spacing w:line="240" w:lineRule="auto"/>
        <w:rPr>
          <w:rFonts w:eastAsia="Microsoft Sans Serif"/>
          <w:lang w:bidi="ru-RU"/>
        </w:rPr>
      </w:pPr>
      <w:r w:rsidRPr="00DB638E">
        <w:rPr>
          <w:rFonts w:eastAsia="Microsoft Sans Serif"/>
          <w:lang w:bidi="ru-RU"/>
        </w:rPr>
        <w:t>Претензии потребителей направлять по адресу:</w:t>
      </w:r>
    </w:p>
    <w:p w14:paraId="57070438" w14:textId="2DEDF2D2" w:rsidR="003E712D" w:rsidRPr="00DB638E" w:rsidRDefault="003E712D" w:rsidP="003E712D">
      <w:pPr>
        <w:autoSpaceDE w:val="0"/>
        <w:autoSpaceDN w:val="0"/>
        <w:spacing w:after="0" w:line="240" w:lineRule="auto"/>
        <w:jc w:val="both"/>
        <w:rPr>
          <w:rFonts w:ascii="Times New Roman" w:eastAsia="Microsoft Sans Serif" w:hAnsi="Times New Roman"/>
          <w:sz w:val="24"/>
          <w:szCs w:val="24"/>
          <w:lang w:eastAsia="ru-RU" w:bidi="ru-RU"/>
        </w:rPr>
      </w:pPr>
      <w:r w:rsidRPr="00DB638E">
        <w:rPr>
          <w:rFonts w:ascii="Times New Roman" w:eastAsia="Microsoft Sans Serif" w:hAnsi="Times New Roman"/>
          <w:sz w:val="24"/>
          <w:szCs w:val="24"/>
          <w:lang w:eastAsia="ru-RU" w:bidi="ru-RU"/>
        </w:rPr>
        <w:t>ИП Канумуру И.Г, Республика Казахстан</w:t>
      </w:r>
      <w:r w:rsidRPr="00DB638E">
        <w:rPr>
          <w:rFonts w:ascii="Times New Roman" w:eastAsia="Microsoft Sans Serif" w:hAnsi="Times New Roman"/>
          <w:sz w:val="24"/>
          <w:szCs w:val="24"/>
          <w:lang w:val="de-DE" w:eastAsia="ru-RU" w:bidi="ru-RU"/>
        </w:rPr>
        <w:t>, 050043,</w:t>
      </w:r>
      <w:r w:rsidRPr="00DB638E">
        <w:rPr>
          <w:rFonts w:ascii="Times New Roman" w:eastAsia="Microsoft Sans Serif" w:hAnsi="Times New Roman"/>
          <w:sz w:val="24"/>
          <w:szCs w:val="24"/>
          <w:lang w:eastAsia="ru-RU" w:bidi="ru-RU"/>
        </w:rPr>
        <w:t xml:space="preserve"> г</w:t>
      </w:r>
      <w:r w:rsidRPr="00DB638E">
        <w:rPr>
          <w:rFonts w:ascii="Times New Roman" w:eastAsia="Microsoft Sans Serif" w:hAnsi="Times New Roman"/>
          <w:sz w:val="24"/>
          <w:szCs w:val="24"/>
          <w:lang w:val="de-DE" w:eastAsia="ru-RU" w:bidi="ru-RU"/>
        </w:rPr>
        <w:t xml:space="preserve">. </w:t>
      </w:r>
      <w:r w:rsidRPr="00DB638E">
        <w:rPr>
          <w:rFonts w:ascii="Times New Roman" w:eastAsia="Microsoft Sans Serif" w:hAnsi="Times New Roman"/>
          <w:sz w:val="24"/>
          <w:szCs w:val="24"/>
          <w:lang w:eastAsia="ru-RU" w:bidi="ru-RU"/>
        </w:rPr>
        <w:t>Алматы</w:t>
      </w:r>
      <w:r w:rsidRPr="00DB638E">
        <w:rPr>
          <w:rFonts w:ascii="Times New Roman" w:eastAsia="Microsoft Sans Serif" w:hAnsi="Times New Roman"/>
          <w:sz w:val="24"/>
          <w:szCs w:val="24"/>
          <w:lang w:val="de-DE" w:eastAsia="ru-RU" w:bidi="ru-RU"/>
        </w:rPr>
        <w:t xml:space="preserve">, </w:t>
      </w:r>
      <w:r w:rsidRPr="00DB638E">
        <w:rPr>
          <w:rFonts w:ascii="Times New Roman" w:eastAsia="Microsoft Sans Serif" w:hAnsi="Times New Roman"/>
          <w:sz w:val="24"/>
          <w:szCs w:val="24"/>
          <w:lang w:eastAsia="ru-RU" w:bidi="ru-RU"/>
        </w:rPr>
        <w:t>мкн</w:t>
      </w:r>
      <w:r w:rsidRPr="00DB638E">
        <w:rPr>
          <w:rFonts w:ascii="Times New Roman" w:eastAsia="Microsoft Sans Serif" w:hAnsi="Times New Roman"/>
          <w:sz w:val="24"/>
          <w:szCs w:val="24"/>
          <w:lang w:val="de-DE" w:eastAsia="ru-RU" w:bidi="ru-RU"/>
        </w:rPr>
        <w:t xml:space="preserve">. </w:t>
      </w:r>
      <w:r w:rsidRPr="00DB638E">
        <w:rPr>
          <w:rFonts w:ascii="Times New Roman" w:eastAsia="Microsoft Sans Serif" w:hAnsi="Times New Roman"/>
          <w:sz w:val="24"/>
          <w:szCs w:val="24"/>
          <w:lang w:eastAsia="ru-RU" w:bidi="ru-RU"/>
        </w:rPr>
        <w:t>Мирас, дом 157, офис 819.</w:t>
      </w:r>
    </w:p>
    <w:p w14:paraId="1938D272" w14:textId="12E30894" w:rsidR="003E712D" w:rsidRPr="00DB638E" w:rsidRDefault="003E712D" w:rsidP="003E712D">
      <w:pPr>
        <w:autoSpaceDE w:val="0"/>
        <w:autoSpaceDN w:val="0"/>
        <w:spacing w:after="0" w:line="240" w:lineRule="auto"/>
        <w:jc w:val="both"/>
        <w:rPr>
          <w:rFonts w:ascii="Times New Roman" w:eastAsia="Microsoft Sans Serif" w:hAnsi="Times New Roman"/>
          <w:sz w:val="24"/>
          <w:szCs w:val="24"/>
          <w:lang w:eastAsia="ru-RU" w:bidi="ru-RU"/>
        </w:rPr>
      </w:pPr>
      <w:r w:rsidRPr="00DB638E">
        <w:rPr>
          <w:rFonts w:ascii="Times New Roman" w:eastAsia="Microsoft Sans Serif" w:hAnsi="Times New Roman"/>
          <w:sz w:val="24"/>
          <w:szCs w:val="24"/>
          <w:lang w:eastAsia="ru-RU" w:bidi="ru-RU"/>
        </w:rPr>
        <w:t>Тел. +7 (727) 311-81-96/97, +7 747 991 19 04</w:t>
      </w:r>
    </w:p>
    <w:p w14:paraId="33EE179D" w14:textId="77777777" w:rsidR="003E712D" w:rsidRPr="00DB638E" w:rsidRDefault="003E712D" w:rsidP="003E712D">
      <w:pPr>
        <w:autoSpaceDE w:val="0"/>
        <w:autoSpaceDN w:val="0"/>
        <w:spacing w:after="0" w:line="240" w:lineRule="auto"/>
        <w:jc w:val="both"/>
        <w:rPr>
          <w:rFonts w:ascii="Times New Roman" w:eastAsia="Microsoft Sans Serif" w:hAnsi="Times New Roman"/>
          <w:sz w:val="24"/>
          <w:szCs w:val="24"/>
          <w:lang w:eastAsia="ru-RU" w:bidi="ru-RU"/>
        </w:rPr>
      </w:pPr>
      <w:r w:rsidRPr="00DB638E">
        <w:rPr>
          <w:rFonts w:ascii="Times New Roman" w:eastAsia="Microsoft Sans Serif" w:hAnsi="Times New Roman"/>
          <w:sz w:val="24"/>
          <w:szCs w:val="24"/>
          <w:lang w:val="en-US" w:eastAsia="ru-RU" w:bidi="ru-RU"/>
        </w:rPr>
        <w:t>e</w:t>
      </w:r>
      <w:r w:rsidRPr="00DB638E">
        <w:rPr>
          <w:rFonts w:ascii="Times New Roman" w:eastAsia="Microsoft Sans Serif" w:hAnsi="Times New Roman"/>
          <w:sz w:val="24"/>
          <w:szCs w:val="24"/>
          <w:lang w:eastAsia="ru-RU" w:bidi="ru-RU"/>
        </w:rPr>
        <w:t>-</w:t>
      </w:r>
      <w:r w:rsidRPr="00DB638E">
        <w:rPr>
          <w:rFonts w:ascii="Times New Roman" w:eastAsia="Microsoft Sans Serif" w:hAnsi="Times New Roman"/>
          <w:sz w:val="24"/>
          <w:szCs w:val="24"/>
          <w:lang w:val="en-US" w:eastAsia="ru-RU" w:bidi="ru-RU"/>
        </w:rPr>
        <w:t>mail</w:t>
      </w:r>
      <w:r w:rsidRPr="00DB638E">
        <w:rPr>
          <w:rFonts w:ascii="Times New Roman" w:eastAsia="Microsoft Sans Serif" w:hAnsi="Times New Roman"/>
          <w:sz w:val="24"/>
          <w:szCs w:val="24"/>
          <w:lang w:eastAsia="ru-RU" w:bidi="ru-RU"/>
        </w:rPr>
        <w:t xml:space="preserve">: </w:t>
      </w:r>
      <w:hyperlink r:id="rId19" w:history="1">
        <w:r w:rsidRPr="00DB638E">
          <w:rPr>
            <w:rStyle w:val="af"/>
            <w:rFonts w:ascii="Times New Roman" w:eastAsia="Microsoft Sans Serif" w:hAnsi="Times New Roman"/>
            <w:sz w:val="24"/>
            <w:szCs w:val="24"/>
            <w:lang w:val="en-US" w:eastAsia="ru-RU" w:bidi="ru-RU"/>
          </w:rPr>
          <w:t>irina</w:t>
        </w:r>
        <w:r w:rsidRPr="00DB638E">
          <w:rPr>
            <w:rStyle w:val="af"/>
            <w:rFonts w:ascii="Times New Roman" w:eastAsia="Microsoft Sans Serif" w:hAnsi="Times New Roman"/>
            <w:sz w:val="24"/>
            <w:szCs w:val="24"/>
            <w:lang w:eastAsia="ru-RU" w:bidi="ru-RU"/>
          </w:rPr>
          <w:t>.</w:t>
        </w:r>
        <w:r w:rsidRPr="00DB638E">
          <w:rPr>
            <w:rStyle w:val="af"/>
            <w:rFonts w:ascii="Times New Roman" w:eastAsia="Microsoft Sans Serif" w:hAnsi="Times New Roman"/>
            <w:sz w:val="24"/>
            <w:szCs w:val="24"/>
            <w:lang w:val="en-US" w:eastAsia="ru-RU" w:bidi="ru-RU"/>
          </w:rPr>
          <w:t>volovnikova</w:t>
        </w:r>
        <w:r w:rsidRPr="00DB638E">
          <w:rPr>
            <w:rStyle w:val="af"/>
            <w:rFonts w:ascii="Times New Roman" w:eastAsia="Microsoft Sans Serif" w:hAnsi="Times New Roman"/>
            <w:sz w:val="24"/>
            <w:szCs w:val="24"/>
            <w:lang w:eastAsia="ru-RU" w:bidi="ru-RU"/>
          </w:rPr>
          <w:t>@</w:t>
        </w:r>
        <w:r w:rsidRPr="00DB638E">
          <w:rPr>
            <w:rStyle w:val="af"/>
            <w:rFonts w:ascii="Times New Roman" w:eastAsia="Microsoft Sans Serif" w:hAnsi="Times New Roman"/>
            <w:sz w:val="24"/>
            <w:szCs w:val="24"/>
            <w:lang w:val="en-US" w:eastAsia="ru-RU" w:bidi="ru-RU"/>
          </w:rPr>
          <w:t>gmail</w:t>
        </w:r>
        <w:r w:rsidRPr="00DB638E">
          <w:rPr>
            <w:rStyle w:val="af"/>
            <w:rFonts w:ascii="Times New Roman" w:eastAsia="Microsoft Sans Serif" w:hAnsi="Times New Roman"/>
            <w:sz w:val="24"/>
            <w:szCs w:val="24"/>
            <w:lang w:eastAsia="ru-RU" w:bidi="ru-RU"/>
          </w:rPr>
          <w:t>.</w:t>
        </w:r>
        <w:r w:rsidRPr="00DB638E">
          <w:rPr>
            <w:rStyle w:val="af"/>
            <w:rFonts w:ascii="Times New Roman" w:eastAsia="Microsoft Sans Serif" w:hAnsi="Times New Roman"/>
            <w:sz w:val="24"/>
            <w:szCs w:val="24"/>
            <w:lang w:val="en-US" w:eastAsia="ru-RU" w:bidi="ru-RU"/>
          </w:rPr>
          <w:t>com</w:t>
        </w:r>
      </w:hyperlink>
    </w:p>
    <w:p w14:paraId="170CB0C2" w14:textId="77777777" w:rsidR="00215CBB" w:rsidRPr="00DB638E" w:rsidRDefault="00215CBB" w:rsidP="0078568D">
      <w:pPr>
        <w:autoSpaceDE w:val="0"/>
        <w:autoSpaceDN w:val="0"/>
        <w:spacing w:after="0" w:line="240" w:lineRule="auto"/>
        <w:jc w:val="both"/>
        <w:rPr>
          <w:rFonts w:ascii="Times New Roman" w:eastAsia="Times New Roman" w:hAnsi="Times New Roman"/>
          <w:b/>
          <w:sz w:val="24"/>
          <w:szCs w:val="24"/>
          <w:lang w:eastAsia="ru-RU"/>
        </w:rPr>
      </w:pPr>
    </w:p>
    <w:p w14:paraId="5CE5B547" w14:textId="77777777" w:rsidR="002511DF" w:rsidRPr="00DB638E" w:rsidRDefault="002511DF" w:rsidP="0078568D">
      <w:pPr>
        <w:autoSpaceDE w:val="0"/>
        <w:autoSpaceDN w:val="0"/>
        <w:spacing w:after="0" w:line="240" w:lineRule="auto"/>
        <w:jc w:val="both"/>
        <w:rPr>
          <w:rFonts w:ascii="Times New Roman" w:eastAsia="Times New Roman" w:hAnsi="Times New Roman"/>
          <w:b/>
          <w:sz w:val="24"/>
          <w:szCs w:val="24"/>
          <w:lang w:eastAsia="ru-RU"/>
        </w:rPr>
      </w:pPr>
      <w:r w:rsidRPr="00DB638E">
        <w:rPr>
          <w:rFonts w:ascii="Times New Roman" w:eastAsia="Times New Roman" w:hAnsi="Times New Roman"/>
          <w:b/>
          <w:sz w:val="24"/>
          <w:szCs w:val="24"/>
          <w:lang w:val="uk-UA" w:eastAsia="ru-RU"/>
        </w:rPr>
        <w:t xml:space="preserve">8. </w:t>
      </w:r>
      <w:r w:rsidRPr="00DB638E">
        <w:rPr>
          <w:rFonts w:ascii="Times New Roman" w:eastAsia="Times New Roman" w:hAnsi="Times New Roman" w:hint="eastAsia"/>
          <w:b/>
          <w:sz w:val="24"/>
          <w:szCs w:val="24"/>
          <w:lang w:val="uk-UA" w:eastAsia="ru-RU"/>
        </w:rPr>
        <w:t>НОМЕР</w:t>
      </w:r>
      <w:r w:rsidRPr="00DB638E">
        <w:rPr>
          <w:rFonts w:ascii="Times New Roman" w:eastAsia="Times New Roman" w:hAnsi="Times New Roman"/>
          <w:b/>
          <w:sz w:val="24"/>
          <w:szCs w:val="24"/>
          <w:lang w:val="uk-UA" w:eastAsia="ru-RU"/>
        </w:rPr>
        <w:t xml:space="preserve"> </w:t>
      </w:r>
      <w:r w:rsidRPr="00DB638E">
        <w:rPr>
          <w:rFonts w:ascii="Times New Roman" w:eastAsia="Times New Roman" w:hAnsi="Times New Roman" w:hint="eastAsia"/>
          <w:b/>
          <w:sz w:val="24"/>
          <w:szCs w:val="24"/>
          <w:lang w:val="uk-UA" w:eastAsia="ru-RU"/>
        </w:rPr>
        <w:t>РЕГИСТРАЦИОННОГО</w:t>
      </w:r>
      <w:r w:rsidRPr="00DB638E">
        <w:rPr>
          <w:rFonts w:ascii="Times New Roman" w:eastAsia="Times New Roman" w:hAnsi="Times New Roman"/>
          <w:b/>
          <w:sz w:val="24"/>
          <w:szCs w:val="24"/>
          <w:lang w:val="uk-UA" w:eastAsia="ru-RU"/>
        </w:rPr>
        <w:t xml:space="preserve"> </w:t>
      </w:r>
      <w:r w:rsidRPr="00DB638E">
        <w:rPr>
          <w:rFonts w:ascii="Times New Roman" w:eastAsia="Times New Roman" w:hAnsi="Times New Roman" w:hint="eastAsia"/>
          <w:b/>
          <w:sz w:val="24"/>
          <w:szCs w:val="24"/>
          <w:lang w:val="uk-UA" w:eastAsia="ru-RU"/>
        </w:rPr>
        <w:t>УДОСТОВЕРЕНИЯ</w:t>
      </w:r>
    </w:p>
    <w:p w14:paraId="73684479" w14:textId="352F84B6" w:rsidR="00215CBB" w:rsidRPr="00DB638E" w:rsidRDefault="00545E0C" w:rsidP="0078568D">
      <w:pPr>
        <w:autoSpaceDE w:val="0"/>
        <w:autoSpaceDN w:val="0"/>
        <w:spacing w:after="0" w:line="240" w:lineRule="auto"/>
        <w:jc w:val="both"/>
        <w:rPr>
          <w:rFonts w:ascii="Times New Roman" w:eastAsia="Times New Roman" w:hAnsi="Times New Roman"/>
          <w:bCs/>
          <w:sz w:val="24"/>
          <w:szCs w:val="24"/>
          <w:lang w:val="uk-UA" w:eastAsia="ru-RU"/>
        </w:rPr>
      </w:pPr>
      <w:r w:rsidRPr="00DB638E">
        <w:rPr>
          <w:rFonts w:ascii="Times New Roman" w:eastAsia="Times New Roman" w:hAnsi="Times New Roman"/>
          <w:bCs/>
          <w:sz w:val="24"/>
          <w:szCs w:val="24"/>
          <w:lang w:val="uk-UA" w:eastAsia="ru-RU"/>
        </w:rPr>
        <w:t>РК-ЛС-5№026509 (20 мг)</w:t>
      </w:r>
    </w:p>
    <w:p w14:paraId="137EBC07" w14:textId="7C964FD7" w:rsidR="00545E0C" w:rsidRPr="00DB638E" w:rsidRDefault="00545E0C" w:rsidP="00545E0C">
      <w:pPr>
        <w:autoSpaceDE w:val="0"/>
        <w:autoSpaceDN w:val="0"/>
        <w:spacing w:after="0" w:line="240" w:lineRule="auto"/>
        <w:jc w:val="both"/>
        <w:rPr>
          <w:rFonts w:ascii="Times New Roman" w:eastAsia="Times New Roman" w:hAnsi="Times New Roman"/>
          <w:bCs/>
          <w:sz w:val="24"/>
          <w:szCs w:val="24"/>
          <w:lang w:val="uk-UA" w:eastAsia="ru-RU"/>
        </w:rPr>
      </w:pPr>
      <w:r w:rsidRPr="00DB638E">
        <w:rPr>
          <w:rFonts w:ascii="Times New Roman" w:eastAsia="Times New Roman" w:hAnsi="Times New Roman"/>
          <w:bCs/>
          <w:sz w:val="24"/>
          <w:szCs w:val="24"/>
          <w:lang w:val="uk-UA" w:eastAsia="ru-RU"/>
        </w:rPr>
        <w:t>РК-ЛС-5№026510 (40 мг)</w:t>
      </w:r>
    </w:p>
    <w:p w14:paraId="5941C241" w14:textId="5246AE37" w:rsidR="00545E0C" w:rsidRPr="00DB638E" w:rsidRDefault="00545E0C" w:rsidP="00545E0C">
      <w:pPr>
        <w:autoSpaceDE w:val="0"/>
        <w:autoSpaceDN w:val="0"/>
        <w:spacing w:after="0" w:line="240" w:lineRule="auto"/>
        <w:jc w:val="both"/>
        <w:rPr>
          <w:rFonts w:ascii="Times New Roman" w:eastAsia="Times New Roman" w:hAnsi="Times New Roman"/>
          <w:bCs/>
          <w:sz w:val="24"/>
          <w:szCs w:val="24"/>
          <w:lang w:val="uk-UA" w:eastAsia="ru-RU"/>
        </w:rPr>
      </w:pPr>
      <w:r w:rsidRPr="00DB638E">
        <w:rPr>
          <w:rFonts w:ascii="Times New Roman" w:eastAsia="Times New Roman" w:hAnsi="Times New Roman"/>
          <w:bCs/>
          <w:sz w:val="24"/>
          <w:szCs w:val="24"/>
          <w:lang w:val="uk-UA" w:eastAsia="ru-RU"/>
        </w:rPr>
        <w:t>РК-ЛС-5№026512 (60 мг)</w:t>
      </w:r>
    </w:p>
    <w:p w14:paraId="51C30C0A" w14:textId="77777777" w:rsidR="00545E0C" w:rsidRPr="00DB638E" w:rsidRDefault="00545E0C" w:rsidP="0078568D">
      <w:pPr>
        <w:autoSpaceDE w:val="0"/>
        <w:autoSpaceDN w:val="0"/>
        <w:spacing w:after="0" w:line="240" w:lineRule="auto"/>
        <w:jc w:val="both"/>
        <w:rPr>
          <w:rFonts w:ascii="Times New Roman" w:eastAsia="Times New Roman" w:hAnsi="Times New Roman"/>
          <w:b/>
          <w:sz w:val="24"/>
          <w:szCs w:val="24"/>
          <w:lang w:val="uk-UA" w:eastAsia="ru-RU"/>
        </w:rPr>
      </w:pPr>
    </w:p>
    <w:p w14:paraId="0217D471" w14:textId="77777777" w:rsidR="002511DF" w:rsidRPr="00DB638E"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DB638E">
        <w:rPr>
          <w:rFonts w:ascii="Times New Roman" w:eastAsia="Times New Roman" w:hAnsi="Times New Roman"/>
          <w:b/>
          <w:sz w:val="24"/>
          <w:szCs w:val="24"/>
          <w:lang w:val="uk-UA" w:eastAsia="ru-RU"/>
        </w:rPr>
        <w:t xml:space="preserve">9. </w:t>
      </w:r>
      <w:r w:rsidRPr="00DB638E">
        <w:rPr>
          <w:rFonts w:ascii="Times New Roman" w:eastAsia="Times New Roman" w:hAnsi="Times New Roman" w:hint="eastAsia"/>
          <w:b/>
          <w:sz w:val="24"/>
          <w:szCs w:val="24"/>
          <w:lang w:val="uk-UA" w:eastAsia="ru-RU"/>
        </w:rPr>
        <w:t>ДАТА</w:t>
      </w:r>
      <w:r w:rsidRPr="00DB638E">
        <w:rPr>
          <w:rFonts w:ascii="Times New Roman" w:eastAsia="Times New Roman" w:hAnsi="Times New Roman"/>
          <w:b/>
          <w:sz w:val="24"/>
          <w:szCs w:val="24"/>
          <w:lang w:val="uk-UA" w:eastAsia="ru-RU"/>
        </w:rPr>
        <w:t xml:space="preserve"> </w:t>
      </w:r>
      <w:r w:rsidRPr="00DB638E">
        <w:rPr>
          <w:rFonts w:ascii="Times New Roman" w:eastAsia="Times New Roman" w:hAnsi="Times New Roman" w:hint="eastAsia"/>
          <w:b/>
          <w:sz w:val="24"/>
          <w:szCs w:val="24"/>
          <w:lang w:val="uk-UA" w:eastAsia="ru-RU"/>
        </w:rPr>
        <w:t>ПЕРВИЧНОЙ</w:t>
      </w:r>
      <w:r w:rsidRPr="00DB638E">
        <w:rPr>
          <w:rFonts w:ascii="Times New Roman" w:eastAsia="Times New Roman" w:hAnsi="Times New Roman"/>
          <w:b/>
          <w:sz w:val="24"/>
          <w:szCs w:val="24"/>
          <w:lang w:val="uk-UA" w:eastAsia="ru-RU"/>
        </w:rPr>
        <w:t xml:space="preserve"> </w:t>
      </w:r>
      <w:r w:rsidRPr="00DB638E">
        <w:rPr>
          <w:rFonts w:ascii="Times New Roman" w:eastAsia="Times New Roman" w:hAnsi="Times New Roman" w:hint="eastAsia"/>
          <w:b/>
          <w:sz w:val="24"/>
          <w:szCs w:val="24"/>
          <w:lang w:val="uk-UA" w:eastAsia="ru-RU"/>
        </w:rPr>
        <w:t>РЕГИСТРАЦИИ</w:t>
      </w:r>
      <w:r w:rsidRPr="00DB638E">
        <w:rPr>
          <w:rFonts w:ascii="Times New Roman" w:eastAsia="Times New Roman" w:hAnsi="Times New Roman"/>
          <w:b/>
          <w:sz w:val="24"/>
          <w:szCs w:val="24"/>
          <w:lang w:val="uk-UA" w:eastAsia="ru-RU"/>
        </w:rPr>
        <w:t xml:space="preserve"> (</w:t>
      </w:r>
      <w:r w:rsidRPr="00DB638E">
        <w:rPr>
          <w:rFonts w:ascii="Times New Roman" w:eastAsia="Times New Roman" w:hAnsi="Times New Roman" w:hint="eastAsia"/>
          <w:b/>
          <w:sz w:val="24"/>
          <w:szCs w:val="24"/>
          <w:lang w:val="uk-UA" w:eastAsia="ru-RU"/>
        </w:rPr>
        <w:t>ПОДТВЕРЖДЕНИЯ</w:t>
      </w:r>
      <w:r w:rsidRPr="00DB638E">
        <w:rPr>
          <w:rFonts w:ascii="Times New Roman" w:eastAsia="Times New Roman" w:hAnsi="Times New Roman"/>
          <w:b/>
          <w:sz w:val="24"/>
          <w:szCs w:val="24"/>
          <w:lang w:val="uk-UA" w:eastAsia="ru-RU"/>
        </w:rPr>
        <w:t xml:space="preserve"> </w:t>
      </w:r>
      <w:r w:rsidRPr="00DB638E">
        <w:rPr>
          <w:rFonts w:ascii="Times New Roman" w:eastAsia="Times New Roman" w:hAnsi="Times New Roman" w:hint="eastAsia"/>
          <w:b/>
          <w:sz w:val="24"/>
          <w:szCs w:val="24"/>
          <w:lang w:val="uk-UA" w:eastAsia="ru-RU"/>
        </w:rPr>
        <w:t>РЕГИСТРАЦИИ</w:t>
      </w:r>
      <w:r w:rsidRPr="00DB638E">
        <w:rPr>
          <w:rFonts w:ascii="Times New Roman" w:eastAsia="Times New Roman" w:hAnsi="Times New Roman"/>
          <w:b/>
          <w:sz w:val="24"/>
          <w:szCs w:val="24"/>
          <w:lang w:val="uk-UA" w:eastAsia="ru-RU"/>
        </w:rPr>
        <w:t xml:space="preserve">, </w:t>
      </w:r>
      <w:r w:rsidRPr="00DB638E">
        <w:rPr>
          <w:rFonts w:ascii="Times New Roman" w:eastAsia="Times New Roman" w:hAnsi="Times New Roman" w:hint="eastAsia"/>
          <w:b/>
          <w:sz w:val="24"/>
          <w:szCs w:val="24"/>
          <w:lang w:val="uk-UA" w:eastAsia="ru-RU"/>
        </w:rPr>
        <w:t>ПЕРЕРЕГИСТРАЦИИ</w:t>
      </w:r>
      <w:r w:rsidRPr="00DB638E">
        <w:rPr>
          <w:rFonts w:ascii="Times New Roman" w:eastAsia="Times New Roman" w:hAnsi="Times New Roman"/>
          <w:b/>
          <w:sz w:val="24"/>
          <w:szCs w:val="24"/>
          <w:lang w:val="uk-UA" w:eastAsia="ru-RU"/>
        </w:rPr>
        <w:t>)</w:t>
      </w:r>
    </w:p>
    <w:p w14:paraId="673D978A" w14:textId="701FC75F" w:rsidR="00B91443" w:rsidRPr="00DB638E" w:rsidRDefault="007A6D9D" w:rsidP="0078568D">
      <w:pPr>
        <w:pStyle w:val="Style5"/>
        <w:widowControl/>
        <w:tabs>
          <w:tab w:val="left" w:pos="7371"/>
        </w:tabs>
        <w:spacing w:line="240" w:lineRule="auto"/>
        <w:rPr>
          <w:rFonts w:eastAsia="Microsoft Sans Serif"/>
          <w:lang w:bidi="ru-RU"/>
        </w:rPr>
      </w:pPr>
      <w:r w:rsidRPr="00DB638E">
        <w:rPr>
          <w:rFonts w:eastAsia="Microsoft Sans Serif"/>
          <w:lang w:bidi="ru-RU"/>
        </w:rPr>
        <w:t>03.03.2025</w:t>
      </w:r>
    </w:p>
    <w:p w14:paraId="0E308997" w14:textId="77777777" w:rsidR="007A6D9D" w:rsidRPr="00DB638E" w:rsidRDefault="007A6D9D" w:rsidP="0078568D">
      <w:pPr>
        <w:pStyle w:val="Style5"/>
        <w:widowControl/>
        <w:tabs>
          <w:tab w:val="left" w:pos="7371"/>
        </w:tabs>
        <w:spacing w:line="240" w:lineRule="auto"/>
        <w:rPr>
          <w:rFonts w:eastAsia="Microsoft Sans Serif"/>
          <w:lang w:bidi="ru-RU"/>
        </w:rPr>
      </w:pPr>
    </w:p>
    <w:p w14:paraId="40EB7495" w14:textId="77777777" w:rsidR="00DF47EB" w:rsidRPr="00DB638E" w:rsidRDefault="00DF47EB" w:rsidP="00B91443">
      <w:pPr>
        <w:spacing w:after="0" w:line="240" w:lineRule="auto"/>
        <w:jc w:val="both"/>
        <w:rPr>
          <w:rFonts w:ascii="Times New Roman" w:hAnsi="Times New Roman"/>
          <w:b/>
          <w:caps/>
          <w:sz w:val="24"/>
          <w:szCs w:val="24"/>
        </w:rPr>
      </w:pPr>
      <w:r w:rsidRPr="00DB638E">
        <w:rPr>
          <w:rFonts w:ascii="Times New Roman" w:hAnsi="Times New Roman"/>
          <w:b/>
          <w:sz w:val="24"/>
          <w:szCs w:val="24"/>
        </w:rPr>
        <w:t xml:space="preserve">10. </w:t>
      </w:r>
      <w:r w:rsidRPr="00DB638E">
        <w:rPr>
          <w:rFonts w:ascii="Times New Roman" w:hAnsi="Times New Roman"/>
          <w:b/>
          <w:caps/>
          <w:sz w:val="24"/>
          <w:szCs w:val="24"/>
        </w:rPr>
        <w:t xml:space="preserve">Дата пересмотра текста </w:t>
      </w:r>
    </w:p>
    <w:p w14:paraId="23E454BE" w14:textId="0B4E13DA" w:rsidR="00B91443" w:rsidRPr="00231A9A" w:rsidRDefault="00B91443" w:rsidP="00724DB0">
      <w:pPr>
        <w:spacing w:after="0" w:line="240" w:lineRule="auto"/>
        <w:jc w:val="both"/>
        <w:rPr>
          <w:rFonts w:eastAsia="Microsoft Sans Serif"/>
          <w:sz w:val="24"/>
          <w:szCs w:val="24"/>
          <w:lang w:bidi="ru-RU"/>
        </w:rPr>
      </w:pPr>
      <w:r w:rsidRPr="00DB638E">
        <w:rPr>
          <w:rFonts w:ascii="Times New Roman" w:eastAsia="TimesNewRomanPSMT" w:hAnsi="Times New Roman"/>
          <w:sz w:val="24"/>
          <w:szCs w:val="24"/>
          <w:lang w:eastAsia="ru-RU"/>
        </w:rPr>
        <w:t xml:space="preserve">Общая характеристика лекарственного препарата доступна на официальном сайте </w:t>
      </w:r>
      <w:hyperlink r:id="rId20" w:history="1">
        <w:r w:rsidRPr="00DB638E">
          <w:rPr>
            <w:rStyle w:val="af"/>
            <w:rFonts w:ascii="Times New Roman" w:hAnsi="Times New Roman"/>
            <w:sz w:val="24"/>
            <w:szCs w:val="24"/>
            <w:lang w:val="en-US"/>
          </w:rPr>
          <w:t>http</w:t>
        </w:r>
        <w:r w:rsidRPr="00DB638E">
          <w:rPr>
            <w:rStyle w:val="af"/>
            <w:rFonts w:ascii="Times New Roman" w:hAnsi="Times New Roman"/>
            <w:sz w:val="24"/>
            <w:szCs w:val="24"/>
          </w:rPr>
          <w:t>://</w:t>
        </w:r>
        <w:r w:rsidRPr="00DB638E">
          <w:rPr>
            <w:rStyle w:val="af"/>
            <w:rFonts w:ascii="Times New Roman" w:hAnsi="Times New Roman"/>
            <w:sz w:val="24"/>
            <w:szCs w:val="24"/>
            <w:lang w:val="en-US"/>
          </w:rPr>
          <w:t>www</w:t>
        </w:r>
        <w:r w:rsidRPr="00DB638E">
          <w:rPr>
            <w:rStyle w:val="af"/>
            <w:rFonts w:ascii="Times New Roman" w:hAnsi="Times New Roman"/>
            <w:sz w:val="24"/>
            <w:szCs w:val="24"/>
          </w:rPr>
          <w:t>.</w:t>
        </w:r>
        <w:r w:rsidRPr="00DB638E">
          <w:rPr>
            <w:rStyle w:val="af"/>
            <w:rFonts w:ascii="Times New Roman" w:hAnsi="Times New Roman"/>
            <w:sz w:val="24"/>
            <w:szCs w:val="24"/>
            <w:lang w:val="en-US"/>
          </w:rPr>
          <w:t>ndda</w:t>
        </w:r>
        <w:r w:rsidRPr="00DB638E">
          <w:rPr>
            <w:rStyle w:val="af"/>
            <w:rFonts w:ascii="Times New Roman" w:hAnsi="Times New Roman"/>
            <w:sz w:val="24"/>
            <w:szCs w:val="24"/>
          </w:rPr>
          <w:t>.</w:t>
        </w:r>
        <w:r w:rsidRPr="00DB638E">
          <w:rPr>
            <w:rStyle w:val="af"/>
            <w:rFonts w:ascii="Times New Roman" w:hAnsi="Times New Roman"/>
            <w:sz w:val="24"/>
            <w:szCs w:val="24"/>
            <w:lang w:val="en-US"/>
          </w:rPr>
          <w:t>kz</w:t>
        </w:r>
      </w:hyperlink>
      <w:r w:rsidRPr="00231A9A">
        <w:rPr>
          <w:rFonts w:ascii="Times New Roman" w:hAnsi="Times New Roman"/>
          <w:sz w:val="24"/>
          <w:szCs w:val="24"/>
        </w:rPr>
        <w:t xml:space="preserve"> </w:t>
      </w:r>
    </w:p>
    <w:sectPr w:rsidR="00B91443" w:rsidRPr="00231A9A" w:rsidSect="00F97B57">
      <w:headerReference w:type="default" r:id="rId2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77E7" w14:textId="77777777" w:rsidR="00636BD0" w:rsidRDefault="00636BD0" w:rsidP="00D275FC">
      <w:pPr>
        <w:spacing w:after="0" w:line="240" w:lineRule="auto"/>
      </w:pPr>
      <w:r>
        <w:separator/>
      </w:r>
    </w:p>
  </w:endnote>
  <w:endnote w:type="continuationSeparator" w:id="0">
    <w:p w14:paraId="501E965E" w14:textId="77777777" w:rsidR="00636BD0" w:rsidRDefault="00636BD0"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6516" w14:textId="77777777" w:rsidR="00636BD0" w:rsidRDefault="00636BD0" w:rsidP="00D275FC">
      <w:pPr>
        <w:spacing w:after="0" w:line="240" w:lineRule="auto"/>
      </w:pPr>
      <w:r>
        <w:separator/>
      </w:r>
    </w:p>
  </w:footnote>
  <w:footnote w:type="continuationSeparator" w:id="0">
    <w:p w14:paraId="78006552" w14:textId="77777777" w:rsidR="00636BD0" w:rsidRDefault="00636BD0"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98CF" w14:textId="0D52D858" w:rsidR="00D275FC" w:rsidRDefault="00BA3091">
    <w:pPr>
      <w:pStyle w:val="af1"/>
    </w:pPr>
    <w:r>
      <w:rPr>
        <w:noProof/>
      </w:rPr>
      <mc:AlternateContent>
        <mc:Choice Requires="wps">
          <w:drawing>
            <wp:anchor distT="0" distB="0" distL="114300" distR="114300" simplePos="0" relativeHeight="251657728" behindDoc="0" locked="0" layoutInCell="1" allowOverlap="1" wp14:anchorId="4801A77D" wp14:editId="3E84F25E">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18B4D6BF"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801A77D" id="_x0000_t202" coordsize="21600,21600" o:spt="202" path="m,l,21600r21600,l21600,xe">
              <v:stroke joinstyle="miter"/>
              <v:path gradientshapeok="t" o:connecttype="rect"/>
            </v:shapetype>
            <v:shape id="Поле 2" o:spid="_x0000_s1043"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18B4D6BF"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Описание: Description: BT_1000x858px" style="width:15.7pt;height:13.75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74D7203"/>
    <w:multiLevelType w:val="hybridMultilevel"/>
    <w:tmpl w:val="77323D32"/>
    <w:lvl w:ilvl="0" w:tplc="49A0E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3"/>
  </w:num>
  <w:num w:numId="4">
    <w:abstractNumId w:val="20"/>
  </w:num>
  <w:num w:numId="5">
    <w:abstractNumId w:val="25"/>
  </w:num>
  <w:num w:numId="6">
    <w:abstractNumId w:val="6"/>
  </w:num>
  <w:num w:numId="7">
    <w:abstractNumId w:val="23"/>
  </w:num>
  <w:num w:numId="8">
    <w:abstractNumId w:val="8"/>
  </w:num>
  <w:num w:numId="9">
    <w:abstractNumId w:val="17"/>
  </w:num>
  <w:num w:numId="10">
    <w:abstractNumId w:val="9"/>
  </w:num>
  <w:num w:numId="11">
    <w:abstractNumId w:val="16"/>
  </w:num>
  <w:num w:numId="12">
    <w:abstractNumId w:val="19"/>
  </w:num>
  <w:num w:numId="13">
    <w:abstractNumId w:val="21"/>
  </w:num>
  <w:num w:numId="14">
    <w:abstractNumId w:val="12"/>
  </w:num>
  <w:num w:numId="15">
    <w:abstractNumId w:val="1"/>
  </w:num>
  <w:num w:numId="16">
    <w:abstractNumId w:val="24"/>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2"/>
  </w:num>
  <w:num w:numId="24">
    <w:abstractNumId w:val="11"/>
  </w:num>
  <w:num w:numId="25">
    <w:abstractNumId w:val="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48"/>
    <w:rsid w:val="00004C99"/>
    <w:rsid w:val="00010371"/>
    <w:rsid w:val="00010A93"/>
    <w:rsid w:val="00015117"/>
    <w:rsid w:val="000162F9"/>
    <w:rsid w:val="00020025"/>
    <w:rsid w:val="0002049D"/>
    <w:rsid w:val="00021C13"/>
    <w:rsid w:val="000264BB"/>
    <w:rsid w:val="00026A9C"/>
    <w:rsid w:val="00033F95"/>
    <w:rsid w:val="00033FC1"/>
    <w:rsid w:val="000343EF"/>
    <w:rsid w:val="000361FF"/>
    <w:rsid w:val="0003698B"/>
    <w:rsid w:val="00042999"/>
    <w:rsid w:val="00044F3E"/>
    <w:rsid w:val="0005238D"/>
    <w:rsid w:val="00057D52"/>
    <w:rsid w:val="00074AAE"/>
    <w:rsid w:val="000852A1"/>
    <w:rsid w:val="00086905"/>
    <w:rsid w:val="00086BBF"/>
    <w:rsid w:val="00096107"/>
    <w:rsid w:val="000972E6"/>
    <w:rsid w:val="000A0D71"/>
    <w:rsid w:val="000A15B0"/>
    <w:rsid w:val="000A272B"/>
    <w:rsid w:val="000B0E59"/>
    <w:rsid w:val="000C2C4B"/>
    <w:rsid w:val="000C3EBE"/>
    <w:rsid w:val="000C4C48"/>
    <w:rsid w:val="000D184E"/>
    <w:rsid w:val="000D457D"/>
    <w:rsid w:val="000D4D11"/>
    <w:rsid w:val="000D545A"/>
    <w:rsid w:val="000D68C4"/>
    <w:rsid w:val="000E01AB"/>
    <w:rsid w:val="000E153C"/>
    <w:rsid w:val="000E30FC"/>
    <w:rsid w:val="000E3634"/>
    <w:rsid w:val="000E49F0"/>
    <w:rsid w:val="000E6126"/>
    <w:rsid w:val="00100406"/>
    <w:rsid w:val="001024E7"/>
    <w:rsid w:val="00102F0D"/>
    <w:rsid w:val="00107A8A"/>
    <w:rsid w:val="00111788"/>
    <w:rsid w:val="001173E0"/>
    <w:rsid w:val="00120934"/>
    <w:rsid w:val="00123DB5"/>
    <w:rsid w:val="00125232"/>
    <w:rsid w:val="00125BA4"/>
    <w:rsid w:val="00126F20"/>
    <w:rsid w:val="00132B9A"/>
    <w:rsid w:val="001368AE"/>
    <w:rsid w:val="0014082F"/>
    <w:rsid w:val="00143888"/>
    <w:rsid w:val="00144CCD"/>
    <w:rsid w:val="0014699B"/>
    <w:rsid w:val="0014739A"/>
    <w:rsid w:val="001511F6"/>
    <w:rsid w:val="0015490C"/>
    <w:rsid w:val="001573E2"/>
    <w:rsid w:val="00160933"/>
    <w:rsid w:val="0016278D"/>
    <w:rsid w:val="00164E5D"/>
    <w:rsid w:val="00173CD9"/>
    <w:rsid w:val="001872CE"/>
    <w:rsid w:val="00192A64"/>
    <w:rsid w:val="001937AD"/>
    <w:rsid w:val="00193D90"/>
    <w:rsid w:val="001A26AE"/>
    <w:rsid w:val="001A2CB2"/>
    <w:rsid w:val="001A3A84"/>
    <w:rsid w:val="001B3D5E"/>
    <w:rsid w:val="001B59CF"/>
    <w:rsid w:val="001B6AEC"/>
    <w:rsid w:val="001C45E6"/>
    <w:rsid w:val="001D0B84"/>
    <w:rsid w:val="001E250C"/>
    <w:rsid w:val="001E2FC7"/>
    <w:rsid w:val="001E5E2A"/>
    <w:rsid w:val="001E6A05"/>
    <w:rsid w:val="001E6F4C"/>
    <w:rsid w:val="001F031F"/>
    <w:rsid w:val="001F16AA"/>
    <w:rsid w:val="00200F3B"/>
    <w:rsid w:val="00203355"/>
    <w:rsid w:val="0020414E"/>
    <w:rsid w:val="00211005"/>
    <w:rsid w:val="0021309A"/>
    <w:rsid w:val="00215CBB"/>
    <w:rsid w:val="00217D41"/>
    <w:rsid w:val="002222A9"/>
    <w:rsid w:val="00222CA6"/>
    <w:rsid w:val="00231A9A"/>
    <w:rsid w:val="00232642"/>
    <w:rsid w:val="002333DA"/>
    <w:rsid w:val="0023411B"/>
    <w:rsid w:val="00234F1D"/>
    <w:rsid w:val="00235E9B"/>
    <w:rsid w:val="00237697"/>
    <w:rsid w:val="00237B2E"/>
    <w:rsid w:val="002410EA"/>
    <w:rsid w:val="00250EDB"/>
    <w:rsid w:val="002511DF"/>
    <w:rsid w:val="0025256D"/>
    <w:rsid w:val="00253209"/>
    <w:rsid w:val="00256E10"/>
    <w:rsid w:val="00260413"/>
    <w:rsid w:val="00260EBC"/>
    <w:rsid w:val="00264710"/>
    <w:rsid w:val="00264A6E"/>
    <w:rsid w:val="00267567"/>
    <w:rsid w:val="00270B0A"/>
    <w:rsid w:val="00273EB7"/>
    <w:rsid w:val="002777B4"/>
    <w:rsid w:val="00280121"/>
    <w:rsid w:val="00280352"/>
    <w:rsid w:val="00281FBE"/>
    <w:rsid w:val="00284413"/>
    <w:rsid w:val="00290D2E"/>
    <w:rsid w:val="00292715"/>
    <w:rsid w:val="002A591C"/>
    <w:rsid w:val="002A7AFF"/>
    <w:rsid w:val="002B1749"/>
    <w:rsid w:val="002C10E1"/>
    <w:rsid w:val="002C15EB"/>
    <w:rsid w:val="002C1660"/>
    <w:rsid w:val="002C35A2"/>
    <w:rsid w:val="002C5345"/>
    <w:rsid w:val="002D0CEC"/>
    <w:rsid w:val="002D2EEC"/>
    <w:rsid w:val="002D56B7"/>
    <w:rsid w:val="002E04B7"/>
    <w:rsid w:val="002E0BAD"/>
    <w:rsid w:val="002F1924"/>
    <w:rsid w:val="002F4A14"/>
    <w:rsid w:val="002F55CE"/>
    <w:rsid w:val="002F5C94"/>
    <w:rsid w:val="00302D59"/>
    <w:rsid w:val="003043BF"/>
    <w:rsid w:val="00304BDE"/>
    <w:rsid w:val="003057D9"/>
    <w:rsid w:val="00311A2D"/>
    <w:rsid w:val="00313B24"/>
    <w:rsid w:val="00320073"/>
    <w:rsid w:val="003201F3"/>
    <w:rsid w:val="00321EEA"/>
    <w:rsid w:val="003262DF"/>
    <w:rsid w:val="00332951"/>
    <w:rsid w:val="003405AB"/>
    <w:rsid w:val="00343720"/>
    <w:rsid w:val="00344935"/>
    <w:rsid w:val="0034682B"/>
    <w:rsid w:val="00356237"/>
    <w:rsid w:val="0036288F"/>
    <w:rsid w:val="00365B10"/>
    <w:rsid w:val="00367BA7"/>
    <w:rsid w:val="00372082"/>
    <w:rsid w:val="003761C0"/>
    <w:rsid w:val="00381140"/>
    <w:rsid w:val="003812B2"/>
    <w:rsid w:val="0038132A"/>
    <w:rsid w:val="00383CDB"/>
    <w:rsid w:val="00384EFD"/>
    <w:rsid w:val="0038595A"/>
    <w:rsid w:val="003879F9"/>
    <w:rsid w:val="003976C7"/>
    <w:rsid w:val="003A035E"/>
    <w:rsid w:val="003A4981"/>
    <w:rsid w:val="003A577F"/>
    <w:rsid w:val="003A7B0F"/>
    <w:rsid w:val="003B0285"/>
    <w:rsid w:val="003C07E3"/>
    <w:rsid w:val="003C21BB"/>
    <w:rsid w:val="003C659E"/>
    <w:rsid w:val="003D0BA9"/>
    <w:rsid w:val="003E04D3"/>
    <w:rsid w:val="003E13CF"/>
    <w:rsid w:val="003E4F5E"/>
    <w:rsid w:val="003E712D"/>
    <w:rsid w:val="003F387B"/>
    <w:rsid w:val="003F5344"/>
    <w:rsid w:val="003F7EDC"/>
    <w:rsid w:val="00400361"/>
    <w:rsid w:val="00403D6C"/>
    <w:rsid w:val="00404548"/>
    <w:rsid w:val="00407E94"/>
    <w:rsid w:val="0041162E"/>
    <w:rsid w:val="004125D8"/>
    <w:rsid w:val="004200EA"/>
    <w:rsid w:val="004275FF"/>
    <w:rsid w:val="0042786D"/>
    <w:rsid w:val="00433C62"/>
    <w:rsid w:val="00441EA4"/>
    <w:rsid w:val="004528E1"/>
    <w:rsid w:val="00456F01"/>
    <w:rsid w:val="004657EF"/>
    <w:rsid w:val="00472EF5"/>
    <w:rsid w:val="00483488"/>
    <w:rsid w:val="00483EC5"/>
    <w:rsid w:val="0048687C"/>
    <w:rsid w:val="004926ED"/>
    <w:rsid w:val="0049318D"/>
    <w:rsid w:val="00495C7E"/>
    <w:rsid w:val="004A31B4"/>
    <w:rsid w:val="004A4981"/>
    <w:rsid w:val="004A7038"/>
    <w:rsid w:val="004B382D"/>
    <w:rsid w:val="004C1922"/>
    <w:rsid w:val="004C462F"/>
    <w:rsid w:val="004C6613"/>
    <w:rsid w:val="004D49E9"/>
    <w:rsid w:val="004D4B9E"/>
    <w:rsid w:val="004D4EDC"/>
    <w:rsid w:val="004E4313"/>
    <w:rsid w:val="004F45AC"/>
    <w:rsid w:val="00501CC4"/>
    <w:rsid w:val="00506A29"/>
    <w:rsid w:val="00506C9D"/>
    <w:rsid w:val="005071DA"/>
    <w:rsid w:val="00515826"/>
    <w:rsid w:val="00515CBE"/>
    <w:rsid w:val="0052114C"/>
    <w:rsid w:val="00523D82"/>
    <w:rsid w:val="00540DB1"/>
    <w:rsid w:val="00541A00"/>
    <w:rsid w:val="005444B2"/>
    <w:rsid w:val="00545B0B"/>
    <w:rsid w:val="00545E0C"/>
    <w:rsid w:val="00552F31"/>
    <w:rsid w:val="00552F8B"/>
    <w:rsid w:val="00554F60"/>
    <w:rsid w:val="00561FE7"/>
    <w:rsid w:val="00562AAB"/>
    <w:rsid w:val="00566737"/>
    <w:rsid w:val="00567153"/>
    <w:rsid w:val="00575348"/>
    <w:rsid w:val="005869C5"/>
    <w:rsid w:val="005921EA"/>
    <w:rsid w:val="005924F5"/>
    <w:rsid w:val="00593F7B"/>
    <w:rsid w:val="005A1575"/>
    <w:rsid w:val="005A3C81"/>
    <w:rsid w:val="005A5680"/>
    <w:rsid w:val="005A6639"/>
    <w:rsid w:val="005A6914"/>
    <w:rsid w:val="005A79D5"/>
    <w:rsid w:val="005B3FFE"/>
    <w:rsid w:val="005B6D05"/>
    <w:rsid w:val="005B7F9D"/>
    <w:rsid w:val="005C11DD"/>
    <w:rsid w:val="005C1519"/>
    <w:rsid w:val="005C1C4E"/>
    <w:rsid w:val="005C4994"/>
    <w:rsid w:val="005C4A16"/>
    <w:rsid w:val="005D57A2"/>
    <w:rsid w:val="005D66F3"/>
    <w:rsid w:val="005D68C6"/>
    <w:rsid w:val="005D7EE3"/>
    <w:rsid w:val="005E30A1"/>
    <w:rsid w:val="005E50DE"/>
    <w:rsid w:val="005E6C64"/>
    <w:rsid w:val="005E7569"/>
    <w:rsid w:val="005E7582"/>
    <w:rsid w:val="005E76DA"/>
    <w:rsid w:val="005F1719"/>
    <w:rsid w:val="005F7097"/>
    <w:rsid w:val="005F76A0"/>
    <w:rsid w:val="0060072A"/>
    <w:rsid w:val="00603625"/>
    <w:rsid w:val="0060364A"/>
    <w:rsid w:val="00604FC8"/>
    <w:rsid w:val="00617843"/>
    <w:rsid w:val="00620F34"/>
    <w:rsid w:val="00622A27"/>
    <w:rsid w:val="00623042"/>
    <w:rsid w:val="0062497F"/>
    <w:rsid w:val="00624C1B"/>
    <w:rsid w:val="00625471"/>
    <w:rsid w:val="0062661D"/>
    <w:rsid w:val="00627853"/>
    <w:rsid w:val="00632571"/>
    <w:rsid w:val="00634D0C"/>
    <w:rsid w:val="00636BD0"/>
    <w:rsid w:val="00650B25"/>
    <w:rsid w:val="0065148D"/>
    <w:rsid w:val="00652BCE"/>
    <w:rsid w:val="00652E29"/>
    <w:rsid w:val="00653617"/>
    <w:rsid w:val="00654D3B"/>
    <w:rsid w:val="00661809"/>
    <w:rsid w:val="00662BAC"/>
    <w:rsid w:val="00664FB2"/>
    <w:rsid w:val="0067136B"/>
    <w:rsid w:val="00683FE9"/>
    <w:rsid w:val="00686B41"/>
    <w:rsid w:val="00691208"/>
    <w:rsid w:val="00694523"/>
    <w:rsid w:val="006A23C4"/>
    <w:rsid w:val="006A475E"/>
    <w:rsid w:val="006A702E"/>
    <w:rsid w:val="006B1751"/>
    <w:rsid w:val="006B17CB"/>
    <w:rsid w:val="006B4F8D"/>
    <w:rsid w:val="006B7A90"/>
    <w:rsid w:val="006C5F38"/>
    <w:rsid w:val="006D37D7"/>
    <w:rsid w:val="006D5986"/>
    <w:rsid w:val="006D7D5A"/>
    <w:rsid w:val="006E3DFC"/>
    <w:rsid w:val="006E4305"/>
    <w:rsid w:val="006F5763"/>
    <w:rsid w:val="007005B3"/>
    <w:rsid w:val="00704598"/>
    <w:rsid w:val="00704BAB"/>
    <w:rsid w:val="00704E75"/>
    <w:rsid w:val="007073CA"/>
    <w:rsid w:val="007104D1"/>
    <w:rsid w:val="007135A6"/>
    <w:rsid w:val="00716F47"/>
    <w:rsid w:val="00724DB0"/>
    <w:rsid w:val="00726BD3"/>
    <w:rsid w:val="00727CE7"/>
    <w:rsid w:val="00730461"/>
    <w:rsid w:val="00733A73"/>
    <w:rsid w:val="00734D95"/>
    <w:rsid w:val="00746FF2"/>
    <w:rsid w:val="007479AE"/>
    <w:rsid w:val="00747B58"/>
    <w:rsid w:val="0075737A"/>
    <w:rsid w:val="00761133"/>
    <w:rsid w:val="00764E84"/>
    <w:rsid w:val="007762F8"/>
    <w:rsid w:val="00783520"/>
    <w:rsid w:val="0078568D"/>
    <w:rsid w:val="007877D8"/>
    <w:rsid w:val="00793363"/>
    <w:rsid w:val="00794410"/>
    <w:rsid w:val="007972B3"/>
    <w:rsid w:val="007A02D3"/>
    <w:rsid w:val="007A18B1"/>
    <w:rsid w:val="007A6D9D"/>
    <w:rsid w:val="007B011E"/>
    <w:rsid w:val="007C055A"/>
    <w:rsid w:val="007C1693"/>
    <w:rsid w:val="007C3574"/>
    <w:rsid w:val="007D0E84"/>
    <w:rsid w:val="007D3233"/>
    <w:rsid w:val="007D681B"/>
    <w:rsid w:val="007E1D85"/>
    <w:rsid w:val="007E4E5D"/>
    <w:rsid w:val="007F559B"/>
    <w:rsid w:val="00803517"/>
    <w:rsid w:val="00804A48"/>
    <w:rsid w:val="008106A7"/>
    <w:rsid w:val="0081154A"/>
    <w:rsid w:val="00814DFC"/>
    <w:rsid w:val="00820B36"/>
    <w:rsid w:val="00824A39"/>
    <w:rsid w:val="00827BB2"/>
    <w:rsid w:val="008329DA"/>
    <w:rsid w:val="00832A7E"/>
    <w:rsid w:val="00832C33"/>
    <w:rsid w:val="008330E7"/>
    <w:rsid w:val="008353A4"/>
    <w:rsid w:val="00835686"/>
    <w:rsid w:val="008407EF"/>
    <w:rsid w:val="008418F5"/>
    <w:rsid w:val="00842F4E"/>
    <w:rsid w:val="008451C8"/>
    <w:rsid w:val="00846C83"/>
    <w:rsid w:val="00847154"/>
    <w:rsid w:val="00862FA8"/>
    <w:rsid w:val="00863BB7"/>
    <w:rsid w:val="0086657B"/>
    <w:rsid w:val="008707C0"/>
    <w:rsid w:val="0087104B"/>
    <w:rsid w:val="008738F0"/>
    <w:rsid w:val="00881BDD"/>
    <w:rsid w:val="0088250D"/>
    <w:rsid w:val="008832E5"/>
    <w:rsid w:val="008872AB"/>
    <w:rsid w:val="008872D1"/>
    <w:rsid w:val="00891EB8"/>
    <w:rsid w:val="0089401D"/>
    <w:rsid w:val="00895628"/>
    <w:rsid w:val="00896B8C"/>
    <w:rsid w:val="00897669"/>
    <w:rsid w:val="008A6AA2"/>
    <w:rsid w:val="008B4D65"/>
    <w:rsid w:val="008C0181"/>
    <w:rsid w:val="008C6434"/>
    <w:rsid w:val="008D0B8D"/>
    <w:rsid w:val="008D4451"/>
    <w:rsid w:val="008D62B7"/>
    <w:rsid w:val="008E11E3"/>
    <w:rsid w:val="008E19AE"/>
    <w:rsid w:val="008E6895"/>
    <w:rsid w:val="008F0721"/>
    <w:rsid w:val="008F4165"/>
    <w:rsid w:val="00900B3C"/>
    <w:rsid w:val="00904FB5"/>
    <w:rsid w:val="00906C87"/>
    <w:rsid w:val="009106F7"/>
    <w:rsid w:val="00910E6A"/>
    <w:rsid w:val="0091136C"/>
    <w:rsid w:val="009128A3"/>
    <w:rsid w:val="00915BD5"/>
    <w:rsid w:val="009172C1"/>
    <w:rsid w:val="0092415B"/>
    <w:rsid w:val="00930D7D"/>
    <w:rsid w:val="00932FF7"/>
    <w:rsid w:val="00943F0E"/>
    <w:rsid w:val="0095047E"/>
    <w:rsid w:val="00950D7C"/>
    <w:rsid w:val="009536E1"/>
    <w:rsid w:val="00956101"/>
    <w:rsid w:val="0095765E"/>
    <w:rsid w:val="00957BAF"/>
    <w:rsid w:val="00962CD6"/>
    <w:rsid w:val="0096629A"/>
    <w:rsid w:val="00971E70"/>
    <w:rsid w:val="00974EE1"/>
    <w:rsid w:val="00980ED0"/>
    <w:rsid w:val="009832CC"/>
    <w:rsid w:val="00985761"/>
    <w:rsid w:val="00985916"/>
    <w:rsid w:val="00986783"/>
    <w:rsid w:val="00993A60"/>
    <w:rsid w:val="00993E89"/>
    <w:rsid w:val="009955C8"/>
    <w:rsid w:val="009A645B"/>
    <w:rsid w:val="009B014E"/>
    <w:rsid w:val="009B0E0E"/>
    <w:rsid w:val="009C6DBE"/>
    <w:rsid w:val="009D67EC"/>
    <w:rsid w:val="009D71D5"/>
    <w:rsid w:val="009D7CE0"/>
    <w:rsid w:val="009E1B8E"/>
    <w:rsid w:val="009E2887"/>
    <w:rsid w:val="009E56D6"/>
    <w:rsid w:val="009E5CB9"/>
    <w:rsid w:val="009F07F5"/>
    <w:rsid w:val="009F22EA"/>
    <w:rsid w:val="009F31F2"/>
    <w:rsid w:val="009F45A5"/>
    <w:rsid w:val="009F5A85"/>
    <w:rsid w:val="009F72B0"/>
    <w:rsid w:val="00A01C2E"/>
    <w:rsid w:val="00A02BB2"/>
    <w:rsid w:val="00A04052"/>
    <w:rsid w:val="00A04E7F"/>
    <w:rsid w:val="00A0709E"/>
    <w:rsid w:val="00A074C5"/>
    <w:rsid w:val="00A07B7D"/>
    <w:rsid w:val="00A12563"/>
    <w:rsid w:val="00A12A15"/>
    <w:rsid w:val="00A13FDE"/>
    <w:rsid w:val="00A2021D"/>
    <w:rsid w:val="00A2498C"/>
    <w:rsid w:val="00A25C08"/>
    <w:rsid w:val="00A26BB4"/>
    <w:rsid w:val="00A300B9"/>
    <w:rsid w:val="00A31019"/>
    <w:rsid w:val="00A37420"/>
    <w:rsid w:val="00A62244"/>
    <w:rsid w:val="00A63D19"/>
    <w:rsid w:val="00A66A19"/>
    <w:rsid w:val="00A67DAD"/>
    <w:rsid w:val="00A77D83"/>
    <w:rsid w:val="00A8021A"/>
    <w:rsid w:val="00A809F1"/>
    <w:rsid w:val="00A8360A"/>
    <w:rsid w:val="00A84EA1"/>
    <w:rsid w:val="00A86BD5"/>
    <w:rsid w:val="00A90DC8"/>
    <w:rsid w:val="00AA4618"/>
    <w:rsid w:val="00AA5E2F"/>
    <w:rsid w:val="00AA7317"/>
    <w:rsid w:val="00AC2C0B"/>
    <w:rsid w:val="00AC4905"/>
    <w:rsid w:val="00AD7584"/>
    <w:rsid w:val="00AE3AEF"/>
    <w:rsid w:val="00AE7922"/>
    <w:rsid w:val="00AF056B"/>
    <w:rsid w:val="00AF5C0F"/>
    <w:rsid w:val="00B008C4"/>
    <w:rsid w:val="00B01011"/>
    <w:rsid w:val="00B05BD1"/>
    <w:rsid w:val="00B10089"/>
    <w:rsid w:val="00B21CF0"/>
    <w:rsid w:val="00B22E50"/>
    <w:rsid w:val="00B36AE0"/>
    <w:rsid w:val="00B40E07"/>
    <w:rsid w:val="00B448DA"/>
    <w:rsid w:val="00B46F30"/>
    <w:rsid w:val="00B608C1"/>
    <w:rsid w:val="00B60D3D"/>
    <w:rsid w:val="00B61D95"/>
    <w:rsid w:val="00B62967"/>
    <w:rsid w:val="00B7231F"/>
    <w:rsid w:val="00B806DC"/>
    <w:rsid w:val="00B90532"/>
    <w:rsid w:val="00B90A1E"/>
    <w:rsid w:val="00B91443"/>
    <w:rsid w:val="00B9187F"/>
    <w:rsid w:val="00BA2BF3"/>
    <w:rsid w:val="00BA3091"/>
    <w:rsid w:val="00BA3EBE"/>
    <w:rsid w:val="00BB111F"/>
    <w:rsid w:val="00BB3050"/>
    <w:rsid w:val="00BB7831"/>
    <w:rsid w:val="00BC31BC"/>
    <w:rsid w:val="00BC6167"/>
    <w:rsid w:val="00BC6A01"/>
    <w:rsid w:val="00BE198F"/>
    <w:rsid w:val="00BE4435"/>
    <w:rsid w:val="00BE6B71"/>
    <w:rsid w:val="00C0294C"/>
    <w:rsid w:val="00C07BB3"/>
    <w:rsid w:val="00C153F2"/>
    <w:rsid w:val="00C16994"/>
    <w:rsid w:val="00C2000E"/>
    <w:rsid w:val="00C31424"/>
    <w:rsid w:val="00C31F6F"/>
    <w:rsid w:val="00C335EE"/>
    <w:rsid w:val="00C379C9"/>
    <w:rsid w:val="00C40D7D"/>
    <w:rsid w:val="00C422B8"/>
    <w:rsid w:val="00C566D6"/>
    <w:rsid w:val="00C63DF6"/>
    <w:rsid w:val="00C71E57"/>
    <w:rsid w:val="00C764D9"/>
    <w:rsid w:val="00C77910"/>
    <w:rsid w:val="00C839ED"/>
    <w:rsid w:val="00C84299"/>
    <w:rsid w:val="00C92F14"/>
    <w:rsid w:val="00C94B98"/>
    <w:rsid w:val="00C94D99"/>
    <w:rsid w:val="00C95A90"/>
    <w:rsid w:val="00C97365"/>
    <w:rsid w:val="00C978F5"/>
    <w:rsid w:val="00CA30B8"/>
    <w:rsid w:val="00CA4C1A"/>
    <w:rsid w:val="00CB7785"/>
    <w:rsid w:val="00CC08BA"/>
    <w:rsid w:val="00CC330A"/>
    <w:rsid w:val="00CC5727"/>
    <w:rsid w:val="00CC7DBD"/>
    <w:rsid w:val="00CD4385"/>
    <w:rsid w:val="00CD6935"/>
    <w:rsid w:val="00CE03ED"/>
    <w:rsid w:val="00CE7F7F"/>
    <w:rsid w:val="00CF1CC9"/>
    <w:rsid w:val="00CF3849"/>
    <w:rsid w:val="00D0233C"/>
    <w:rsid w:val="00D041C3"/>
    <w:rsid w:val="00D11462"/>
    <w:rsid w:val="00D14D61"/>
    <w:rsid w:val="00D16838"/>
    <w:rsid w:val="00D22A47"/>
    <w:rsid w:val="00D25CB4"/>
    <w:rsid w:val="00D26903"/>
    <w:rsid w:val="00D275FC"/>
    <w:rsid w:val="00D27635"/>
    <w:rsid w:val="00D3279D"/>
    <w:rsid w:val="00D3576E"/>
    <w:rsid w:val="00D40659"/>
    <w:rsid w:val="00D43297"/>
    <w:rsid w:val="00D46B0B"/>
    <w:rsid w:val="00D55ED8"/>
    <w:rsid w:val="00D60C5A"/>
    <w:rsid w:val="00D67A2F"/>
    <w:rsid w:val="00D704BF"/>
    <w:rsid w:val="00D70DB6"/>
    <w:rsid w:val="00D723BC"/>
    <w:rsid w:val="00D728B5"/>
    <w:rsid w:val="00D76048"/>
    <w:rsid w:val="00D81213"/>
    <w:rsid w:val="00D93997"/>
    <w:rsid w:val="00D93C80"/>
    <w:rsid w:val="00D9686A"/>
    <w:rsid w:val="00D96A8F"/>
    <w:rsid w:val="00DA16F7"/>
    <w:rsid w:val="00DA7AF8"/>
    <w:rsid w:val="00DB406A"/>
    <w:rsid w:val="00DB638E"/>
    <w:rsid w:val="00DB7FB0"/>
    <w:rsid w:val="00DC0D7B"/>
    <w:rsid w:val="00DD342A"/>
    <w:rsid w:val="00DD5E3A"/>
    <w:rsid w:val="00DD6F2B"/>
    <w:rsid w:val="00DD7BC5"/>
    <w:rsid w:val="00DE4FC7"/>
    <w:rsid w:val="00DF11A7"/>
    <w:rsid w:val="00DF3381"/>
    <w:rsid w:val="00DF42A7"/>
    <w:rsid w:val="00DF47EB"/>
    <w:rsid w:val="00DF4DB3"/>
    <w:rsid w:val="00E069BD"/>
    <w:rsid w:val="00E1156E"/>
    <w:rsid w:val="00E211ED"/>
    <w:rsid w:val="00E271CB"/>
    <w:rsid w:val="00E301D0"/>
    <w:rsid w:val="00E317B2"/>
    <w:rsid w:val="00E331B0"/>
    <w:rsid w:val="00E33FE3"/>
    <w:rsid w:val="00E34FE3"/>
    <w:rsid w:val="00E52C4C"/>
    <w:rsid w:val="00E55D6C"/>
    <w:rsid w:val="00E57396"/>
    <w:rsid w:val="00E70D66"/>
    <w:rsid w:val="00E7156C"/>
    <w:rsid w:val="00E720A4"/>
    <w:rsid w:val="00E75FFF"/>
    <w:rsid w:val="00E81A1B"/>
    <w:rsid w:val="00E81A86"/>
    <w:rsid w:val="00E84B55"/>
    <w:rsid w:val="00E85A7A"/>
    <w:rsid w:val="00E8607B"/>
    <w:rsid w:val="00E91073"/>
    <w:rsid w:val="00E926DA"/>
    <w:rsid w:val="00E93583"/>
    <w:rsid w:val="00EA2F86"/>
    <w:rsid w:val="00EA303C"/>
    <w:rsid w:val="00EA6D39"/>
    <w:rsid w:val="00EB1D97"/>
    <w:rsid w:val="00EB32A3"/>
    <w:rsid w:val="00EB41C1"/>
    <w:rsid w:val="00EC480E"/>
    <w:rsid w:val="00EC4E42"/>
    <w:rsid w:val="00ED6687"/>
    <w:rsid w:val="00EE04FB"/>
    <w:rsid w:val="00EE5847"/>
    <w:rsid w:val="00EF4C53"/>
    <w:rsid w:val="00EF6A82"/>
    <w:rsid w:val="00F0002B"/>
    <w:rsid w:val="00F006F1"/>
    <w:rsid w:val="00F05540"/>
    <w:rsid w:val="00F07350"/>
    <w:rsid w:val="00F07B7B"/>
    <w:rsid w:val="00F159EB"/>
    <w:rsid w:val="00F2194A"/>
    <w:rsid w:val="00F23B95"/>
    <w:rsid w:val="00F34699"/>
    <w:rsid w:val="00F40388"/>
    <w:rsid w:val="00F42D3C"/>
    <w:rsid w:val="00F47A74"/>
    <w:rsid w:val="00F51CF3"/>
    <w:rsid w:val="00F56F75"/>
    <w:rsid w:val="00F6012B"/>
    <w:rsid w:val="00F63389"/>
    <w:rsid w:val="00F66503"/>
    <w:rsid w:val="00F665E0"/>
    <w:rsid w:val="00F74FD2"/>
    <w:rsid w:val="00F75EFE"/>
    <w:rsid w:val="00F80539"/>
    <w:rsid w:val="00F91977"/>
    <w:rsid w:val="00F97B57"/>
    <w:rsid w:val="00FA3373"/>
    <w:rsid w:val="00FA4F7C"/>
    <w:rsid w:val="00FB0456"/>
    <w:rsid w:val="00FB0B73"/>
    <w:rsid w:val="00FB47F4"/>
    <w:rsid w:val="00FB5189"/>
    <w:rsid w:val="00FC17F4"/>
    <w:rsid w:val="00FC4892"/>
    <w:rsid w:val="00FD2B12"/>
    <w:rsid w:val="00FD2B9F"/>
    <w:rsid w:val="00FD4591"/>
    <w:rsid w:val="00FD6FA9"/>
    <w:rsid w:val="00FD7880"/>
    <w:rsid w:val="00FE6A52"/>
    <w:rsid w:val="00FF5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BFD14"/>
  <w15:chartTrackingRefBased/>
  <w15:docId w15:val="{CD01D2F2-8C70-4F99-A0C5-C67F6C2E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customStyle="1" w:styleId="a3">
    <w:name w:val="Обычный (веб)"/>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customStyle="1" w:styleId="af5">
    <w:name w:val="Название"/>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Название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a">
    <w:name w:val="Table Grid"/>
    <w:basedOn w:val="a1"/>
    <w:uiPriority w:val="59"/>
    <w:rsid w:val="00231A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annotation subject"/>
    <w:basedOn w:val="af8"/>
    <w:next w:val="af8"/>
    <w:link w:val="afc"/>
    <w:uiPriority w:val="99"/>
    <w:semiHidden/>
    <w:unhideWhenUsed/>
    <w:rsid w:val="004926ED"/>
    <w:pPr>
      <w:spacing w:after="200" w:line="276" w:lineRule="auto"/>
    </w:pPr>
    <w:rPr>
      <w:rFonts w:ascii="Calibri" w:eastAsia="Calibri" w:hAnsi="Calibri" w:cs="Times New Roman"/>
      <w:b/>
      <w:bCs/>
      <w:lang w:val="ru-RU" w:eastAsia="en-US" w:bidi="ar-SA"/>
    </w:rPr>
  </w:style>
  <w:style w:type="character" w:customStyle="1" w:styleId="afc">
    <w:name w:val="Тема примечания Знак"/>
    <w:link w:val="afb"/>
    <w:uiPriority w:val="99"/>
    <w:semiHidden/>
    <w:rsid w:val="004926ED"/>
    <w:rPr>
      <w:rFonts w:ascii="Times New Roman" w:eastAsia="Times New Roman" w:hAnsi="Times New Roman" w:cs="Arial Unicode MS"/>
      <w:b/>
      <w:bCs/>
      <w:lang w:val="en-GB" w:eastAsia="en-US" w:bidi="ml-IN"/>
    </w:rPr>
  </w:style>
  <w:style w:type="character" w:styleId="afd">
    <w:name w:val="Unresolved Mention"/>
    <w:basedOn w:val="a0"/>
    <w:uiPriority w:val="99"/>
    <w:semiHidden/>
    <w:unhideWhenUsed/>
    <w:rsid w:val="00483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image" Target="media/image6.png"/><Relationship Id="rId18" Type="http://schemas.openxmlformats.org/officeDocument/2006/relationships/hyperlink" Target="mailto:bdrpharma@vsnl.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ndda.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mailto:irina.volovnikova@gmail.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28FBF-38D5-4EF6-AEA6-3CA693B5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15976</Words>
  <Characters>91065</Characters>
  <Application>Microsoft Office Word</Application>
  <DocSecurity>0</DocSecurity>
  <Lines>758</Lines>
  <Paragraphs>213</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106828</CharactersWithSpaces>
  <SharedDoc>false</SharedDoc>
  <HLinks>
    <vt:vector size="18" baseType="variant">
      <vt:variant>
        <vt:i4>7667774</vt:i4>
      </vt:variant>
      <vt:variant>
        <vt:i4>6</vt:i4>
      </vt:variant>
      <vt:variant>
        <vt:i4>0</vt:i4>
      </vt:variant>
      <vt:variant>
        <vt:i4>5</vt:i4>
      </vt:variant>
      <vt:variant>
        <vt:lpwstr>http://www.ndda.kz/</vt:lpwstr>
      </vt:variant>
      <vt:variant>
        <vt:lpwstr/>
      </vt: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Liliia O. Ovsiannikova</dc:creator>
  <cp:keywords/>
  <cp:lastModifiedBy>Praveen Kanumuru</cp:lastModifiedBy>
  <cp:revision>3</cp:revision>
  <cp:lastPrinted>2019-11-18T06:17:00Z</cp:lastPrinted>
  <dcterms:created xsi:type="dcterms:W3CDTF">2025-06-19T03:39:00Z</dcterms:created>
  <dcterms:modified xsi:type="dcterms:W3CDTF">2025-08-06T09:54:00Z</dcterms:modified>
</cp:coreProperties>
</file>