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785"/>
        <w:gridCol w:w="4535"/>
        <w:gridCol w:w="4538"/>
      </w:tblGrid>
      <w:tr w:rsidR="00607595" w:rsidRPr="00306051" w14:paraId="69CFC176" w14:textId="77777777">
        <w:tc>
          <w:tcPr>
            <w:tcW w:w="4785" w:type="dxa"/>
            <w:shd w:val="clear" w:color="auto" w:fill="auto"/>
          </w:tcPr>
          <w:p w14:paraId="365C1898" w14:textId="77777777" w:rsidR="00607595" w:rsidRPr="005474EB" w:rsidRDefault="00607595">
            <w:pPr>
              <w:pStyle w:val="2"/>
              <w:snapToGrid w:val="0"/>
              <w:spacing w:line="100" w:lineRule="atLeast"/>
              <w:rPr>
                <w:rFonts w:eastAsia="Batang"/>
                <w:sz w:val="24"/>
                <w:szCs w:val="24"/>
              </w:rPr>
            </w:pPr>
          </w:p>
        </w:tc>
        <w:tc>
          <w:tcPr>
            <w:tcW w:w="4535" w:type="dxa"/>
            <w:shd w:val="clear" w:color="auto" w:fill="auto"/>
          </w:tcPr>
          <w:p w14:paraId="06285B29" w14:textId="77777777" w:rsidR="002B67EE" w:rsidRPr="00306051" w:rsidRDefault="002B67EE" w:rsidP="002B67EE">
            <w:pPr>
              <w:widowControl w:val="0"/>
              <w:spacing w:after="0" w:line="100" w:lineRule="atLeast"/>
              <w:ind w:left="882"/>
              <w:rPr>
                <w:rFonts w:ascii="Times New Roman" w:hAnsi="Times New Roman" w:cs="Times New Roman"/>
                <w:sz w:val="24"/>
                <w:szCs w:val="24"/>
                <w:lang w:val="kk-KZ"/>
              </w:rPr>
            </w:pPr>
            <w:r w:rsidRPr="00306051">
              <w:rPr>
                <w:rFonts w:ascii="Times New Roman" w:hAnsi="Times New Roman" w:cs="Times New Roman"/>
                <w:sz w:val="24"/>
                <w:szCs w:val="24"/>
                <w:lang w:val="kk-KZ"/>
              </w:rPr>
              <w:t>«Қазақстан Республикасы</w:t>
            </w:r>
          </w:p>
          <w:p w14:paraId="553DE280" w14:textId="77777777" w:rsidR="002B67EE" w:rsidRPr="00306051" w:rsidRDefault="002B67EE" w:rsidP="002B67EE">
            <w:pPr>
              <w:widowControl w:val="0"/>
              <w:spacing w:after="0" w:line="100" w:lineRule="atLeast"/>
              <w:ind w:left="882"/>
              <w:rPr>
                <w:rFonts w:ascii="Times New Roman" w:hAnsi="Times New Roman" w:cs="Times New Roman"/>
                <w:sz w:val="24"/>
                <w:szCs w:val="24"/>
                <w:lang w:val="kk-KZ"/>
              </w:rPr>
            </w:pPr>
            <w:r w:rsidRPr="00306051">
              <w:rPr>
                <w:rFonts w:ascii="Times New Roman" w:hAnsi="Times New Roman" w:cs="Times New Roman"/>
                <w:sz w:val="24"/>
                <w:szCs w:val="24"/>
                <w:lang w:val="kk-KZ"/>
              </w:rPr>
              <w:t>Денсаулық сақтау министрлігі</w:t>
            </w:r>
          </w:p>
          <w:p w14:paraId="42272197" w14:textId="77777777" w:rsidR="002B67EE" w:rsidRPr="00306051" w:rsidRDefault="002B67EE" w:rsidP="002B67EE">
            <w:pPr>
              <w:widowControl w:val="0"/>
              <w:spacing w:after="0" w:line="100" w:lineRule="atLeast"/>
              <w:ind w:left="882"/>
              <w:rPr>
                <w:rFonts w:ascii="Times New Roman" w:hAnsi="Times New Roman" w:cs="Times New Roman"/>
                <w:sz w:val="24"/>
                <w:szCs w:val="24"/>
                <w:lang w:val="kk-KZ"/>
              </w:rPr>
            </w:pPr>
            <w:r w:rsidRPr="00306051">
              <w:rPr>
                <w:rFonts w:ascii="Times New Roman" w:hAnsi="Times New Roman" w:cs="Times New Roman"/>
                <w:sz w:val="24"/>
                <w:szCs w:val="24"/>
                <w:lang w:val="kk-KZ"/>
              </w:rPr>
              <w:t xml:space="preserve">Медициналық және </w:t>
            </w:r>
          </w:p>
          <w:p w14:paraId="72407691" w14:textId="77777777" w:rsidR="002B67EE" w:rsidRPr="00306051" w:rsidRDefault="002B67EE" w:rsidP="002B67EE">
            <w:pPr>
              <w:widowControl w:val="0"/>
              <w:spacing w:after="0" w:line="100" w:lineRule="atLeast"/>
              <w:ind w:left="882"/>
              <w:rPr>
                <w:rFonts w:ascii="Times New Roman" w:hAnsi="Times New Roman" w:cs="Times New Roman"/>
                <w:sz w:val="24"/>
                <w:szCs w:val="24"/>
                <w:lang w:val="kk-KZ"/>
              </w:rPr>
            </w:pPr>
            <w:r w:rsidRPr="00306051">
              <w:rPr>
                <w:rFonts w:ascii="Times New Roman" w:hAnsi="Times New Roman" w:cs="Times New Roman"/>
                <w:sz w:val="24"/>
                <w:szCs w:val="24"/>
                <w:lang w:val="kk-KZ"/>
              </w:rPr>
              <w:t>фармацевтикалық бақылау</w:t>
            </w:r>
          </w:p>
          <w:p w14:paraId="2E119B47" w14:textId="77777777" w:rsidR="002B67EE" w:rsidRPr="00306051" w:rsidRDefault="002B67EE" w:rsidP="002B67EE">
            <w:pPr>
              <w:widowControl w:val="0"/>
              <w:spacing w:after="0" w:line="100" w:lineRule="atLeast"/>
              <w:ind w:left="882"/>
              <w:rPr>
                <w:rFonts w:ascii="Times New Roman" w:hAnsi="Times New Roman" w:cs="Times New Roman"/>
                <w:sz w:val="24"/>
                <w:szCs w:val="24"/>
                <w:lang w:val="kk-KZ"/>
              </w:rPr>
            </w:pPr>
            <w:r w:rsidRPr="00306051">
              <w:rPr>
                <w:rFonts w:ascii="Times New Roman" w:hAnsi="Times New Roman" w:cs="Times New Roman"/>
                <w:sz w:val="24"/>
                <w:szCs w:val="24"/>
                <w:lang w:val="kk-KZ"/>
              </w:rPr>
              <w:t>комитеті» РММ төрағасының</w:t>
            </w:r>
          </w:p>
          <w:p w14:paraId="398444BE" w14:textId="77777777" w:rsidR="007A5E44" w:rsidRPr="007A5E44" w:rsidRDefault="007A5E44" w:rsidP="007A5E44">
            <w:pPr>
              <w:widowControl w:val="0"/>
              <w:spacing w:after="0" w:line="100" w:lineRule="atLeast"/>
              <w:ind w:left="882"/>
              <w:rPr>
                <w:rFonts w:ascii="Times New Roman" w:hAnsi="Times New Roman" w:cs="Times New Roman"/>
                <w:sz w:val="24"/>
                <w:szCs w:val="24"/>
                <w:lang w:val="kk-KZ"/>
              </w:rPr>
            </w:pPr>
            <w:r w:rsidRPr="007A5E44">
              <w:rPr>
                <w:rFonts w:ascii="Times New Roman" w:hAnsi="Times New Roman" w:cs="Times New Roman"/>
                <w:sz w:val="24"/>
                <w:szCs w:val="24"/>
                <w:lang w:val="kk-KZ"/>
              </w:rPr>
              <w:t>2023 ж. «02» 05</w:t>
            </w:r>
          </w:p>
          <w:p w14:paraId="3D32CEE8" w14:textId="224DFC13" w:rsidR="002B67EE" w:rsidRPr="00306051" w:rsidRDefault="007A5E44" w:rsidP="007A5E44">
            <w:pPr>
              <w:widowControl w:val="0"/>
              <w:spacing w:after="0" w:line="100" w:lineRule="atLeast"/>
              <w:ind w:left="882"/>
              <w:rPr>
                <w:rFonts w:ascii="Times New Roman" w:hAnsi="Times New Roman" w:cs="Times New Roman"/>
                <w:sz w:val="24"/>
                <w:szCs w:val="24"/>
                <w:lang w:val="kk-KZ"/>
              </w:rPr>
            </w:pPr>
            <w:r w:rsidRPr="007A5E44">
              <w:rPr>
                <w:rFonts w:ascii="Times New Roman" w:hAnsi="Times New Roman" w:cs="Times New Roman"/>
                <w:sz w:val="24"/>
                <w:szCs w:val="24"/>
                <w:lang w:val="kk-KZ"/>
              </w:rPr>
              <w:t>№ N062893</w:t>
            </w:r>
            <w:r w:rsidR="002B67EE" w:rsidRPr="00306051">
              <w:rPr>
                <w:rFonts w:ascii="Times New Roman" w:hAnsi="Times New Roman" w:cs="Times New Roman"/>
                <w:sz w:val="24"/>
                <w:szCs w:val="24"/>
                <w:lang w:val="kk-KZ"/>
              </w:rPr>
              <w:t xml:space="preserve"> бұйрығымен</w:t>
            </w:r>
          </w:p>
          <w:p w14:paraId="61387086" w14:textId="77777777" w:rsidR="00607595" w:rsidRPr="00306051" w:rsidRDefault="002B67EE" w:rsidP="002B67EE">
            <w:pPr>
              <w:spacing w:after="0" w:line="100" w:lineRule="atLeast"/>
              <w:ind w:left="882"/>
              <w:jc w:val="both"/>
              <w:rPr>
                <w:rFonts w:ascii="Times New Roman" w:hAnsi="Times New Roman" w:cs="Times New Roman"/>
                <w:b/>
                <w:bCs/>
                <w:sz w:val="24"/>
                <w:szCs w:val="24"/>
                <w:lang w:val="uk-UA"/>
              </w:rPr>
            </w:pPr>
            <w:r w:rsidRPr="00306051">
              <w:rPr>
                <w:rFonts w:ascii="Times New Roman" w:hAnsi="Times New Roman" w:cs="Times New Roman"/>
                <w:b/>
                <w:bCs/>
                <w:sz w:val="24"/>
                <w:szCs w:val="24"/>
                <w:lang w:val="kk-KZ"/>
              </w:rPr>
              <w:t>БЕКІТІЛГЕН</w:t>
            </w:r>
          </w:p>
        </w:tc>
        <w:tc>
          <w:tcPr>
            <w:tcW w:w="4538" w:type="dxa"/>
            <w:shd w:val="clear" w:color="auto" w:fill="auto"/>
          </w:tcPr>
          <w:p w14:paraId="4D41A124" w14:textId="77777777" w:rsidR="00607595" w:rsidRPr="00306051" w:rsidRDefault="00607595">
            <w:pPr>
              <w:widowControl w:val="0"/>
              <w:spacing w:after="0" w:line="100" w:lineRule="atLeast"/>
              <w:jc w:val="center"/>
              <w:rPr>
                <w:lang w:val="kk-KZ"/>
              </w:rPr>
            </w:pPr>
            <w:r w:rsidRPr="00306051">
              <w:rPr>
                <w:rFonts w:ascii="Times New Roman" w:hAnsi="Times New Roman" w:cs="Times New Roman"/>
                <w:b/>
                <w:sz w:val="24"/>
                <w:szCs w:val="24"/>
                <w:lang w:val="uk-UA"/>
              </w:rPr>
              <w:t xml:space="preserve"> </w:t>
            </w:r>
          </w:p>
        </w:tc>
      </w:tr>
      <w:tr w:rsidR="00607595" w:rsidRPr="00306051" w14:paraId="7CE68801" w14:textId="77777777">
        <w:trPr>
          <w:trHeight w:val="106"/>
        </w:trPr>
        <w:tc>
          <w:tcPr>
            <w:tcW w:w="4785" w:type="dxa"/>
            <w:shd w:val="clear" w:color="auto" w:fill="auto"/>
          </w:tcPr>
          <w:p w14:paraId="623DAE79" w14:textId="77777777" w:rsidR="00607595" w:rsidRPr="00306051" w:rsidRDefault="00607595">
            <w:pPr>
              <w:widowControl w:val="0"/>
              <w:snapToGrid w:val="0"/>
              <w:spacing w:after="0" w:line="100" w:lineRule="atLeast"/>
              <w:rPr>
                <w:rFonts w:ascii="Times New Roman" w:eastAsia="Batang" w:hAnsi="Times New Roman" w:cs="Times New Roman"/>
                <w:sz w:val="24"/>
                <w:szCs w:val="24"/>
                <w:lang w:val="uk-UA"/>
              </w:rPr>
            </w:pPr>
          </w:p>
        </w:tc>
        <w:tc>
          <w:tcPr>
            <w:tcW w:w="4535" w:type="dxa"/>
            <w:shd w:val="clear" w:color="auto" w:fill="auto"/>
          </w:tcPr>
          <w:p w14:paraId="735B334B" w14:textId="77777777" w:rsidR="00607595" w:rsidRPr="00306051" w:rsidRDefault="00607595">
            <w:pPr>
              <w:widowControl w:val="0"/>
              <w:snapToGrid w:val="0"/>
              <w:spacing w:after="0" w:line="100" w:lineRule="atLeast"/>
              <w:rPr>
                <w:rFonts w:ascii="Times New Roman" w:hAnsi="Times New Roman" w:cs="Times New Roman"/>
                <w:sz w:val="24"/>
                <w:szCs w:val="24"/>
                <w:lang w:val="uk-UA"/>
              </w:rPr>
            </w:pPr>
          </w:p>
        </w:tc>
        <w:tc>
          <w:tcPr>
            <w:tcW w:w="4538" w:type="dxa"/>
            <w:shd w:val="clear" w:color="auto" w:fill="auto"/>
          </w:tcPr>
          <w:p w14:paraId="0CCBAE33" w14:textId="77777777" w:rsidR="00607595" w:rsidRPr="00306051" w:rsidRDefault="00607595">
            <w:pPr>
              <w:widowControl w:val="0"/>
              <w:snapToGrid w:val="0"/>
              <w:spacing w:after="0" w:line="100" w:lineRule="atLeast"/>
              <w:jc w:val="right"/>
              <w:rPr>
                <w:rFonts w:ascii="Times New Roman" w:hAnsi="Times New Roman" w:cs="Times New Roman"/>
                <w:sz w:val="24"/>
                <w:szCs w:val="24"/>
                <w:lang w:val="uk-UA"/>
              </w:rPr>
            </w:pPr>
          </w:p>
        </w:tc>
      </w:tr>
    </w:tbl>
    <w:p w14:paraId="32FC9862" w14:textId="77777777" w:rsidR="00607595" w:rsidRPr="00306051" w:rsidRDefault="00607595">
      <w:pPr>
        <w:spacing w:after="0" w:line="100" w:lineRule="atLeast"/>
        <w:jc w:val="center"/>
        <w:rPr>
          <w:rFonts w:ascii="Times New Roman" w:hAnsi="Times New Roman" w:cs="Times New Roman"/>
          <w:b/>
          <w:sz w:val="24"/>
          <w:szCs w:val="24"/>
          <w:lang w:val="kk-KZ"/>
        </w:rPr>
      </w:pPr>
      <w:r w:rsidRPr="00306051">
        <w:rPr>
          <w:rFonts w:ascii="Times New Roman" w:hAnsi="Times New Roman" w:cs="Times New Roman"/>
          <w:b/>
          <w:sz w:val="24"/>
          <w:szCs w:val="24"/>
          <w:lang w:val="kk-KZ"/>
        </w:rPr>
        <w:t>ДӘРІЛІК  ПРЕПАРАТТЫҢ ЖАЛПЫ СИПАТТАМАСЫ</w:t>
      </w:r>
    </w:p>
    <w:p w14:paraId="1F6EB18F" w14:textId="77777777" w:rsidR="00607595" w:rsidRPr="00306051" w:rsidRDefault="00607595">
      <w:pPr>
        <w:spacing w:after="0" w:line="100" w:lineRule="atLeast"/>
        <w:rPr>
          <w:rFonts w:ascii="Times New Roman" w:hAnsi="Times New Roman" w:cs="Times New Roman"/>
          <w:b/>
          <w:sz w:val="24"/>
          <w:szCs w:val="24"/>
          <w:lang w:val="kk-KZ"/>
        </w:rPr>
      </w:pPr>
    </w:p>
    <w:p w14:paraId="749E7923" w14:textId="77777777" w:rsidR="00607595" w:rsidRPr="00306051" w:rsidRDefault="00607595">
      <w:pPr>
        <w:pStyle w:val="1c"/>
        <w:numPr>
          <w:ilvl w:val="0"/>
          <w:numId w:val="4"/>
        </w:numPr>
        <w:tabs>
          <w:tab w:val="left" w:pos="284"/>
        </w:tabs>
        <w:spacing w:after="0" w:line="100" w:lineRule="atLeast"/>
        <w:ind w:left="0" w:firstLine="0"/>
        <w:jc w:val="both"/>
        <w:rPr>
          <w:rFonts w:ascii="Times New Roman" w:hAnsi="Times New Roman" w:cs="Times New Roman"/>
          <w:sz w:val="24"/>
          <w:szCs w:val="24"/>
        </w:rPr>
      </w:pPr>
      <w:r w:rsidRPr="00306051">
        <w:rPr>
          <w:rFonts w:ascii="Times New Roman" w:hAnsi="Times New Roman" w:cs="Times New Roman"/>
          <w:b/>
          <w:sz w:val="24"/>
          <w:szCs w:val="24"/>
          <w:lang w:val="kk-KZ"/>
        </w:rPr>
        <w:t>ДӘРІЛІК ПРЕПАРАТТЫҢ АТАУЫ</w:t>
      </w:r>
    </w:p>
    <w:p w14:paraId="7E9A2AC6" w14:textId="77777777" w:rsidR="00607595" w:rsidRPr="00306051" w:rsidRDefault="00607595">
      <w:pPr>
        <w:spacing w:after="0" w:line="100" w:lineRule="atLeast"/>
        <w:jc w:val="both"/>
        <w:rPr>
          <w:rFonts w:ascii="Times New Roman" w:hAnsi="Times New Roman" w:cs="Times New Roman"/>
          <w:sz w:val="24"/>
          <w:szCs w:val="24"/>
        </w:rPr>
      </w:pPr>
      <w:proofErr w:type="spellStart"/>
      <w:r w:rsidRPr="00306051">
        <w:rPr>
          <w:rFonts w:ascii="Times New Roman" w:hAnsi="Times New Roman" w:cs="Times New Roman"/>
          <w:sz w:val="24"/>
          <w:szCs w:val="24"/>
        </w:rPr>
        <w:t>Эмтрицитабин</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және</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фумарат</w:t>
      </w:r>
      <w:proofErr w:type="spellEnd"/>
      <w:r w:rsidRPr="00306051">
        <w:rPr>
          <w:rFonts w:ascii="Times New Roman" w:hAnsi="Times New Roman" w:cs="Times New Roman"/>
          <w:sz w:val="24"/>
          <w:szCs w:val="24"/>
          <w:lang w:val="kk-KZ"/>
        </w:rPr>
        <w:t>ы</w:t>
      </w:r>
      <w:r w:rsidRPr="00306051">
        <w:rPr>
          <w:rFonts w:ascii="Times New Roman" w:hAnsi="Times New Roman" w:cs="Times New Roman"/>
          <w:sz w:val="24"/>
          <w:szCs w:val="24"/>
        </w:rPr>
        <w:t xml:space="preserve">, 200 мг/300 мг, </w:t>
      </w:r>
      <w:r w:rsidRPr="00306051">
        <w:rPr>
          <w:rFonts w:ascii="Times New Roman" w:hAnsi="Times New Roman" w:cs="Times New Roman"/>
          <w:sz w:val="24"/>
          <w:szCs w:val="24"/>
          <w:lang w:val="kk-KZ"/>
        </w:rPr>
        <w:t>үлбірлі қабықпен қапталған таблеткалар</w:t>
      </w:r>
      <w:r w:rsidRPr="00306051">
        <w:rPr>
          <w:rFonts w:ascii="Times New Roman" w:hAnsi="Times New Roman" w:cs="Times New Roman"/>
          <w:sz w:val="24"/>
          <w:szCs w:val="24"/>
        </w:rPr>
        <w:t xml:space="preserve"> </w:t>
      </w:r>
    </w:p>
    <w:p w14:paraId="7B67DFE4" w14:textId="77777777" w:rsidR="00607595" w:rsidRPr="00306051" w:rsidRDefault="00607595">
      <w:pPr>
        <w:spacing w:after="0" w:line="100" w:lineRule="atLeast"/>
        <w:jc w:val="both"/>
        <w:rPr>
          <w:rFonts w:ascii="Times New Roman" w:hAnsi="Times New Roman" w:cs="Times New Roman"/>
          <w:sz w:val="24"/>
          <w:szCs w:val="24"/>
        </w:rPr>
      </w:pPr>
    </w:p>
    <w:p w14:paraId="5B0538AB" w14:textId="77777777" w:rsidR="00607595" w:rsidRPr="00306051" w:rsidRDefault="00607595">
      <w:pPr>
        <w:spacing w:after="0" w:line="100" w:lineRule="atLeast"/>
        <w:jc w:val="both"/>
        <w:rPr>
          <w:rFonts w:ascii="Times New Roman" w:eastAsia="TimesNewRomanPSMT" w:hAnsi="Times New Roman" w:cs="Times New Roman"/>
          <w:sz w:val="24"/>
          <w:szCs w:val="24"/>
        </w:rPr>
      </w:pPr>
      <w:r w:rsidRPr="00306051">
        <w:rPr>
          <w:rFonts w:ascii="Times New Roman" w:hAnsi="Times New Roman" w:cs="Times New Roman"/>
          <w:b/>
          <w:sz w:val="24"/>
          <w:szCs w:val="24"/>
        </w:rPr>
        <w:t xml:space="preserve">2. </w:t>
      </w:r>
      <w:r w:rsidRPr="00306051">
        <w:rPr>
          <w:rFonts w:ascii="Times New Roman" w:hAnsi="Times New Roman" w:cs="Times New Roman"/>
          <w:b/>
          <w:sz w:val="24"/>
          <w:szCs w:val="24"/>
          <w:lang w:val="kk-KZ"/>
        </w:rPr>
        <w:t>САПАЛЫҚ ЖӘНЕ САНДЫҚ ҚҰРАМЫ</w:t>
      </w:r>
    </w:p>
    <w:p w14:paraId="725BE849" w14:textId="77777777" w:rsidR="00607595" w:rsidRPr="00306051" w:rsidRDefault="00607595">
      <w:pPr>
        <w:widowControl w:val="0"/>
        <w:spacing w:after="0" w:line="100" w:lineRule="atLeast"/>
        <w:ind w:left="2977" w:hanging="2977"/>
        <w:jc w:val="both"/>
        <w:rPr>
          <w:rFonts w:ascii="Times New Roman" w:eastAsia="Times New Roman" w:hAnsi="Times New Roman" w:cs="Times New Roman"/>
          <w:b/>
          <w:bCs/>
          <w:sz w:val="24"/>
          <w:szCs w:val="24"/>
        </w:rPr>
      </w:pPr>
      <w:r w:rsidRPr="00306051">
        <w:rPr>
          <w:rFonts w:ascii="Times New Roman" w:eastAsia="TimesNewRomanPSMT" w:hAnsi="Times New Roman" w:cs="Times New Roman"/>
          <w:b/>
          <w:bCs/>
          <w:sz w:val="24"/>
          <w:szCs w:val="24"/>
        </w:rPr>
        <w:t xml:space="preserve">2.1 </w:t>
      </w:r>
      <w:r w:rsidRPr="00306051">
        <w:rPr>
          <w:rFonts w:ascii="Times New Roman" w:eastAsia="TimesNewRomanPSMT" w:hAnsi="Times New Roman" w:cs="Times New Roman"/>
          <w:b/>
          <w:bCs/>
          <w:sz w:val="24"/>
          <w:szCs w:val="24"/>
          <w:lang w:val="kk-KZ"/>
        </w:rPr>
        <w:t>Жалпы сипаттамасы</w:t>
      </w:r>
      <w:r w:rsidRPr="00306051">
        <w:rPr>
          <w:rFonts w:ascii="Times New Roman" w:eastAsia="Times New Roman" w:hAnsi="Times New Roman" w:cs="Times New Roman"/>
          <w:b/>
          <w:bCs/>
          <w:sz w:val="24"/>
          <w:szCs w:val="24"/>
        </w:rPr>
        <w:t xml:space="preserve"> </w:t>
      </w:r>
    </w:p>
    <w:p w14:paraId="4AEB3580" w14:textId="77777777" w:rsidR="00607595" w:rsidRPr="00306051" w:rsidRDefault="00607595">
      <w:pPr>
        <w:widowControl w:val="0"/>
        <w:spacing w:after="0" w:line="100" w:lineRule="atLeast"/>
        <w:ind w:left="2977" w:hanging="2977"/>
        <w:jc w:val="both"/>
        <w:rPr>
          <w:rFonts w:ascii="Times New Roman" w:eastAsia="TimesNewRomanPSMT" w:hAnsi="Times New Roman" w:cs="Times New Roman"/>
          <w:sz w:val="24"/>
          <w:szCs w:val="24"/>
          <w:lang w:val="kk-KZ"/>
        </w:rPr>
      </w:pPr>
      <w:proofErr w:type="spellStart"/>
      <w:r w:rsidRPr="00306051">
        <w:rPr>
          <w:rFonts w:ascii="Times New Roman" w:eastAsia="Times New Roman" w:hAnsi="Times New Roman" w:cs="Times New Roman"/>
          <w:bCs/>
          <w:sz w:val="24"/>
          <w:szCs w:val="24"/>
        </w:rPr>
        <w:t>Эмтрицитабин</w:t>
      </w:r>
      <w:proofErr w:type="spellEnd"/>
      <w:r w:rsidRPr="00306051">
        <w:rPr>
          <w:rFonts w:ascii="Times New Roman" w:eastAsia="Times New Roman" w:hAnsi="Times New Roman" w:cs="Times New Roman"/>
          <w:bCs/>
          <w:sz w:val="24"/>
          <w:szCs w:val="24"/>
        </w:rPr>
        <w:t xml:space="preserve"> </w:t>
      </w:r>
      <w:r w:rsidRPr="00306051">
        <w:rPr>
          <w:rFonts w:ascii="Times New Roman" w:eastAsia="Times New Roman" w:hAnsi="Times New Roman" w:cs="Times New Roman"/>
          <w:bCs/>
          <w:sz w:val="24"/>
          <w:szCs w:val="24"/>
          <w:lang w:val="kk-KZ"/>
        </w:rPr>
        <w:t>және</w:t>
      </w:r>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тенофовир</w:t>
      </w:r>
      <w:proofErr w:type="spellEnd"/>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дизопроксил</w:t>
      </w:r>
      <w:proofErr w:type="spellEnd"/>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фумарат</w:t>
      </w:r>
      <w:proofErr w:type="spellEnd"/>
      <w:r w:rsidRPr="00306051">
        <w:rPr>
          <w:rFonts w:ascii="Times New Roman" w:eastAsia="Times New Roman" w:hAnsi="Times New Roman" w:cs="Times New Roman"/>
          <w:bCs/>
          <w:sz w:val="24"/>
          <w:szCs w:val="24"/>
          <w:lang w:val="kk-KZ"/>
        </w:rPr>
        <w:t>ы</w:t>
      </w:r>
    </w:p>
    <w:p w14:paraId="3C704871" w14:textId="77777777" w:rsidR="00607595" w:rsidRPr="00306051" w:rsidRDefault="00607595">
      <w:pPr>
        <w:widowControl w:val="0"/>
        <w:spacing w:after="0" w:line="100" w:lineRule="atLeast"/>
        <w:jc w:val="both"/>
        <w:rPr>
          <w:rFonts w:ascii="Times New Roman" w:hAnsi="Times New Roman" w:cs="Times New Roman"/>
          <w:b/>
          <w:bCs/>
          <w:sz w:val="24"/>
          <w:szCs w:val="24"/>
          <w:lang w:val="kk-KZ"/>
        </w:rPr>
      </w:pPr>
      <w:r w:rsidRPr="00306051">
        <w:rPr>
          <w:rFonts w:ascii="Times New Roman" w:eastAsia="TimesNewRomanPSMT" w:hAnsi="Times New Roman" w:cs="Times New Roman"/>
          <w:b/>
          <w:bCs/>
          <w:sz w:val="24"/>
          <w:szCs w:val="24"/>
          <w:lang w:val="kk-KZ"/>
        </w:rPr>
        <w:t>2.2 Сапалық және сандық құрамы</w:t>
      </w:r>
    </w:p>
    <w:p w14:paraId="3A97E1D4" w14:textId="77777777" w:rsidR="00607595" w:rsidRPr="00306051" w:rsidRDefault="00607595">
      <w:pPr>
        <w:spacing w:after="0" w:line="100" w:lineRule="atLeast"/>
        <w:jc w:val="both"/>
        <w:rPr>
          <w:rFonts w:ascii="Times New Roman" w:eastAsia="Times New Roman" w:hAnsi="Times New Roman" w:cs="Times New Roman"/>
          <w:bCs/>
          <w:i/>
          <w:sz w:val="24"/>
          <w:szCs w:val="24"/>
          <w:lang w:val="kk-KZ"/>
        </w:rPr>
      </w:pPr>
      <w:r w:rsidRPr="00306051">
        <w:rPr>
          <w:rFonts w:ascii="Times New Roman" w:hAnsi="Times New Roman" w:cs="Times New Roman"/>
          <w:bCs/>
          <w:sz w:val="24"/>
          <w:szCs w:val="24"/>
          <w:lang w:val="kk-KZ"/>
        </w:rPr>
        <w:t>Бір таблетканың құрамында</w:t>
      </w:r>
    </w:p>
    <w:p w14:paraId="6FBF667E" w14:textId="77777777" w:rsidR="00607595" w:rsidRPr="00306051" w:rsidRDefault="00607595">
      <w:pPr>
        <w:spacing w:after="0" w:line="100" w:lineRule="atLeast"/>
        <w:jc w:val="both"/>
        <w:rPr>
          <w:rFonts w:ascii="Times New Roman" w:eastAsia="Times New Roman" w:hAnsi="Times New Roman" w:cs="Times New Roman"/>
          <w:bCs/>
          <w:i/>
          <w:sz w:val="24"/>
          <w:szCs w:val="24"/>
          <w:lang w:val="kk-KZ"/>
        </w:rPr>
      </w:pPr>
      <w:r w:rsidRPr="00306051">
        <w:rPr>
          <w:rFonts w:ascii="Times New Roman" w:eastAsia="Times New Roman" w:hAnsi="Times New Roman" w:cs="Times New Roman"/>
          <w:bCs/>
          <w:i/>
          <w:sz w:val="24"/>
          <w:szCs w:val="24"/>
          <w:lang w:val="kk-KZ"/>
        </w:rPr>
        <w:t xml:space="preserve">белсенді заттар – </w:t>
      </w:r>
      <w:r w:rsidRPr="00306051">
        <w:rPr>
          <w:rFonts w:ascii="Times New Roman" w:eastAsia="Times New Roman" w:hAnsi="Times New Roman" w:cs="Times New Roman"/>
          <w:bCs/>
          <w:sz w:val="24"/>
          <w:szCs w:val="24"/>
          <w:lang w:val="kk-KZ"/>
        </w:rPr>
        <w:t xml:space="preserve">эмтрицитабин 200 мг, </w:t>
      </w:r>
    </w:p>
    <w:p w14:paraId="1CCBDFDE" w14:textId="77777777" w:rsidR="00607595" w:rsidRPr="00306051" w:rsidRDefault="00607595">
      <w:pPr>
        <w:widowControl w:val="0"/>
        <w:spacing w:after="0" w:line="100" w:lineRule="atLeast"/>
        <w:ind w:left="360"/>
        <w:jc w:val="both"/>
        <w:rPr>
          <w:rFonts w:ascii="Times New Roman" w:hAnsi="Times New Roman" w:cs="Times New Roman"/>
          <w:i/>
          <w:sz w:val="24"/>
          <w:szCs w:val="24"/>
          <w:lang w:val="kk-KZ"/>
        </w:rPr>
      </w:pPr>
      <w:r w:rsidRPr="00306051">
        <w:rPr>
          <w:rFonts w:ascii="Times New Roman" w:eastAsia="Times New Roman" w:hAnsi="Times New Roman" w:cs="Times New Roman"/>
          <w:bCs/>
          <w:i/>
          <w:sz w:val="24"/>
          <w:szCs w:val="24"/>
          <w:lang w:val="kk-KZ"/>
        </w:rPr>
        <w:t xml:space="preserve">                     </w:t>
      </w:r>
      <w:r w:rsidR="00021921" w:rsidRPr="00306051">
        <w:rPr>
          <w:rFonts w:ascii="Times New Roman" w:eastAsia="Times New Roman" w:hAnsi="Times New Roman" w:cs="Times New Roman"/>
          <w:bCs/>
          <w:i/>
          <w:sz w:val="24"/>
          <w:szCs w:val="24"/>
          <w:lang w:val="kk-KZ"/>
        </w:rPr>
        <w:t xml:space="preserve">  </w:t>
      </w:r>
      <w:r w:rsidRPr="00306051">
        <w:rPr>
          <w:rFonts w:ascii="Times New Roman" w:eastAsia="Times New Roman" w:hAnsi="Times New Roman" w:cs="Times New Roman"/>
          <w:bCs/>
          <w:i/>
          <w:sz w:val="24"/>
          <w:szCs w:val="24"/>
          <w:lang w:val="kk-KZ"/>
        </w:rPr>
        <w:t xml:space="preserve">– </w:t>
      </w:r>
      <w:r w:rsidRPr="00306051">
        <w:rPr>
          <w:rFonts w:ascii="Times New Roman" w:eastAsia="Times New Roman" w:hAnsi="Times New Roman" w:cs="Times New Roman"/>
          <w:bCs/>
          <w:sz w:val="24"/>
          <w:szCs w:val="24"/>
          <w:lang w:val="kk-KZ"/>
        </w:rPr>
        <w:t xml:space="preserve">тенофовир дизопроксил фумараты 300 мг, </w:t>
      </w:r>
    </w:p>
    <w:p w14:paraId="5458174C" w14:textId="77777777" w:rsidR="00607595" w:rsidRPr="00306051" w:rsidRDefault="00607595">
      <w:pPr>
        <w:spacing w:after="0" w:line="100" w:lineRule="atLeast"/>
        <w:jc w:val="both"/>
        <w:rPr>
          <w:rFonts w:ascii="Times New Roman" w:hAnsi="Times New Roman" w:cs="Times New Roman"/>
          <w:iCs/>
          <w:sz w:val="24"/>
          <w:szCs w:val="24"/>
          <w:lang w:val="kk-KZ"/>
        </w:rPr>
      </w:pPr>
      <w:r w:rsidRPr="00306051">
        <w:rPr>
          <w:rFonts w:ascii="Times New Roman" w:hAnsi="Times New Roman" w:cs="Times New Roman"/>
          <w:i/>
          <w:sz w:val="24"/>
          <w:szCs w:val="24"/>
          <w:lang w:val="kk-KZ"/>
        </w:rPr>
        <w:t xml:space="preserve">қосымша заттар: </w:t>
      </w:r>
      <w:r w:rsidRPr="00306051">
        <w:rPr>
          <w:rFonts w:ascii="Times New Roman" w:hAnsi="Times New Roman" w:cs="Times New Roman"/>
          <w:sz w:val="24"/>
          <w:szCs w:val="24"/>
          <w:lang w:val="kk-KZ"/>
        </w:rPr>
        <w:t>сусыз лактоза (Super Tab 24 AN) 145 мг, натрий кроскармеллозасы (Ac-di-sol) 80 мг, лактоза моногидраты</w:t>
      </w:r>
      <w:r w:rsidR="000B33D3" w:rsidRPr="00306051">
        <w:rPr>
          <w:rFonts w:ascii="Times New Roman" w:hAnsi="Times New Roman" w:cs="Times New Roman"/>
          <w:sz w:val="24"/>
          <w:szCs w:val="24"/>
          <w:lang w:val="kk-KZ"/>
        </w:rPr>
        <w:t>,</w:t>
      </w:r>
      <w:r w:rsidRPr="00306051">
        <w:rPr>
          <w:rFonts w:ascii="Times New Roman" w:hAnsi="Times New Roman" w:cs="Times New Roman"/>
          <w:sz w:val="24"/>
          <w:szCs w:val="24"/>
          <w:lang w:val="kk-KZ"/>
        </w:rPr>
        <w:t xml:space="preserve"> FD&amp;C Көгілдір # 2 Индигокар</w:t>
      </w:r>
      <w:r w:rsidR="005E32BD">
        <w:rPr>
          <w:rFonts w:ascii="Times New Roman" w:hAnsi="Times New Roman" w:cs="Times New Roman"/>
          <w:sz w:val="24"/>
          <w:szCs w:val="24"/>
          <w:lang w:val="kk-KZ"/>
        </w:rPr>
        <w:t>мин алюминий</w:t>
      </w:r>
      <w:r w:rsidRPr="00306051">
        <w:rPr>
          <w:rFonts w:ascii="Times New Roman" w:hAnsi="Times New Roman" w:cs="Times New Roman"/>
          <w:sz w:val="24"/>
          <w:szCs w:val="24"/>
          <w:lang w:val="kk-KZ"/>
        </w:rPr>
        <w:t xml:space="preserve"> лагы (Е132).</w:t>
      </w:r>
    </w:p>
    <w:p w14:paraId="52829BAB" w14:textId="77777777" w:rsidR="00607595" w:rsidRPr="00306051" w:rsidRDefault="00607595">
      <w:pPr>
        <w:spacing w:after="0" w:line="100" w:lineRule="atLeast"/>
        <w:rPr>
          <w:rFonts w:ascii="Times New Roman" w:hAnsi="Times New Roman" w:cs="Times New Roman"/>
          <w:iCs/>
          <w:sz w:val="24"/>
          <w:szCs w:val="28"/>
          <w:lang w:val="kk-KZ"/>
        </w:rPr>
      </w:pPr>
      <w:r w:rsidRPr="00306051">
        <w:rPr>
          <w:rFonts w:ascii="Times New Roman" w:hAnsi="Times New Roman" w:cs="Times New Roman"/>
          <w:iCs/>
          <w:sz w:val="24"/>
          <w:szCs w:val="24"/>
          <w:lang w:val="kk-KZ"/>
        </w:rPr>
        <w:t>Қосымша заттардың толық тізімін 6.1</w:t>
      </w:r>
      <w:r w:rsidRPr="00306051">
        <w:rPr>
          <w:rFonts w:ascii="Times New Roman" w:hAnsi="Times New Roman" w:cs="Times New Roman"/>
          <w:sz w:val="24"/>
          <w:szCs w:val="24"/>
          <w:lang w:val="kk-KZ"/>
        </w:rPr>
        <w:t xml:space="preserve"> тармақтан қараңыз.</w:t>
      </w:r>
      <w:r w:rsidRPr="00306051">
        <w:rPr>
          <w:rFonts w:ascii="Times New Roman" w:hAnsi="Times New Roman" w:cs="Times New Roman"/>
          <w:iCs/>
          <w:sz w:val="24"/>
          <w:szCs w:val="28"/>
          <w:lang w:val="kk-KZ"/>
        </w:rPr>
        <w:t xml:space="preserve"> </w:t>
      </w:r>
    </w:p>
    <w:p w14:paraId="779ADFE3" w14:textId="77777777" w:rsidR="00607595" w:rsidRPr="00306051" w:rsidRDefault="00607595">
      <w:pPr>
        <w:spacing w:after="0" w:line="100" w:lineRule="atLeast"/>
        <w:jc w:val="both"/>
        <w:rPr>
          <w:rFonts w:ascii="Times New Roman" w:hAnsi="Times New Roman" w:cs="Times New Roman"/>
          <w:sz w:val="24"/>
          <w:szCs w:val="24"/>
          <w:lang w:val="kk-KZ"/>
        </w:rPr>
      </w:pPr>
    </w:p>
    <w:p w14:paraId="0B8BEF78"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b/>
          <w:sz w:val="24"/>
          <w:szCs w:val="24"/>
          <w:lang w:val="kk-KZ"/>
        </w:rPr>
        <w:t>3. ДӘРІЛІК ТҮРІ</w:t>
      </w:r>
    </w:p>
    <w:p w14:paraId="126E8691"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Үлбірлі қабықпен қапталған таблеткалар.</w:t>
      </w:r>
    </w:p>
    <w:p w14:paraId="352D3674"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Капсула тәрізді пішінді, екі беті дөңес, көгілдір түсті үлбірлі қабықпен қапталған, бір жағында «LA49» өрнегі бар және екінші жағы тегіс таблеткалар.</w:t>
      </w:r>
    </w:p>
    <w:p w14:paraId="228EC873" w14:textId="77777777" w:rsidR="00607595" w:rsidRPr="00306051" w:rsidRDefault="00607595">
      <w:pPr>
        <w:spacing w:after="0" w:line="100" w:lineRule="atLeast"/>
        <w:jc w:val="both"/>
        <w:rPr>
          <w:rFonts w:ascii="Times New Roman" w:hAnsi="Times New Roman" w:cs="Times New Roman"/>
          <w:sz w:val="24"/>
          <w:szCs w:val="24"/>
          <w:lang w:val="kk-KZ"/>
        </w:rPr>
      </w:pPr>
    </w:p>
    <w:p w14:paraId="5AACA21E" w14:textId="77777777" w:rsidR="00607595" w:rsidRPr="00306051" w:rsidRDefault="00607595">
      <w:pPr>
        <w:spacing w:after="0" w:line="100" w:lineRule="atLeast"/>
        <w:jc w:val="both"/>
        <w:rPr>
          <w:rFonts w:ascii="Times New Roman" w:hAnsi="Times New Roman" w:cs="Times New Roman"/>
          <w:b/>
          <w:bCs/>
          <w:sz w:val="24"/>
          <w:szCs w:val="24"/>
          <w:lang w:val="kk-KZ"/>
        </w:rPr>
      </w:pPr>
      <w:r w:rsidRPr="00306051">
        <w:rPr>
          <w:rFonts w:ascii="Times New Roman" w:hAnsi="Times New Roman" w:cs="Times New Roman"/>
          <w:b/>
          <w:sz w:val="24"/>
          <w:szCs w:val="24"/>
        </w:rPr>
        <w:t xml:space="preserve">4. </w:t>
      </w:r>
      <w:r w:rsidRPr="00306051">
        <w:rPr>
          <w:rFonts w:ascii="Times New Roman" w:hAnsi="Times New Roman" w:cs="Times New Roman"/>
          <w:b/>
          <w:sz w:val="24"/>
          <w:szCs w:val="24"/>
          <w:lang w:val="kk-KZ"/>
        </w:rPr>
        <w:t>КЛИНИКАЛЫҚ ДЕРЕКТЕР</w:t>
      </w:r>
    </w:p>
    <w:p w14:paraId="2BD43789" w14:textId="77777777" w:rsidR="00607595" w:rsidRPr="00306051" w:rsidRDefault="00607595">
      <w:pPr>
        <w:spacing w:after="0" w:line="100" w:lineRule="atLeast"/>
        <w:jc w:val="both"/>
        <w:rPr>
          <w:rFonts w:ascii="Times New Roman" w:hAnsi="Times New Roman" w:cs="Times New Roman"/>
          <w:i/>
          <w:spacing w:val="-1"/>
          <w:sz w:val="24"/>
          <w:szCs w:val="24"/>
          <w:lang w:val="kk-KZ"/>
        </w:rPr>
      </w:pPr>
      <w:r w:rsidRPr="00306051">
        <w:rPr>
          <w:rFonts w:ascii="Times New Roman" w:hAnsi="Times New Roman" w:cs="Times New Roman"/>
          <w:b/>
          <w:bCs/>
          <w:sz w:val="24"/>
          <w:szCs w:val="24"/>
          <w:lang w:val="kk-KZ"/>
        </w:rPr>
        <w:t>4.1 Қолданылуы</w:t>
      </w:r>
    </w:p>
    <w:p w14:paraId="0763460F" w14:textId="77777777" w:rsidR="00607595" w:rsidRPr="00306051" w:rsidRDefault="00607595" w:rsidP="00802895">
      <w:pPr>
        <w:widowControl w:val="0"/>
        <w:shd w:val="clear" w:color="auto" w:fill="FFFFFF"/>
        <w:spacing w:after="0"/>
        <w:jc w:val="both"/>
        <w:rPr>
          <w:rFonts w:ascii="Times New Roman" w:hAnsi="Times New Roman" w:cs="Times New Roman"/>
          <w:spacing w:val="-1"/>
          <w:sz w:val="24"/>
          <w:szCs w:val="24"/>
          <w:lang w:val="kk-KZ"/>
        </w:rPr>
      </w:pPr>
      <w:r w:rsidRPr="00306051">
        <w:rPr>
          <w:rFonts w:ascii="Times New Roman" w:hAnsi="Times New Roman" w:cs="Times New Roman"/>
          <w:i/>
          <w:spacing w:val="-1"/>
          <w:sz w:val="24"/>
          <w:szCs w:val="24"/>
          <w:lang w:val="kk-KZ"/>
        </w:rPr>
        <w:t>АИТВ инфекциясын емдеу үшін:</w:t>
      </w:r>
    </w:p>
    <w:p w14:paraId="06836546" w14:textId="77777777" w:rsidR="00607595" w:rsidRPr="00306051" w:rsidRDefault="00802895" w:rsidP="00802895">
      <w:pPr>
        <w:widowControl w:val="0"/>
        <w:shd w:val="clear" w:color="auto" w:fill="FFFFFF"/>
        <w:spacing w:after="0" w:line="100" w:lineRule="atLeast"/>
        <w:ind w:hanging="142"/>
        <w:jc w:val="both"/>
        <w:rPr>
          <w:rFonts w:ascii="Times New Roman" w:hAnsi="Times New Roman" w:cs="Times New Roman"/>
          <w:i/>
          <w:spacing w:val="-1"/>
          <w:sz w:val="24"/>
          <w:szCs w:val="24"/>
          <w:lang w:val="kk-KZ"/>
        </w:rPr>
      </w:pPr>
      <w:r w:rsidRPr="00306051">
        <w:rPr>
          <w:rFonts w:ascii="Times New Roman" w:hAnsi="Times New Roman" w:cs="Times New Roman"/>
          <w:spacing w:val="-1"/>
          <w:sz w:val="24"/>
          <w:szCs w:val="24"/>
          <w:lang w:val="kk-KZ"/>
        </w:rPr>
        <w:t xml:space="preserve">- </w:t>
      </w:r>
      <w:r w:rsidR="00607595" w:rsidRPr="00306051">
        <w:rPr>
          <w:rFonts w:ascii="Times New Roman" w:hAnsi="Times New Roman" w:cs="Times New Roman"/>
          <w:spacing w:val="-1"/>
          <w:sz w:val="24"/>
          <w:szCs w:val="24"/>
          <w:lang w:val="kk-KZ"/>
        </w:rPr>
        <w:t xml:space="preserve">ересектердегі АИТВ-1 инфекциясын емдеуде басқа антиретровирустық препараттармен біріктірілімде </w:t>
      </w:r>
      <w:r w:rsidR="00607595" w:rsidRPr="00306051">
        <w:rPr>
          <w:rFonts w:ascii="Times New Roman" w:hAnsi="Times New Roman" w:cs="Times New Roman"/>
          <w:sz w:val="24"/>
          <w:szCs w:val="24"/>
          <w:lang w:val="kk-KZ"/>
        </w:rPr>
        <w:t>(5.1 бөлімін қараңыз).</w:t>
      </w:r>
    </w:p>
    <w:p w14:paraId="79D0EE44" w14:textId="77777777" w:rsidR="00607595" w:rsidRPr="00306051" w:rsidRDefault="00607595" w:rsidP="00802895">
      <w:pPr>
        <w:widowControl w:val="0"/>
        <w:shd w:val="clear" w:color="auto" w:fill="FFFFFF"/>
        <w:spacing w:after="0"/>
        <w:jc w:val="both"/>
        <w:rPr>
          <w:rFonts w:ascii="Times New Roman" w:hAnsi="Times New Roman" w:cs="Times New Roman"/>
          <w:spacing w:val="-1"/>
          <w:sz w:val="24"/>
          <w:szCs w:val="24"/>
          <w:lang w:val="kk-KZ"/>
        </w:rPr>
      </w:pPr>
      <w:r w:rsidRPr="00306051">
        <w:rPr>
          <w:rFonts w:ascii="Times New Roman" w:hAnsi="Times New Roman" w:cs="Times New Roman"/>
          <w:i/>
          <w:spacing w:val="-1"/>
          <w:sz w:val="24"/>
          <w:szCs w:val="24"/>
          <w:lang w:val="kk-KZ"/>
        </w:rPr>
        <w:t>Жанасқанға дейінгі</w:t>
      </w:r>
      <w:r w:rsidRPr="00306051">
        <w:rPr>
          <w:rFonts w:ascii="Times New Roman" w:hAnsi="Times New Roman" w:cs="Times New Roman"/>
          <w:i/>
          <w:spacing w:val="-1"/>
          <w:sz w:val="24"/>
          <w:szCs w:val="24"/>
        </w:rPr>
        <w:t xml:space="preserve"> профилактика (</w:t>
      </w:r>
      <w:r w:rsidRPr="00306051">
        <w:rPr>
          <w:rFonts w:ascii="Times New Roman" w:hAnsi="Times New Roman" w:cs="Times New Roman"/>
          <w:i/>
          <w:spacing w:val="-1"/>
          <w:sz w:val="24"/>
          <w:szCs w:val="24"/>
          <w:lang w:val="kk-KZ"/>
        </w:rPr>
        <w:t>ЖД</w:t>
      </w:r>
      <w:r w:rsidRPr="00306051">
        <w:rPr>
          <w:rFonts w:ascii="Times New Roman" w:hAnsi="Times New Roman" w:cs="Times New Roman"/>
          <w:i/>
          <w:spacing w:val="-1"/>
          <w:sz w:val="24"/>
          <w:szCs w:val="24"/>
        </w:rPr>
        <w:t>П)</w:t>
      </w:r>
      <w:r w:rsidRPr="00306051">
        <w:rPr>
          <w:rFonts w:ascii="Times New Roman" w:hAnsi="Times New Roman" w:cs="Times New Roman"/>
          <w:i/>
          <w:spacing w:val="-1"/>
          <w:sz w:val="24"/>
          <w:szCs w:val="24"/>
          <w:lang w:val="kk-KZ"/>
        </w:rPr>
        <w:t xml:space="preserve"> үшін</w:t>
      </w:r>
      <w:r w:rsidRPr="00306051">
        <w:rPr>
          <w:rFonts w:ascii="Times New Roman" w:hAnsi="Times New Roman" w:cs="Times New Roman"/>
          <w:i/>
          <w:spacing w:val="-1"/>
          <w:sz w:val="24"/>
          <w:szCs w:val="24"/>
        </w:rPr>
        <w:t>:</w:t>
      </w:r>
    </w:p>
    <w:p w14:paraId="5F519D9D" w14:textId="6C04CC87" w:rsidR="005E32BD" w:rsidRPr="005E32BD" w:rsidRDefault="00C10AF2" w:rsidP="00C10AF2">
      <w:pPr>
        <w:widowControl w:val="0"/>
        <w:shd w:val="clear" w:color="auto" w:fill="FFFFFF"/>
        <w:spacing w:after="0" w:line="240" w:lineRule="auto"/>
        <w:ind w:hanging="142"/>
        <w:jc w:val="both"/>
        <w:rPr>
          <w:rFonts w:ascii="Times New Roman" w:eastAsia="Times New Roman" w:hAnsi="Times New Roman" w:cs="Times New Roman"/>
          <w:b/>
          <w:bCs/>
          <w:spacing w:val="-3"/>
          <w:sz w:val="24"/>
          <w:szCs w:val="24"/>
          <w:lang w:val="kk-KZ"/>
        </w:rPr>
      </w:pPr>
      <w:r>
        <w:rPr>
          <w:rFonts w:ascii="Times New Roman" w:eastAsia="Times New Roman" w:hAnsi="Times New Roman" w:cs="Times New Roman"/>
          <w:spacing w:val="-1"/>
          <w:sz w:val="24"/>
          <w:szCs w:val="24"/>
          <w:lang w:val="kk-KZ"/>
        </w:rPr>
        <w:t xml:space="preserve">- </w:t>
      </w:r>
      <w:r w:rsidR="005E32BD" w:rsidRPr="005E32BD">
        <w:rPr>
          <w:rFonts w:ascii="Times New Roman" w:eastAsia="Times New Roman" w:hAnsi="Times New Roman" w:cs="Times New Roman"/>
          <w:spacing w:val="-1"/>
          <w:sz w:val="24"/>
          <w:szCs w:val="24"/>
          <w:lang w:val="kk-KZ"/>
        </w:rPr>
        <w:t xml:space="preserve">ересектерде қауіп жоғары болған жағдайда, АИТВ-1 инфекциясының жыныстық жолмен берілу қаупін азайту мақсатында, ЖДП үшін қауіпсіз жыныстық қатынас тәсілдерімен бірге </w:t>
      </w:r>
      <w:r w:rsidRPr="00C10AF2">
        <w:rPr>
          <w:rFonts w:ascii="Times New Roman" w:eastAsia="Times New Roman" w:hAnsi="Times New Roman" w:cs="Times New Roman"/>
          <w:spacing w:val="-1"/>
          <w:sz w:val="24"/>
          <w:szCs w:val="24"/>
          <w:lang w:val="kk-KZ"/>
        </w:rPr>
        <w:t xml:space="preserve">(4.2, 4.4 және 5.1 </w:t>
      </w:r>
      <w:r w:rsidRPr="00306051">
        <w:rPr>
          <w:rFonts w:ascii="Times New Roman" w:hAnsi="Times New Roman" w:cs="Times New Roman"/>
          <w:sz w:val="24"/>
          <w:szCs w:val="24"/>
          <w:lang w:val="kk-KZ"/>
        </w:rPr>
        <w:t>бөлім</w:t>
      </w:r>
      <w:r>
        <w:rPr>
          <w:rFonts w:ascii="Times New Roman" w:hAnsi="Times New Roman" w:cs="Times New Roman"/>
          <w:sz w:val="24"/>
          <w:szCs w:val="24"/>
          <w:lang w:val="kk-KZ"/>
        </w:rPr>
        <w:t>дерд</w:t>
      </w:r>
      <w:r w:rsidRPr="00C10AF2">
        <w:rPr>
          <w:rFonts w:ascii="Times New Roman" w:hAnsi="Times New Roman" w:cs="Times New Roman"/>
          <w:sz w:val="24"/>
          <w:szCs w:val="24"/>
          <w:lang w:val="kk-KZ"/>
        </w:rPr>
        <w:t>i</w:t>
      </w:r>
      <w:r w:rsidRPr="00306051">
        <w:rPr>
          <w:rFonts w:ascii="Times New Roman" w:hAnsi="Times New Roman" w:cs="Times New Roman"/>
          <w:sz w:val="24"/>
          <w:szCs w:val="24"/>
          <w:lang w:val="kk-KZ"/>
        </w:rPr>
        <w:t xml:space="preserve"> </w:t>
      </w:r>
      <w:r w:rsidRPr="00C10AF2">
        <w:rPr>
          <w:rFonts w:ascii="Times New Roman" w:eastAsia="Times New Roman" w:hAnsi="Times New Roman" w:cs="Times New Roman"/>
          <w:spacing w:val="-1"/>
          <w:sz w:val="24"/>
          <w:szCs w:val="24"/>
          <w:lang w:val="kk-KZ"/>
        </w:rPr>
        <w:t>қараңыз).</w:t>
      </w:r>
    </w:p>
    <w:p w14:paraId="59187410" w14:textId="77777777" w:rsidR="00607595" w:rsidRPr="00306051" w:rsidRDefault="00607595">
      <w:pPr>
        <w:spacing w:after="0" w:line="100" w:lineRule="atLeast"/>
        <w:jc w:val="both"/>
        <w:rPr>
          <w:rFonts w:ascii="Times New Roman" w:hAnsi="Times New Roman" w:cs="Times New Roman"/>
          <w:sz w:val="24"/>
          <w:szCs w:val="24"/>
          <w:lang w:val="kk-KZ"/>
        </w:rPr>
      </w:pPr>
    </w:p>
    <w:p w14:paraId="1A297676" w14:textId="77777777" w:rsidR="00607595" w:rsidRPr="00306051" w:rsidRDefault="00607595">
      <w:pPr>
        <w:spacing w:after="0" w:line="100" w:lineRule="atLeast"/>
        <w:jc w:val="both"/>
        <w:rPr>
          <w:rFonts w:ascii="Times New Roman" w:hAnsi="Times New Roman" w:cs="Times New Roman"/>
          <w:b/>
          <w:sz w:val="24"/>
          <w:szCs w:val="24"/>
          <w:lang w:val="kk-KZ"/>
        </w:rPr>
      </w:pPr>
      <w:r w:rsidRPr="00306051">
        <w:rPr>
          <w:rFonts w:ascii="Times New Roman" w:hAnsi="Times New Roman" w:cs="Times New Roman"/>
          <w:b/>
          <w:sz w:val="24"/>
          <w:szCs w:val="24"/>
          <w:lang w:val="kk-KZ"/>
        </w:rPr>
        <w:t>4.2. Дозалау режимі және қолдану тәсілі</w:t>
      </w:r>
    </w:p>
    <w:p w14:paraId="43B24EE1"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hAnsi="Times New Roman" w:cs="Times New Roman"/>
          <w:b/>
          <w:sz w:val="24"/>
          <w:szCs w:val="24"/>
          <w:lang w:val="kk-KZ"/>
        </w:rPr>
        <w:t xml:space="preserve">Дозалау режимі </w:t>
      </w:r>
    </w:p>
    <w:p w14:paraId="2A88E88E" w14:textId="77777777" w:rsidR="00607595" w:rsidRPr="00306051" w:rsidRDefault="00607595">
      <w:pPr>
        <w:spacing w:after="0" w:line="100" w:lineRule="atLeast"/>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sz w:val="24"/>
          <w:szCs w:val="24"/>
          <w:lang w:val="kk-KZ" w:eastAsia="ar-IQ" w:bidi="ar-IQ"/>
        </w:rPr>
        <w:t>Эмтрицитабин және тенофовир дизопроксил фумараты препаратымен емдеуді АИТВ инфекциясын емдеуде тәжірибесі бар дәрігер бастауы тиіс</w:t>
      </w:r>
      <w:r w:rsidRPr="00306051">
        <w:rPr>
          <w:rFonts w:ascii="Times New Roman" w:hAnsi="Times New Roman" w:cs="Times New Roman"/>
          <w:sz w:val="24"/>
          <w:szCs w:val="24"/>
          <w:lang w:val="kk-KZ"/>
        </w:rPr>
        <w:t>.</w:t>
      </w:r>
    </w:p>
    <w:p w14:paraId="614E48C1" w14:textId="77777777" w:rsidR="00607595" w:rsidRPr="00306051" w:rsidRDefault="00607595">
      <w:pPr>
        <w:widowControl w:val="0"/>
        <w:shd w:val="clear" w:color="auto" w:fill="FFFFFF"/>
        <w:spacing w:after="0"/>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i/>
          <w:sz w:val="24"/>
          <w:szCs w:val="24"/>
          <w:lang w:val="kk-KZ" w:eastAsia="ar-IQ" w:bidi="ar-IQ"/>
        </w:rPr>
        <w:t>Дене салмағы 35 кг кем емес ересектерде АИТВ емдеу:</w:t>
      </w:r>
      <w:r w:rsidRPr="00306051">
        <w:rPr>
          <w:rFonts w:ascii="Times New Roman" w:eastAsia="Calibri" w:hAnsi="Times New Roman" w:cs="Times New Roman"/>
          <w:sz w:val="24"/>
          <w:szCs w:val="24"/>
          <w:lang w:val="kk-KZ" w:eastAsia="ar-IQ" w:bidi="ar-IQ"/>
        </w:rPr>
        <w:t xml:space="preserve"> тәулігіне бір рет бір таблеткадан.</w:t>
      </w:r>
    </w:p>
    <w:p w14:paraId="134A04A9" w14:textId="77777777" w:rsidR="00607595" w:rsidRPr="00306051" w:rsidRDefault="00607595">
      <w:pPr>
        <w:widowControl w:val="0"/>
        <w:shd w:val="clear" w:color="auto" w:fill="FFFFFF"/>
        <w:spacing w:after="0"/>
        <w:jc w:val="both"/>
        <w:rPr>
          <w:rFonts w:ascii="Times New Roman"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Дене салмағы 35 кг кем емес ересектердегі АИТВ профилактикасы:</w:t>
      </w:r>
      <w:r w:rsidRPr="00306051">
        <w:rPr>
          <w:rFonts w:ascii="Times New Roman" w:eastAsia="Calibri" w:hAnsi="Times New Roman" w:cs="Times New Roman"/>
          <w:sz w:val="24"/>
          <w:szCs w:val="24"/>
          <w:lang w:val="kk-KZ" w:eastAsia="ar-IQ" w:bidi="ar-IQ"/>
        </w:rPr>
        <w:t xml:space="preserve"> тәулігіне бір рет бір таблеткадан.</w:t>
      </w:r>
    </w:p>
    <w:p w14:paraId="19A17421" w14:textId="77777777" w:rsidR="00607595" w:rsidRPr="00306051" w:rsidRDefault="00607595" w:rsidP="00F21BE1">
      <w:pPr>
        <w:pStyle w:val="ae"/>
        <w:spacing w:line="240" w:lineRule="auto"/>
        <w:jc w:val="both"/>
        <w:rPr>
          <w:rFonts w:ascii="Times New Roman" w:hAnsi="Times New Roman"/>
          <w:spacing w:val="-1"/>
          <w:sz w:val="24"/>
          <w:szCs w:val="24"/>
          <w:lang w:val="kk-KZ"/>
        </w:rPr>
      </w:pPr>
      <w:r w:rsidRPr="00306051">
        <w:rPr>
          <w:rFonts w:ascii="Times New Roman" w:hAnsi="Times New Roman"/>
          <w:sz w:val="24"/>
          <w:szCs w:val="24"/>
          <w:lang w:val="kk-KZ" w:eastAsia="ar-IQ" w:bidi="ar-IQ"/>
        </w:rPr>
        <w:lastRenderedPageBreak/>
        <w:t>Эмтрицитабин және тенофовир дизопроксил фумараты препараты компоненттерінің біреуін қабылдауды тоқтату немесе дозасын түзету қажет болған жағдайда, бөлек-бөлек эмтрицитабин және тенофовир дизопроксил фумараты препараттары бар. Аталған дәрілік препараттарды қолдану жөніндегі нұсқаулықтарды қараңыз.</w:t>
      </w:r>
    </w:p>
    <w:p w14:paraId="61F0DA52" w14:textId="77777777" w:rsidR="00607595" w:rsidRPr="00306051" w:rsidRDefault="00607595" w:rsidP="00F21BE1">
      <w:pPr>
        <w:widowControl w:val="0"/>
        <w:shd w:val="clear" w:color="auto" w:fill="FFFFFF"/>
        <w:spacing w:after="0" w:line="240" w:lineRule="auto"/>
        <w:jc w:val="both"/>
        <w:rPr>
          <w:rFonts w:ascii="Times New Roman" w:hAnsi="Times New Roman" w:cs="Times New Roman"/>
          <w:spacing w:val="-1"/>
          <w:sz w:val="24"/>
          <w:szCs w:val="24"/>
          <w:lang w:val="kk-KZ"/>
        </w:rPr>
      </w:pPr>
      <w:r w:rsidRPr="00306051">
        <w:rPr>
          <w:rFonts w:ascii="Times New Roman" w:hAnsi="Times New Roman" w:cs="Times New Roman"/>
          <w:spacing w:val="-1"/>
          <w:sz w:val="24"/>
          <w:szCs w:val="24"/>
          <w:lang w:val="kk-KZ"/>
        </w:rPr>
        <w:t>Егер Эмтрицитабин және тенофовир дизопроксил фумараты препаратының дозасы жіберіліп алса және әдеттегі қабылдау уақытынан бері 12 сағаттан аз уақыт өтсе, Эмтрицитабин және тенофовир дизопроксил фумараты препаратын тамақпен бірге барынша тезірек қабылдау және қабылдауды әдеттегі кесте бойынша қайта бастау керек. Егер Эмтрицитабин және тенофовир дизопроксил фумараты препаратының дозасы жіберіліп алып, тиісінше қабылдау сәтінен бері 12 сағаттан артық уақыт өтсе және келесі дозасын қабылдау уақыты жақындап қалса, жіберіп алған дозасын қабылдамау және жай ғана, қабылдауды әдеттегі кесте бойынша қайта бастаған дұрыс.</w:t>
      </w:r>
    </w:p>
    <w:p w14:paraId="6FF46ECD" w14:textId="77777777" w:rsidR="00607595" w:rsidRPr="00306051" w:rsidRDefault="00607595" w:rsidP="00F21BE1">
      <w:pPr>
        <w:pStyle w:val="ae"/>
        <w:spacing w:line="240" w:lineRule="auto"/>
        <w:jc w:val="both"/>
        <w:rPr>
          <w:rFonts w:ascii="Times New Roman" w:hAnsi="Times New Roman"/>
          <w:b/>
          <w:iCs/>
          <w:sz w:val="24"/>
          <w:szCs w:val="24"/>
          <w:lang w:val="kk-KZ" w:eastAsia="ar-IQ" w:bidi="ar-IQ"/>
        </w:rPr>
      </w:pPr>
      <w:r w:rsidRPr="00306051">
        <w:rPr>
          <w:rFonts w:ascii="Times New Roman" w:hAnsi="Times New Roman"/>
          <w:spacing w:val="-1"/>
          <w:sz w:val="24"/>
          <w:szCs w:val="24"/>
          <w:lang w:val="kk-KZ"/>
        </w:rPr>
        <w:t>Егер Эмтрицитабин және тенофовир дизопроксил фумараты</w:t>
      </w:r>
      <w:r w:rsidRPr="00306051">
        <w:rPr>
          <w:rFonts w:ascii="Times New Roman" w:hAnsi="Times New Roman"/>
          <w:spacing w:val="-1"/>
          <w:sz w:val="24"/>
          <w:szCs w:val="24"/>
          <w:vertAlign w:val="superscript"/>
          <w:lang w:val="kk-KZ"/>
        </w:rPr>
        <w:t xml:space="preserve"> </w:t>
      </w:r>
      <w:r w:rsidRPr="00306051">
        <w:rPr>
          <w:rFonts w:ascii="Times New Roman" w:hAnsi="Times New Roman"/>
          <w:spacing w:val="-1"/>
          <w:sz w:val="24"/>
          <w:szCs w:val="24"/>
          <w:lang w:val="kk-KZ"/>
        </w:rPr>
        <w:t>препаратын қабылдағаннан кейінгі 1 сағат ішінде құсу туындаса, келесі таблетканы қабылдау керек. Егер құсу Эмтрицитабин және тенофовир дизопроксил фумараты препаратын қабылдағаннан кейін 1 сағаттан артық уақыттан соң туындаса, екінші дозасын қабылдамау керек</w:t>
      </w:r>
      <w:r w:rsidRPr="00306051">
        <w:rPr>
          <w:rFonts w:ascii="Times New Roman" w:hAnsi="Times New Roman"/>
          <w:sz w:val="24"/>
          <w:szCs w:val="24"/>
          <w:lang w:val="kk-KZ" w:eastAsia="ar-IQ" w:bidi="ar-IQ"/>
        </w:rPr>
        <w:t>.</w:t>
      </w:r>
    </w:p>
    <w:p w14:paraId="0F4BA7B6"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b/>
          <w:iCs/>
          <w:sz w:val="24"/>
          <w:szCs w:val="24"/>
          <w:lang w:val="kk-KZ" w:eastAsia="ar-IQ" w:bidi="ar-IQ"/>
        </w:rPr>
        <w:t>Пациенттердің ерекше топтары</w:t>
      </w:r>
    </w:p>
    <w:p w14:paraId="646DA0B2" w14:textId="77777777" w:rsidR="00607595" w:rsidRPr="00306051" w:rsidRDefault="00607595" w:rsidP="00F21BE1">
      <w:pPr>
        <w:spacing w:after="0" w:line="240" w:lineRule="auto"/>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i/>
          <w:iCs/>
          <w:sz w:val="24"/>
          <w:szCs w:val="24"/>
          <w:lang w:val="kk-KZ" w:eastAsia="ar-IQ" w:bidi="ar-IQ"/>
        </w:rPr>
        <w:t>Жас егделігі (65 жастан асқан).</w:t>
      </w:r>
      <w:r w:rsidRPr="00306051">
        <w:rPr>
          <w:rFonts w:ascii="Times New Roman" w:eastAsia="Calibri" w:hAnsi="Times New Roman" w:cs="Times New Roman"/>
          <w:sz w:val="24"/>
          <w:szCs w:val="24"/>
          <w:lang w:val="kk-KZ" w:eastAsia="ar-IQ" w:bidi="ar-IQ"/>
        </w:rPr>
        <w:t xml:space="preserve"> Дозасын түзету қажет емес</w:t>
      </w:r>
      <w:r w:rsidRPr="00306051">
        <w:rPr>
          <w:rFonts w:ascii="Times New Roman" w:hAnsi="Times New Roman" w:cs="Times New Roman"/>
          <w:sz w:val="24"/>
          <w:szCs w:val="24"/>
          <w:lang w:val="kk-KZ"/>
        </w:rPr>
        <w:t xml:space="preserve"> (5.2 бөлімін қараңыз).</w:t>
      </w:r>
    </w:p>
    <w:p w14:paraId="5CBAB39D" w14:textId="77777777" w:rsidR="00607595" w:rsidRPr="00306051" w:rsidRDefault="00607595" w:rsidP="00F21BE1">
      <w:pPr>
        <w:spacing w:after="0" w:line="240" w:lineRule="auto"/>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i/>
          <w:sz w:val="24"/>
          <w:szCs w:val="24"/>
          <w:lang w:val="kk-KZ" w:eastAsia="ar-IQ" w:bidi="ar-IQ"/>
        </w:rPr>
        <w:t xml:space="preserve">Бүйрек жеткіліксіздігі. </w:t>
      </w:r>
      <w:r w:rsidRPr="00306051">
        <w:rPr>
          <w:rFonts w:ascii="Times New Roman" w:eastAsia="Calibri" w:hAnsi="Times New Roman" w:cs="Times New Roman"/>
          <w:sz w:val="24"/>
          <w:szCs w:val="24"/>
          <w:lang w:val="kk-KZ" w:eastAsia="ar-IQ" w:bidi="ar-IQ"/>
        </w:rPr>
        <w:t>Эмтрицитабин мен тенофовир организмнен бүйрек арқылы шығарылады, сондықтан, бүйрек дисфункциясы бар пациенттерде эмтрицитабин мен тенофовирдің экспозициясы жоғарылай түседі</w:t>
      </w:r>
      <w:r w:rsidRPr="00306051">
        <w:rPr>
          <w:rFonts w:ascii="Times New Roman" w:eastAsia="Calibri" w:hAnsi="Times New Roman" w:cs="Times New Roman"/>
          <w:sz w:val="24"/>
          <w:szCs w:val="24"/>
          <w:lang w:val="kk-KZ"/>
        </w:rPr>
        <w:t xml:space="preserve"> (4.4 және 5.2 </w:t>
      </w:r>
      <w:r w:rsidRPr="00306051">
        <w:rPr>
          <w:rFonts w:ascii="Times New Roman" w:hAnsi="Times New Roman" w:cs="Times New Roman"/>
          <w:sz w:val="24"/>
          <w:szCs w:val="24"/>
          <w:lang w:val="kk-KZ"/>
        </w:rPr>
        <w:t>бөлімін қараңыз</w:t>
      </w:r>
      <w:r w:rsidRPr="00306051">
        <w:rPr>
          <w:rFonts w:ascii="Times New Roman" w:eastAsia="Calibri" w:hAnsi="Times New Roman" w:cs="Times New Roman"/>
          <w:sz w:val="24"/>
          <w:szCs w:val="24"/>
          <w:lang w:val="kk-KZ"/>
        </w:rPr>
        <w:t>)</w:t>
      </w:r>
      <w:r w:rsidRPr="00306051">
        <w:rPr>
          <w:rFonts w:ascii="Times New Roman" w:eastAsia="Calibri" w:hAnsi="Times New Roman" w:cs="Times New Roman"/>
          <w:sz w:val="24"/>
          <w:szCs w:val="24"/>
          <w:lang w:val="kk-KZ" w:eastAsia="ar-IQ" w:bidi="ar-IQ"/>
        </w:rPr>
        <w:t xml:space="preserve">. </w:t>
      </w:r>
    </w:p>
    <w:p w14:paraId="01897DE8" w14:textId="77777777" w:rsidR="00607595" w:rsidRPr="00306051" w:rsidRDefault="00607595" w:rsidP="00F21BE1">
      <w:pPr>
        <w:widowControl w:val="0"/>
        <w:shd w:val="clear" w:color="auto" w:fill="FFFFFF"/>
        <w:spacing w:after="0" w:line="240" w:lineRule="auto"/>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 xml:space="preserve">Бүйрек функциясы бұзылған ересек пациенттер. </w:t>
      </w:r>
    </w:p>
    <w:p w14:paraId="12AFE807" w14:textId="77777777" w:rsidR="00607595" w:rsidRPr="00306051" w:rsidRDefault="00607595" w:rsidP="00F21BE1">
      <w:pPr>
        <w:widowControl w:val="0"/>
        <w:shd w:val="clear" w:color="auto" w:fill="FFFFFF"/>
        <w:spacing w:after="0" w:line="240" w:lineRule="auto"/>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Креатинин клиренсі (CrCl) 80 мл/минуттан төмен пациенттерге Эмтрицитабин және тенофовир дизопроксил фумараты препаратын тек, ықтимал пайдасы болуы мүмкін қауіптерінен асып түсетін жағдайларда ғана тағайындау керек. 1 кестені қараңыз.</w:t>
      </w:r>
    </w:p>
    <w:p w14:paraId="0165179C" w14:textId="77777777" w:rsidR="00607595" w:rsidRPr="00306051" w:rsidRDefault="00607595" w:rsidP="00F21BE1">
      <w:pPr>
        <w:spacing w:after="0" w:line="240" w:lineRule="auto"/>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1 кесте. Бүйрек функциясы бұзылған ересек пациенттерге арналған  дозалары жөніндегі нұсқаулар</w:t>
      </w:r>
    </w:p>
    <w:tbl>
      <w:tblPr>
        <w:tblW w:w="9297" w:type="dxa"/>
        <w:tblInd w:w="-5" w:type="dxa"/>
        <w:tblLayout w:type="fixed"/>
        <w:tblLook w:val="0000" w:firstRow="0" w:lastRow="0" w:firstColumn="0" w:lastColumn="0" w:noHBand="0" w:noVBand="0"/>
      </w:tblPr>
      <w:tblGrid>
        <w:gridCol w:w="2381"/>
        <w:gridCol w:w="3396"/>
        <w:gridCol w:w="3520"/>
      </w:tblGrid>
      <w:tr w:rsidR="00607595" w:rsidRPr="00306051" w14:paraId="03D42DCF" w14:textId="77777777" w:rsidTr="00F65A29">
        <w:trPr>
          <w:trHeight w:val="824"/>
        </w:trPr>
        <w:tc>
          <w:tcPr>
            <w:tcW w:w="2381" w:type="dxa"/>
            <w:tcBorders>
              <w:top w:val="single" w:sz="4" w:space="0" w:color="000000"/>
              <w:left w:val="single" w:sz="4" w:space="0" w:color="000000"/>
              <w:bottom w:val="single" w:sz="4" w:space="0" w:color="000000"/>
            </w:tcBorders>
            <w:shd w:val="clear" w:color="auto" w:fill="FFFFFF"/>
          </w:tcPr>
          <w:p w14:paraId="1E476A18"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sz w:val="24"/>
                <w:szCs w:val="24"/>
                <w:lang w:eastAsia="ar-IQ" w:bidi="ar-IQ"/>
              </w:rPr>
            </w:pPr>
            <w:r w:rsidRPr="00306051">
              <w:rPr>
                <w:rFonts w:ascii="Times New Roman" w:eastAsia="Calibri" w:hAnsi="Times New Roman" w:cs="Times New Roman"/>
                <w:sz w:val="24"/>
                <w:szCs w:val="24"/>
                <w:lang w:val="kk-KZ" w:eastAsia="ar-IQ" w:bidi="ar-IQ"/>
              </w:rPr>
              <w:t xml:space="preserve">Бүйрек </w:t>
            </w:r>
            <w:r w:rsidRPr="00306051">
              <w:rPr>
                <w:rFonts w:ascii="Times New Roman" w:eastAsia="Calibri" w:hAnsi="Times New Roman" w:cs="Times New Roman"/>
                <w:sz w:val="24"/>
                <w:szCs w:val="24"/>
                <w:lang w:eastAsia="ar-IQ" w:bidi="ar-IQ"/>
              </w:rPr>
              <w:t xml:space="preserve"> </w:t>
            </w:r>
            <w:proofErr w:type="spellStart"/>
            <w:r w:rsidRPr="00306051">
              <w:rPr>
                <w:rFonts w:ascii="Times New Roman" w:eastAsia="Calibri" w:hAnsi="Times New Roman" w:cs="Times New Roman"/>
                <w:sz w:val="24"/>
                <w:szCs w:val="24"/>
                <w:lang w:eastAsia="ar-IQ" w:bidi="ar-IQ"/>
              </w:rPr>
              <w:t>функци</w:t>
            </w:r>
            <w:proofErr w:type="spellEnd"/>
            <w:r w:rsidRPr="00306051">
              <w:rPr>
                <w:rFonts w:ascii="Times New Roman" w:eastAsia="Calibri" w:hAnsi="Times New Roman" w:cs="Times New Roman"/>
                <w:sz w:val="24"/>
                <w:szCs w:val="24"/>
                <w:lang w:val="kk-KZ" w:eastAsia="ar-IQ" w:bidi="ar-IQ"/>
              </w:rPr>
              <w:t>ясының бұзылуы</w:t>
            </w:r>
            <w:r w:rsidRPr="00306051">
              <w:rPr>
                <w:rFonts w:ascii="Times New Roman" w:eastAsia="Calibri" w:hAnsi="Times New Roman" w:cs="Times New Roman"/>
                <w:sz w:val="24"/>
                <w:szCs w:val="24"/>
                <w:lang w:eastAsia="ar-IQ" w:bidi="ar-IQ"/>
              </w:rPr>
              <w:t xml:space="preserve"> </w:t>
            </w:r>
          </w:p>
        </w:tc>
        <w:tc>
          <w:tcPr>
            <w:tcW w:w="3396" w:type="dxa"/>
            <w:tcBorders>
              <w:top w:val="single" w:sz="4" w:space="0" w:color="000000"/>
              <w:left w:val="single" w:sz="4" w:space="0" w:color="000000"/>
              <w:bottom w:val="single" w:sz="4" w:space="0" w:color="000000"/>
            </w:tcBorders>
            <w:shd w:val="clear" w:color="auto" w:fill="auto"/>
          </w:tcPr>
          <w:p w14:paraId="34BDCF35"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eastAsia="ar-IQ" w:bidi="ar-IQ"/>
              </w:rPr>
              <w:t xml:space="preserve">АИТВ-1 </w:t>
            </w:r>
            <w:proofErr w:type="spellStart"/>
            <w:r w:rsidRPr="00306051">
              <w:rPr>
                <w:rFonts w:ascii="Times New Roman" w:eastAsia="Calibri" w:hAnsi="Times New Roman" w:cs="Times New Roman"/>
                <w:sz w:val="24"/>
                <w:szCs w:val="24"/>
                <w:lang w:eastAsia="ar-IQ" w:bidi="ar-IQ"/>
              </w:rPr>
              <w:t>инфекци</w:t>
            </w:r>
            <w:proofErr w:type="spellEnd"/>
            <w:r w:rsidRPr="00306051">
              <w:rPr>
                <w:rFonts w:ascii="Times New Roman" w:eastAsia="Calibri" w:hAnsi="Times New Roman" w:cs="Times New Roman"/>
                <w:sz w:val="24"/>
                <w:szCs w:val="24"/>
                <w:lang w:val="kk-KZ" w:eastAsia="ar-IQ" w:bidi="ar-IQ"/>
              </w:rPr>
              <w:t>ясын емдеу</w:t>
            </w:r>
          </w:p>
        </w:tc>
        <w:tc>
          <w:tcPr>
            <w:tcW w:w="3520" w:type="dxa"/>
            <w:tcBorders>
              <w:top w:val="single" w:sz="4" w:space="0" w:color="000000"/>
              <w:left w:val="single" w:sz="4" w:space="0" w:color="000000"/>
              <w:bottom w:val="single" w:sz="4" w:space="0" w:color="000000"/>
              <w:right w:val="single" w:sz="4" w:space="0" w:color="000000"/>
            </w:tcBorders>
            <w:shd w:val="clear" w:color="auto" w:fill="FFFFFF"/>
          </w:tcPr>
          <w:p w14:paraId="70C2FF97" w14:textId="77777777" w:rsidR="00607595" w:rsidRPr="00306051" w:rsidRDefault="00607595">
            <w:pPr>
              <w:widowControl w:val="0"/>
              <w:shd w:val="clear" w:color="auto" w:fill="FFFFFF"/>
              <w:spacing w:after="0" w:line="100" w:lineRule="atLeast"/>
              <w:jc w:val="both"/>
            </w:pPr>
            <w:r w:rsidRPr="00306051">
              <w:rPr>
                <w:rFonts w:ascii="Times New Roman" w:eastAsia="Calibri" w:hAnsi="Times New Roman" w:cs="Times New Roman"/>
                <w:sz w:val="24"/>
                <w:szCs w:val="24"/>
                <w:lang w:val="kk-KZ" w:eastAsia="ar-IQ" w:bidi="ar-IQ"/>
              </w:rPr>
              <w:t>Жанасқанға дейінгі</w:t>
            </w:r>
            <w:r w:rsidRPr="00306051">
              <w:rPr>
                <w:rFonts w:ascii="Times New Roman" w:eastAsia="Calibri" w:hAnsi="Times New Roman" w:cs="Times New Roman"/>
                <w:sz w:val="24"/>
                <w:szCs w:val="24"/>
                <w:lang w:eastAsia="ar-IQ" w:bidi="ar-IQ"/>
              </w:rPr>
              <w:t xml:space="preserve"> профилактика</w:t>
            </w:r>
          </w:p>
        </w:tc>
      </w:tr>
      <w:tr w:rsidR="00607595" w:rsidRPr="007A5E44" w14:paraId="1EF71622" w14:textId="77777777" w:rsidTr="00F65A29">
        <w:trPr>
          <w:trHeight w:val="1607"/>
        </w:trPr>
        <w:tc>
          <w:tcPr>
            <w:tcW w:w="2381" w:type="dxa"/>
            <w:tcBorders>
              <w:top w:val="single" w:sz="4" w:space="0" w:color="000000"/>
              <w:left w:val="single" w:sz="4" w:space="0" w:color="000000"/>
              <w:bottom w:val="single" w:sz="4" w:space="0" w:color="000000"/>
            </w:tcBorders>
            <w:shd w:val="clear" w:color="auto" w:fill="FFFFFF"/>
          </w:tcPr>
          <w:p w14:paraId="7DEE0BAD"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 xml:space="preserve">Бүйрек </w:t>
            </w:r>
            <w:r w:rsidRPr="00306051">
              <w:rPr>
                <w:rFonts w:ascii="Times New Roman" w:eastAsia="Calibri" w:hAnsi="Times New Roman" w:cs="Times New Roman"/>
                <w:sz w:val="24"/>
                <w:szCs w:val="24"/>
                <w:lang w:eastAsia="ar-IQ" w:bidi="ar-IQ"/>
              </w:rPr>
              <w:t xml:space="preserve"> </w:t>
            </w:r>
            <w:proofErr w:type="spellStart"/>
            <w:r w:rsidRPr="00306051">
              <w:rPr>
                <w:rFonts w:ascii="Times New Roman" w:eastAsia="Calibri" w:hAnsi="Times New Roman" w:cs="Times New Roman"/>
                <w:sz w:val="24"/>
                <w:szCs w:val="24"/>
                <w:lang w:eastAsia="ar-IQ" w:bidi="ar-IQ"/>
              </w:rPr>
              <w:t>функци</w:t>
            </w:r>
            <w:proofErr w:type="spellEnd"/>
            <w:r w:rsidRPr="00306051">
              <w:rPr>
                <w:rFonts w:ascii="Times New Roman" w:eastAsia="Calibri" w:hAnsi="Times New Roman" w:cs="Times New Roman"/>
                <w:sz w:val="24"/>
                <w:szCs w:val="24"/>
                <w:lang w:val="kk-KZ" w:eastAsia="ar-IQ" w:bidi="ar-IQ"/>
              </w:rPr>
              <w:t>ясының жеңіл бұзылуы</w:t>
            </w:r>
            <w:r w:rsidRPr="00306051">
              <w:rPr>
                <w:rFonts w:ascii="Times New Roman" w:eastAsia="Calibri" w:hAnsi="Times New Roman" w:cs="Times New Roman"/>
                <w:sz w:val="24"/>
                <w:szCs w:val="24"/>
                <w:lang w:eastAsia="ar-IQ" w:bidi="ar-IQ"/>
              </w:rPr>
              <w:t xml:space="preserve"> (</w:t>
            </w:r>
            <w:proofErr w:type="spellStart"/>
            <w:r w:rsidRPr="00306051">
              <w:rPr>
                <w:rFonts w:ascii="Times New Roman" w:eastAsia="Calibri" w:hAnsi="Times New Roman" w:cs="Times New Roman"/>
                <w:sz w:val="24"/>
                <w:szCs w:val="24"/>
                <w:lang w:eastAsia="ar-IQ" w:bidi="ar-IQ"/>
              </w:rPr>
              <w:t>CrCl</w:t>
            </w:r>
            <w:proofErr w:type="spellEnd"/>
            <w:r w:rsidRPr="00306051">
              <w:rPr>
                <w:rFonts w:ascii="Times New Roman" w:eastAsia="Calibri" w:hAnsi="Times New Roman" w:cs="Times New Roman"/>
                <w:sz w:val="24"/>
                <w:szCs w:val="24"/>
                <w:lang w:eastAsia="ar-IQ" w:bidi="ar-IQ"/>
              </w:rPr>
              <w:t> 50</w:t>
            </w:r>
            <w:r w:rsidRPr="00306051">
              <w:rPr>
                <w:rFonts w:ascii="Times New Roman" w:eastAsia="Calibri" w:hAnsi="Times New Roman" w:cs="Times New Roman"/>
                <w:sz w:val="24"/>
                <w:szCs w:val="24"/>
                <w:lang w:eastAsia="ar-IQ" w:bidi="ar-IQ"/>
              </w:rPr>
              <w:noBreakHyphen/>
              <w:t>80 мл/мин)</w:t>
            </w:r>
          </w:p>
        </w:tc>
        <w:tc>
          <w:tcPr>
            <w:tcW w:w="3396" w:type="dxa"/>
            <w:tcBorders>
              <w:top w:val="single" w:sz="4" w:space="0" w:color="000000"/>
              <w:left w:val="single" w:sz="4" w:space="0" w:color="000000"/>
              <w:bottom w:val="single" w:sz="4" w:space="0" w:color="000000"/>
            </w:tcBorders>
            <w:shd w:val="clear" w:color="auto" w:fill="auto"/>
          </w:tcPr>
          <w:p w14:paraId="3042F5DE"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Клиникалық зерттеулердің шектеулі деректері Эмтрицитабин және тенофовир дизопроксил фумараты препаратын тәулігіне бір рет қабылдаудың пайдалылығын көрсетіп отыр (4.4 бөлімін қараңыз).</w:t>
            </w:r>
          </w:p>
          <w:p w14:paraId="13DF0F9B"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p>
          <w:p w14:paraId="6F666B7F"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p>
        </w:tc>
        <w:tc>
          <w:tcPr>
            <w:tcW w:w="3520" w:type="dxa"/>
            <w:tcBorders>
              <w:top w:val="single" w:sz="4" w:space="0" w:color="000000"/>
              <w:left w:val="single" w:sz="4" w:space="0" w:color="000000"/>
              <w:bottom w:val="single" w:sz="4" w:space="0" w:color="000000"/>
              <w:right w:val="single" w:sz="4" w:space="0" w:color="000000"/>
            </w:tcBorders>
            <w:shd w:val="clear" w:color="auto" w:fill="FFFFFF"/>
          </w:tcPr>
          <w:p w14:paraId="4736DE33" w14:textId="77777777" w:rsidR="00607595" w:rsidRPr="00306051" w:rsidRDefault="00607595">
            <w:pPr>
              <w:spacing w:after="0" w:line="100" w:lineRule="atLeast"/>
              <w:jc w:val="both"/>
              <w:rPr>
                <w:lang w:val="kk-KZ"/>
              </w:rPr>
            </w:pPr>
            <w:r w:rsidRPr="00306051">
              <w:rPr>
                <w:rFonts w:ascii="Times New Roman" w:eastAsia="Calibri" w:hAnsi="Times New Roman" w:cs="Times New Roman"/>
                <w:sz w:val="24"/>
                <w:szCs w:val="24"/>
                <w:lang w:val="kk-KZ" w:eastAsia="ar-IQ" w:bidi="ar-IQ"/>
              </w:rPr>
              <w:t>Клиникалық зерттеулердің нәтижесінде алынған шектеулі деректер, инфекция жұқтырмаған, креатинин Cl 60–80 мл/минут пациенттердің Эмтрицитабин және тенофовир дизопроксил фумараты препаратын тәулігіне 1 рет дозалау режимін сақтауының пайдалылығын көрсетіп отыр. АИТВ-1 инфекциясын жұқтырмаған, креатинин Cl 60 мл/минуттан аз пациенттер популяциясында деректердің жоқтығына байланысты, олардың Эмтрицитабин және тенофовир дизопроксил фумараты препаратын қабылдауы ұсынылмайды (4.4, 5.2 бөлімдерін қараңыз)</w:t>
            </w:r>
          </w:p>
        </w:tc>
      </w:tr>
      <w:tr w:rsidR="00607595" w:rsidRPr="007A5E44" w14:paraId="771AF954" w14:textId="77777777" w:rsidTr="00F65A29">
        <w:trPr>
          <w:trHeight w:val="4119"/>
        </w:trPr>
        <w:tc>
          <w:tcPr>
            <w:tcW w:w="2381" w:type="dxa"/>
            <w:tcBorders>
              <w:top w:val="single" w:sz="4" w:space="0" w:color="000000"/>
              <w:left w:val="single" w:sz="4" w:space="0" w:color="000000"/>
              <w:bottom w:val="single" w:sz="4" w:space="0" w:color="000000"/>
            </w:tcBorders>
            <w:shd w:val="clear" w:color="auto" w:fill="FFFFFF"/>
          </w:tcPr>
          <w:p w14:paraId="0818D465"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lastRenderedPageBreak/>
              <w:t>Бүйрек  функциясының орташа бұзылуы (CrCl 30</w:t>
            </w:r>
            <w:r w:rsidRPr="00306051">
              <w:rPr>
                <w:rFonts w:ascii="Times New Roman" w:eastAsia="Calibri" w:hAnsi="Times New Roman" w:cs="Times New Roman"/>
                <w:sz w:val="24"/>
                <w:szCs w:val="24"/>
                <w:lang w:val="kk-KZ" w:eastAsia="ar-IQ" w:bidi="ar-IQ"/>
              </w:rPr>
              <w:noBreakHyphen/>
              <w:t>49 мл/мин)</w:t>
            </w:r>
          </w:p>
        </w:tc>
        <w:tc>
          <w:tcPr>
            <w:tcW w:w="3396" w:type="dxa"/>
            <w:tcBorders>
              <w:top w:val="single" w:sz="4" w:space="0" w:color="000000"/>
              <w:left w:val="single" w:sz="4" w:space="0" w:color="000000"/>
              <w:bottom w:val="single" w:sz="4" w:space="0" w:color="000000"/>
            </w:tcBorders>
            <w:shd w:val="clear" w:color="auto" w:fill="auto"/>
          </w:tcPr>
          <w:p w14:paraId="3B98E974" w14:textId="77777777" w:rsidR="00607595" w:rsidRPr="00306051" w:rsidRDefault="00607595" w:rsidP="00F65A29">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Эмтрицитабин және тенофовир дизопроксил фумаратын бір рет қабылдағаннан кейін фармакокинетикасының деректерін модельдеудің негізінде, АИТВ инфекциясы жоқ, бүйрек функциясы бұзылуының түрлі дәрежелері бар пациенттерде  Эмтрицитабин және тенофовир дизопроксил фумараты препаратын әр 48 сағат сайын қабылдау ұсынылады</w:t>
            </w:r>
            <w:r w:rsidRPr="00306051">
              <w:rPr>
                <w:rFonts w:ascii="Times New Roman" w:hAnsi="Times New Roman" w:cs="Times New Roman"/>
                <w:sz w:val="24"/>
                <w:szCs w:val="24"/>
                <w:lang w:val="kk-KZ"/>
              </w:rPr>
              <w:t xml:space="preserve"> (4.4 бөлімін қараңыз).</w:t>
            </w:r>
          </w:p>
        </w:tc>
        <w:tc>
          <w:tcPr>
            <w:tcW w:w="3520" w:type="dxa"/>
            <w:tcBorders>
              <w:top w:val="single" w:sz="4" w:space="0" w:color="000000"/>
              <w:left w:val="single" w:sz="4" w:space="0" w:color="000000"/>
              <w:bottom w:val="single" w:sz="4" w:space="0" w:color="000000"/>
              <w:right w:val="single" w:sz="4" w:space="0" w:color="000000"/>
            </w:tcBorders>
            <w:shd w:val="clear" w:color="auto" w:fill="FFFFFF"/>
          </w:tcPr>
          <w:p w14:paraId="7440DAE8" w14:textId="77777777" w:rsidR="00607595" w:rsidRPr="00306051" w:rsidRDefault="00607595">
            <w:pPr>
              <w:tabs>
                <w:tab w:val="left" w:pos="567"/>
              </w:tabs>
              <w:spacing w:after="0" w:line="100" w:lineRule="atLeast"/>
              <w:jc w:val="both"/>
              <w:rPr>
                <w:lang w:val="kk-KZ"/>
              </w:rPr>
            </w:pPr>
            <w:r w:rsidRPr="00306051">
              <w:rPr>
                <w:rFonts w:ascii="Times New Roman" w:eastAsia="Calibri" w:hAnsi="Times New Roman" w:cs="Times New Roman"/>
                <w:sz w:val="24"/>
                <w:szCs w:val="24"/>
                <w:lang w:val="kk-KZ" w:eastAsia="ar-IQ" w:bidi="ar-IQ"/>
              </w:rPr>
              <w:t>Пациенттердің бұл тобында пайдалану ұсынылмайды</w:t>
            </w:r>
            <w:r w:rsidRPr="00306051">
              <w:rPr>
                <w:rFonts w:ascii="Times New Roman" w:eastAsia="Calibri" w:hAnsi="Times New Roman" w:cs="Times New Roman"/>
                <w:sz w:val="24"/>
                <w:szCs w:val="24"/>
                <w:lang w:val="kk-KZ"/>
              </w:rPr>
              <w:t>.</w:t>
            </w:r>
          </w:p>
        </w:tc>
      </w:tr>
      <w:tr w:rsidR="00607595" w:rsidRPr="007A5E44" w14:paraId="3BB84BD2" w14:textId="77777777" w:rsidTr="00F65A29">
        <w:tc>
          <w:tcPr>
            <w:tcW w:w="2381" w:type="dxa"/>
            <w:tcBorders>
              <w:top w:val="single" w:sz="4" w:space="0" w:color="000000"/>
              <w:left w:val="single" w:sz="4" w:space="0" w:color="000000"/>
              <w:bottom w:val="single" w:sz="4" w:space="0" w:color="000000"/>
            </w:tcBorders>
            <w:shd w:val="clear" w:color="auto" w:fill="FFFFFF"/>
          </w:tcPr>
          <w:p w14:paraId="60DBFFE1"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Бүйрек  функциясының ауыр бұзылуы (CrCl &lt; 30 мл/мин) және гемодиализдегі пациенттер</w:t>
            </w:r>
          </w:p>
        </w:tc>
        <w:tc>
          <w:tcPr>
            <w:tcW w:w="3396" w:type="dxa"/>
            <w:tcBorders>
              <w:top w:val="single" w:sz="4" w:space="0" w:color="000000"/>
              <w:left w:val="single" w:sz="4" w:space="0" w:color="000000"/>
              <w:bottom w:val="single" w:sz="4" w:space="0" w:color="000000"/>
            </w:tcBorders>
            <w:shd w:val="clear" w:color="auto" w:fill="auto"/>
          </w:tcPr>
          <w:p w14:paraId="72F43805" w14:textId="77777777" w:rsidR="00607595" w:rsidRPr="00306051" w:rsidRDefault="00607595" w:rsidP="00F65A29">
            <w:pPr>
              <w:spacing w:after="0" w:line="100" w:lineRule="atLeast"/>
              <w:jc w:val="both"/>
              <w:rPr>
                <w:rFonts w:ascii="Times New Roman" w:hAnsi="Times New Roman" w:cs="Times New Roman"/>
                <w:sz w:val="24"/>
                <w:szCs w:val="24"/>
                <w:lang w:val="kk-KZ"/>
              </w:rPr>
            </w:pPr>
            <w:r w:rsidRPr="00306051">
              <w:rPr>
                <w:rFonts w:ascii="Times New Roman" w:eastAsia="Calibri" w:hAnsi="Times New Roman" w:cs="Times New Roman"/>
                <w:sz w:val="24"/>
                <w:szCs w:val="24"/>
                <w:lang w:val="kk-KZ" w:eastAsia="ar-IQ" w:bidi="ar-IQ"/>
              </w:rPr>
              <w:t>Біріктірілген таблеткаларды пайдаланғанда дозасының дұрыс түзетілуіне қол жеткізу мүмкін болмағандықтан, Эмтрицитабин және тенофовир дизопроксил фумараты препараты ұсынылмайды</w:t>
            </w:r>
            <w:r w:rsidRPr="00306051">
              <w:rPr>
                <w:rFonts w:ascii="Times New Roman" w:hAnsi="Times New Roman" w:cs="Times New Roman"/>
                <w:sz w:val="24"/>
                <w:szCs w:val="24"/>
                <w:lang w:val="kk-KZ"/>
              </w:rPr>
              <w:t>.</w:t>
            </w:r>
          </w:p>
          <w:p w14:paraId="1E161D7E" w14:textId="77777777" w:rsidR="00607595" w:rsidRPr="00306051" w:rsidRDefault="00607595">
            <w:pPr>
              <w:spacing w:after="0" w:line="100" w:lineRule="atLeast"/>
              <w:rPr>
                <w:rFonts w:ascii="Times New Roman" w:hAnsi="Times New Roman" w:cs="Times New Roman"/>
                <w:sz w:val="24"/>
                <w:szCs w:val="24"/>
                <w:lang w:val="kk-KZ"/>
              </w:rPr>
            </w:pPr>
          </w:p>
        </w:tc>
        <w:tc>
          <w:tcPr>
            <w:tcW w:w="3520" w:type="dxa"/>
            <w:tcBorders>
              <w:top w:val="single" w:sz="4" w:space="0" w:color="000000"/>
              <w:left w:val="single" w:sz="4" w:space="0" w:color="000000"/>
              <w:bottom w:val="single" w:sz="4" w:space="0" w:color="000000"/>
              <w:right w:val="single" w:sz="4" w:space="0" w:color="000000"/>
            </w:tcBorders>
            <w:shd w:val="clear" w:color="auto" w:fill="FFFFFF"/>
          </w:tcPr>
          <w:p w14:paraId="5176200C" w14:textId="77777777" w:rsidR="00607595" w:rsidRPr="00306051" w:rsidRDefault="00607595">
            <w:pPr>
              <w:tabs>
                <w:tab w:val="left" w:pos="567"/>
              </w:tabs>
              <w:spacing w:after="0" w:line="100" w:lineRule="atLeast"/>
              <w:jc w:val="both"/>
              <w:rPr>
                <w:lang w:val="kk-KZ"/>
              </w:rPr>
            </w:pPr>
            <w:r w:rsidRPr="00306051">
              <w:rPr>
                <w:rFonts w:ascii="Times New Roman" w:eastAsia="Calibri" w:hAnsi="Times New Roman" w:cs="Times New Roman"/>
                <w:sz w:val="24"/>
                <w:szCs w:val="24"/>
                <w:lang w:val="kk-KZ" w:eastAsia="ar-IQ" w:bidi="ar-IQ"/>
              </w:rPr>
              <w:t>Пациенттердің бұл тобында пайдалану ұсынылмайды</w:t>
            </w:r>
            <w:r w:rsidRPr="00306051">
              <w:rPr>
                <w:rFonts w:ascii="Times New Roman" w:eastAsia="Calibri" w:hAnsi="Times New Roman" w:cs="Times New Roman"/>
                <w:sz w:val="24"/>
                <w:szCs w:val="24"/>
                <w:lang w:val="kk-KZ"/>
              </w:rPr>
              <w:t>.</w:t>
            </w:r>
          </w:p>
        </w:tc>
      </w:tr>
    </w:tbl>
    <w:p w14:paraId="28417A80" w14:textId="77777777" w:rsidR="00607595" w:rsidRPr="00306051" w:rsidRDefault="00607595">
      <w:pPr>
        <w:pStyle w:val="ae"/>
        <w:jc w:val="both"/>
        <w:rPr>
          <w:rFonts w:ascii="Times New Roman" w:hAnsi="Times New Roman"/>
          <w:b/>
          <w:sz w:val="24"/>
          <w:szCs w:val="24"/>
          <w:lang w:val="kk-KZ"/>
        </w:rPr>
      </w:pPr>
      <w:r w:rsidRPr="00306051">
        <w:rPr>
          <w:rFonts w:ascii="Times New Roman" w:hAnsi="Times New Roman"/>
          <w:i/>
          <w:iCs/>
          <w:sz w:val="24"/>
          <w:szCs w:val="24"/>
          <w:lang w:val="kk-KZ" w:eastAsia="ar-IQ" w:bidi="ar-IQ"/>
        </w:rPr>
        <w:t>Бауыр жеткіліксіздігі.</w:t>
      </w:r>
      <w:r w:rsidRPr="00306051">
        <w:rPr>
          <w:rFonts w:ascii="Times New Roman" w:hAnsi="Times New Roman"/>
          <w:sz w:val="24"/>
          <w:szCs w:val="24"/>
          <w:lang w:val="kk-KZ" w:eastAsia="ar-IQ" w:bidi="ar-IQ"/>
        </w:rPr>
        <w:t xml:space="preserve"> Бауыр функциясы бұзылған пациенттерге дозасын түзету қажет емес (</w:t>
      </w:r>
      <w:r w:rsidRPr="00306051">
        <w:rPr>
          <w:rFonts w:ascii="Times New Roman" w:hAnsi="Times New Roman"/>
          <w:sz w:val="24"/>
          <w:szCs w:val="24"/>
          <w:lang w:val="kk-KZ"/>
        </w:rPr>
        <w:t xml:space="preserve">4.4 және 5.2 </w:t>
      </w:r>
      <w:r w:rsidRPr="00306051">
        <w:rPr>
          <w:rFonts w:ascii="Times New Roman" w:hAnsi="Times New Roman"/>
          <w:sz w:val="24"/>
          <w:szCs w:val="24"/>
          <w:lang w:val="kk-KZ" w:eastAsia="ar-IQ" w:bidi="ar-IQ"/>
        </w:rPr>
        <w:t>бөлімдерін қараңыз</w:t>
      </w:r>
      <w:r w:rsidRPr="00306051">
        <w:rPr>
          <w:rFonts w:ascii="Times New Roman" w:hAnsi="Times New Roman"/>
          <w:sz w:val="24"/>
          <w:szCs w:val="24"/>
          <w:lang w:val="kk-KZ"/>
        </w:rPr>
        <w:t>).</w:t>
      </w:r>
    </w:p>
    <w:p w14:paraId="730557B7" w14:textId="77777777" w:rsidR="00607595" w:rsidRPr="00306051" w:rsidRDefault="00607595">
      <w:pPr>
        <w:spacing w:after="0" w:line="100" w:lineRule="atLeast"/>
        <w:jc w:val="both"/>
        <w:rPr>
          <w:rFonts w:ascii="Times New Roman" w:hAnsi="Times New Roman" w:cs="Times New Roman"/>
          <w:spacing w:val="-1"/>
          <w:sz w:val="24"/>
          <w:szCs w:val="24"/>
          <w:lang w:val="kk-KZ"/>
        </w:rPr>
      </w:pPr>
      <w:r w:rsidRPr="00306051">
        <w:rPr>
          <w:rFonts w:ascii="Times New Roman" w:hAnsi="Times New Roman" w:cs="Times New Roman"/>
          <w:b/>
          <w:sz w:val="24"/>
          <w:szCs w:val="24"/>
          <w:lang w:val="kk-KZ"/>
        </w:rPr>
        <w:t>Қолдану тәсілі</w:t>
      </w:r>
    </w:p>
    <w:p w14:paraId="2F02F1CE" w14:textId="77777777" w:rsidR="00607595" w:rsidRPr="00306051" w:rsidRDefault="00607595">
      <w:pPr>
        <w:widowControl w:val="0"/>
        <w:shd w:val="clear" w:color="auto" w:fill="FFFFFF"/>
        <w:spacing w:after="0" w:line="100" w:lineRule="atLeast"/>
        <w:jc w:val="both"/>
        <w:rPr>
          <w:rFonts w:ascii="Times New Roman" w:hAnsi="Times New Roman" w:cs="Times New Roman"/>
          <w:spacing w:val="-1"/>
          <w:sz w:val="24"/>
          <w:szCs w:val="24"/>
          <w:lang w:val="kk-KZ"/>
        </w:rPr>
      </w:pPr>
      <w:r w:rsidRPr="00306051">
        <w:rPr>
          <w:rFonts w:ascii="Times New Roman" w:hAnsi="Times New Roman" w:cs="Times New Roman"/>
          <w:spacing w:val="-1"/>
          <w:sz w:val="24"/>
          <w:szCs w:val="24"/>
          <w:lang w:val="kk-KZ"/>
        </w:rPr>
        <w:t xml:space="preserve">Ішке қабылдауға арналған. Эмтрицитабин және тенофовир дизопроксил фумараты препаратын тамақпен  бірге қабылдаған дұрыс. </w:t>
      </w:r>
    </w:p>
    <w:p w14:paraId="1F033C16" w14:textId="77777777" w:rsidR="00607595" w:rsidRPr="00306051" w:rsidRDefault="00607595">
      <w:pPr>
        <w:spacing w:after="0" w:line="100" w:lineRule="atLeast"/>
        <w:jc w:val="both"/>
        <w:rPr>
          <w:rFonts w:ascii="Times New Roman" w:hAnsi="Times New Roman" w:cs="Times New Roman"/>
          <w:b/>
          <w:sz w:val="24"/>
          <w:szCs w:val="24"/>
          <w:lang w:val="kk-KZ"/>
        </w:rPr>
      </w:pPr>
      <w:r w:rsidRPr="00306051">
        <w:rPr>
          <w:rFonts w:ascii="Times New Roman" w:hAnsi="Times New Roman" w:cs="Times New Roman"/>
          <w:spacing w:val="-1"/>
          <w:sz w:val="24"/>
          <w:szCs w:val="24"/>
          <w:lang w:val="kk-KZ"/>
        </w:rPr>
        <w:t>Эмтрицитабин және тенофовир дизопроксил фумараты препаратының таблеткасын 100 мл жуық суда, апельсин немесе жүзім шырынында – еріткеннен кейін бірден қабылдауға болады</w:t>
      </w:r>
      <w:r w:rsidRPr="00306051">
        <w:rPr>
          <w:rFonts w:ascii="Times New Roman" w:hAnsi="Times New Roman" w:cs="Times New Roman"/>
          <w:sz w:val="24"/>
          <w:szCs w:val="24"/>
          <w:lang w:val="kk-KZ"/>
        </w:rPr>
        <w:t>.</w:t>
      </w:r>
    </w:p>
    <w:p w14:paraId="5A24E012" w14:textId="77777777" w:rsidR="00607595" w:rsidRPr="00306051" w:rsidRDefault="00607595">
      <w:pPr>
        <w:spacing w:after="0" w:line="100" w:lineRule="atLeast"/>
        <w:jc w:val="both"/>
        <w:rPr>
          <w:rFonts w:ascii="Times New Roman" w:hAnsi="Times New Roman" w:cs="Times New Roman"/>
          <w:b/>
          <w:sz w:val="24"/>
          <w:szCs w:val="24"/>
          <w:lang w:val="kk-KZ"/>
        </w:rPr>
      </w:pPr>
    </w:p>
    <w:p w14:paraId="53B508B3" w14:textId="77777777" w:rsidR="00607595" w:rsidRPr="00306051" w:rsidRDefault="00607595">
      <w:pPr>
        <w:spacing w:after="0" w:line="100" w:lineRule="atLeast"/>
        <w:jc w:val="both"/>
        <w:rPr>
          <w:rFonts w:ascii="Times New Roman" w:hAnsi="Times New Roman" w:cs="Times New Roman"/>
          <w:spacing w:val="-1"/>
          <w:sz w:val="24"/>
          <w:szCs w:val="24"/>
          <w:lang w:val="kk-KZ"/>
        </w:rPr>
      </w:pPr>
      <w:r w:rsidRPr="00306051">
        <w:rPr>
          <w:rFonts w:ascii="Times New Roman" w:hAnsi="Times New Roman" w:cs="Times New Roman"/>
          <w:b/>
          <w:sz w:val="24"/>
          <w:szCs w:val="24"/>
          <w:lang w:val="kk-KZ"/>
        </w:rPr>
        <w:t>4.3. Қолдануға болмайтын жағдайлар</w:t>
      </w:r>
    </w:p>
    <w:p w14:paraId="631BA606" w14:textId="77777777" w:rsidR="00607595" w:rsidRPr="00306051" w:rsidRDefault="00607595">
      <w:pPr>
        <w:pStyle w:val="ae"/>
        <w:jc w:val="both"/>
        <w:rPr>
          <w:rFonts w:ascii="Times New Roman" w:hAnsi="Times New Roman"/>
          <w:spacing w:val="-1"/>
          <w:sz w:val="24"/>
          <w:szCs w:val="24"/>
          <w:lang w:val="kk-KZ"/>
        </w:rPr>
      </w:pPr>
      <w:r w:rsidRPr="00306051">
        <w:rPr>
          <w:rFonts w:ascii="Times New Roman" w:hAnsi="Times New Roman"/>
          <w:spacing w:val="-1"/>
          <w:sz w:val="24"/>
          <w:szCs w:val="24"/>
          <w:lang w:val="kk-KZ"/>
        </w:rPr>
        <w:t xml:space="preserve">– </w:t>
      </w:r>
      <w:r w:rsidRPr="00306051">
        <w:rPr>
          <w:rFonts w:ascii="Times New Roman" w:hAnsi="Times New Roman"/>
          <w:bCs/>
          <w:spacing w:val="-3"/>
          <w:sz w:val="24"/>
          <w:szCs w:val="24"/>
          <w:lang w:val="kk-KZ"/>
        </w:rPr>
        <w:t xml:space="preserve">препараттың белсенді заттарына немесе </w:t>
      </w:r>
      <w:r w:rsidRPr="00306051">
        <w:rPr>
          <w:rFonts w:ascii="Times New Roman" w:hAnsi="Times New Roman"/>
          <w:sz w:val="24"/>
          <w:szCs w:val="24"/>
          <w:lang w:val="kk-KZ" w:eastAsia="ar-IQ" w:bidi="ar-IQ"/>
        </w:rPr>
        <w:t xml:space="preserve">6.1 </w:t>
      </w:r>
      <w:r w:rsidRPr="00306051">
        <w:rPr>
          <w:rFonts w:ascii="Times New Roman" w:hAnsi="Times New Roman"/>
          <w:bCs/>
          <w:spacing w:val="-3"/>
          <w:sz w:val="24"/>
          <w:szCs w:val="24"/>
          <w:lang w:val="kk-KZ"/>
        </w:rPr>
        <w:t>бөлімінде атап келтірілген қосымша заттарының кез келгеніне жоғары сезімталдық</w:t>
      </w:r>
      <w:r w:rsidRPr="00306051">
        <w:rPr>
          <w:rFonts w:ascii="Times New Roman" w:hAnsi="Times New Roman"/>
          <w:sz w:val="24"/>
          <w:szCs w:val="24"/>
          <w:lang w:val="kk-KZ" w:eastAsia="ar-IQ" w:bidi="ar-IQ"/>
        </w:rPr>
        <w:t xml:space="preserve"> </w:t>
      </w:r>
    </w:p>
    <w:p w14:paraId="36BD1CB5" w14:textId="77777777" w:rsidR="00607595" w:rsidRPr="00306051" w:rsidRDefault="00607595">
      <w:pPr>
        <w:spacing w:after="0" w:line="100" w:lineRule="atLeast"/>
        <w:rPr>
          <w:rFonts w:ascii="Times New Roman" w:hAnsi="Times New Roman" w:cs="Times New Roman"/>
          <w:spacing w:val="-1"/>
          <w:sz w:val="24"/>
          <w:szCs w:val="24"/>
          <w:lang w:val="kk-KZ"/>
        </w:rPr>
      </w:pPr>
      <w:r w:rsidRPr="00306051">
        <w:rPr>
          <w:rFonts w:ascii="Times New Roman" w:hAnsi="Times New Roman" w:cs="Times New Roman"/>
          <w:spacing w:val="-1"/>
          <w:sz w:val="24"/>
          <w:szCs w:val="24"/>
          <w:lang w:val="kk-KZ"/>
        </w:rPr>
        <w:t xml:space="preserve">– </w:t>
      </w:r>
      <w:r w:rsidRPr="00306051">
        <w:rPr>
          <w:rFonts w:ascii="Times New Roman" w:hAnsi="Times New Roman" w:cs="Times New Roman"/>
          <w:bCs/>
          <w:spacing w:val="-3"/>
          <w:sz w:val="24"/>
          <w:szCs w:val="24"/>
          <w:lang w:val="kk-KZ"/>
        </w:rPr>
        <w:t>АИТВ-1 статусы белгісіз немесе оң адамдарда жанасқанға дейінгі профилактика мақсатында қолдану үшін;</w:t>
      </w:r>
    </w:p>
    <w:p w14:paraId="10030E25" w14:textId="77777777" w:rsidR="00607595" w:rsidRPr="00306051" w:rsidRDefault="00607595">
      <w:pPr>
        <w:widowControl w:val="0"/>
        <w:shd w:val="clear" w:color="auto" w:fill="FFFFFF"/>
        <w:spacing w:after="0" w:line="100" w:lineRule="atLeast"/>
        <w:jc w:val="both"/>
        <w:rPr>
          <w:rFonts w:ascii="Times New Roman" w:hAnsi="Times New Roman" w:cs="Times New Roman"/>
          <w:spacing w:val="-1"/>
          <w:sz w:val="24"/>
          <w:szCs w:val="24"/>
          <w:lang w:val="kk-KZ"/>
        </w:rPr>
      </w:pPr>
      <w:r w:rsidRPr="00306051">
        <w:rPr>
          <w:rFonts w:ascii="Times New Roman" w:hAnsi="Times New Roman" w:cs="Times New Roman"/>
          <w:spacing w:val="-1"/>
          <w:sz w:val="24"/>
          <w:szCs w:val="24"/>
          <w:lang w:val="kk-KZ"/>
        </w:rPr>
        <w:t xml:space="preserve">– </w:t>
      </w:r>
      <w:r w:rsidRPr="00306051">
        <w:rPr>
          <w:rFonts w:ascii="Times New Roman" w:hAnsi="Times New Roman" w:cs="Times New Roman"/>
          <w:bCs/>
          <w:spacing w:val="-3"/>
          <w:sz w:val="24"/>
          <w:szCs w:val="24"/>
          <w:lang w:val="kk-KZ"/>
        </w:rPr>
        <w:t xml:space="preserve">тұқым қуалайтын фруктоза жақпаушылығы, Lapp-лактаза ферментінің тапшылығы, глюкоза-галактоза мальабсорбциясы; </w:t>
      </w:r>
    </w:p>
    <w:p w14:paraId="6042525E" w14:textId="77777777" w:rsidR="00607595" w:rsidRPr="00306051" w:rsidRDefault="00607595">
      <w:pPr>
        <w:widowControl w:val="0"/>
        <w:shd w:val="clear" w:color="auto" w:fill="FFFFFF"/>
        <w:spacing w:after="0" w:line="100" w:lineRule="atLeast"/>
        <w:jc w:val="both"/>
        <w:rPr>
          <w:rFonts w:ascii="Times New Roman" w:hAnsi="Times New Roman" w:cs="Times New Roman"/>
          <w:bCs/>
          <w:spacing w:val="-3"/>
          <w:sz w:val="24"/>
          <w:szCs w:val="24"/>
          <w:lang w:val="kk-KZ"/>
        </w:rPr>
      </w:pPr>
      <w:r w:rsidRPr="00306051">
        <w:rPr>
          <w:rFonts w:ascii="Times New Roman" w:hAnsi="Times New Roman" w:cs="Times New Roman"/>
          <w:spacing w:val="-1"/>
          <w:sz w:val="24"/>
          <w:szCs w:val="24"/>
          <w:lang w:val="kk-KZ"/>
        </w:rPr>
        <w:t xml:space="preserve">– </w:t>
      </w:r>
      <w:r w:rsidRPr="00306051">
        <w:rPr>
          <w:rFonts w:ascii="Times New Roman" w:hAnsi="Times New Roman" w:cs="Times New Roman"/>
          <w:bCs/>
          <w:spacing w:val="-3"/>
          <w:sz w:val="24"/>
          <w:szCs w:val="24"/>
          <w:lang w:val="kk-KZ"/>
        </w:rPr>
        <w:t>балалар мен 18 жасқа дейінгі жасөспірімдерге (препараттың құрамында индигокармин бояғышы бар болғандықтан).</w:t>
      </w:r>
    </w:p>
    <w:p w14:paraId="6B5ED170" w14:textId="77777777" w:rsidR="00607595" w:rsidRPr="00306051" w:rsidRDefault="00607595">
      <w:pPr>
        <w:pStyle w:val="ae"/>
        <w:jc w:val="both"/>
        <w:rPr>
          <w:rFonts w:ascii="Times New Roman" w:hAnsi="Times New Roman"/>
          <w:sz w:val="24"/>
          <w:szCs w:val="24"/>
          <w:lang w:val="kk-KZ" w:eastAsia="ar-IQ" w:bidi="ar-IQ"/>
        </w:rPr>
      </w:pPr>
    </w:p>
    <w:p w14:paraId="2F95A81B" w14:textId="77777777" w:rsidR="00607595" w:rsidRPr="00306051" w:rsidRDefault="00607595">
      <w:pPr>
        <w:spacing w:after="0" w:line="100" w:lineRule="atLeast"/>
        <w:jc w:val="both"/>
        <w:rPr>
          <w:rFonts w:ascii="Times New Roman" w:eastAsia="Calibri" w:hAnsi="Times New Roman" w:cs="Times New Roman"/>
          <w:i/>
          <w:sz w:val="24"/>
          <w:szCs w:val="24"/>
          <w:lang w:val="kk-KZ" w:eastAsia="ar-IQ" w:bidi="ar-IQ"/>
        </w:rPr>
      </w:pPr>
      <w:r w:rsidRPr="00306051">
        <w:rPr>
          <w:rFonts w:ascii="Times New Roman" w:hAnsi="Times New Roman" w:cs="Times New Roman"/>
          <w:b/>
          <w:sz w:val="24"/>
          <w:szCs w:val="24"/>
          <w:lang w:val="kk-KZ"/>
        </w:rPr>
        <w:t xml:space="preserve">4.4. </w:t>
      </w:r>
      <w:r w:rsidRPr="00306051">
        <w:rPr>
          <w:rFonts w:ascii="Times New Roman" w:hAnsi="Times New Roman" w:cs="Times New Roman"/>
          <w:b/>
          <w:bCs/>
          <w:sz w:val="24"/>
          <w:szCs w:val="24"/>
          <w:lang w:val="kk-KZ"/>
        </w:rPr>
        <w:t>Айрықша нұсқаулар және қолдану кезіндегі сақтық шаралары</w:t>
      </w:r>
    </w:p>
    <w:p w14:paraId="1B5ED560" w14:textId="77777777" w:rsidR="00607595" w:rsidRPr="00306051" w:rsidRDefault="00607595" w:rsidP="00877C3F">
      <w:pPr>
        <w:spacing w:after="0" w:line="240" w:lineRule="auto"/>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АИТВ берілуі</w:t>
      </w:r>
    </w:p>
    <w:p w14:paraId="202C74E1" w14:textId="77777777" w:rsidR="00607595" w:rsidRPr="00306051" w:rsidRDefault="00607595" w:rsidP="00877C3F">
      <w:pPr>
        <w:spacing w:after="0" w:line="240" w:lineRule="auto"/>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sz w:val="24"/>
          <w:szCs w:val="24"/>
          <w:lang w:val="kk-KZ" w:eastAsia="ar-IQ" w:bidi="ar-IQ"/>
        </w:rPr>
        <w:t>Антиретровирустық еммен вирустың тиімді бәсеңдетілуі вирустың жыныстық жолмен берілу қаупін едәуір төмендететіндігі фактісі анықталғандығына қарамастан, қалдықтық қауіпті жоққа шығару мүмкін емес. Ұлттық нұсқауларға сәйкес, вирус берілуінің профилактикасы шараларын қолдану керек.</w:t>
      </w:r>
    </w:p>
    <w:p w14:paraId="648CADA2"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АИТВ-1 резистенттілігінің мутациялары бар пациенттер</w:t>
      </w:r>
    </w:p>
    <w:p w14:paraId="03EE0E26"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lastRenderedPageBreak/>
        <w:t>Эмтрицитабин және тенофовир дизопроксил фумараты</w:t>
      </w:r>
      <w:r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lang w:val="kk-KZ" w:eastAsia="ar-IQ" w:bidi="ar-IQ"/>
        </w:rPr>
        <w:t>препараты АИТВ-1 инфекциясымен, K65R кодонындағы мутациясы бар пациенттерге тағайындалмауы тиіс (5.1 бөлімін қараңыз).</w:t>
      </w:r>
    </w:p>
    <w:p w14:paraId="5EA189AA"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АИТВ инфекциясы профилактикасының жалпы стратегиясы</w:t>
      </w:r>
    </w:p>
    <w:p w14:paraId="762B31FF"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Эмтрицитабин және тенофовир дизопроксил фумараты</w:t>
      </w:r>
      <w:r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lang w:val="kk-KZ" w:eastAsia="ar-IQ" w:bidi="ar-IQ"/>
        </w:rPr>
        <w:t>препараты АИТВ-1 жұқтырудың профилактикасы үшін үнемі тиімді бола бермейді. Эмтрицитабин және тенофовир дизопроксил фумараты</w:t>
      </w:r>
      <w:r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lang w:val="kk-KZ" w:eastAsia="ar-IQ" w:bidi="ar-IQ"/>
        </w:rPr>
        <w:t>препаратын қабылдағаннан кейін қорғағыштық әсері басталғанға дейінгі кезеңнің ұзақтығы белгісіз. Эмтрицитабин және тенофовир дизопроксил фумараты</w:t>
      </w:r>
      <w:r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lang w:val="kk-KZ" w:eastAsia="ar-IQ" w:bidi="ar-IQ"/>
        </w:rPr>
        <w:t>препаратын АИТВ-1 инфекциясы профилактикасының басқа профилактика шараларын (мысалы, мүшеқаптарды тұрақты және дұрыс пайдалану, АИТВ статусынан хабардар болу, жыныстық жолмен берілетін басқа инфекцияларға қатысты жүйелі түрде тестілеуден өтіп отыру) қолдануды қамтитын жалпы стратегиясының бір бөлігі ретінде, ЖДП үшін пайдалану керек.</w:t>
      </w:r>
    </w:p>
    <w:p w14:paraId="7229EB69"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Жасырын АИТВ-1 инфекциясы болған жағдайда резистенттіліктің даму қаупі.</w:t>
      </w:r>
      <w:r w:rsidRPr="00306051">
        <w:rPr>
          <w:rFonts w:ascii="Times New Roman" w:eastAsia="Calibri" w:hAnsi="Times New Roman" w:cs="Times New Roman"/>
          <w:sz w:val="24"/>
          <w:szCs w:val="24"/>
          <w:lang w:val="kk-KZ" w:eastAsia="ar-IQ" w:bidi="ar-IQ"/>
        </w:rPr>
        <w:t xml:space="preserve"> </w:t>
      </w:r>
    </w:p>
    <w:p w14:paraId="4D390B03"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Эмтрицитабин және тенофовир дизопроксил фумараты</w:t>
      </w:r>
      <w:r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lang w:val="kk-KZ" w:eastAsia="ar-IQ" w:bidi="ar-IQ"/>
        </w:rPr>
        <w:t>препаратын тек, АИТВ диагнозының терістігі расталған адамдарда АИТВ-1 жұқтыру қаупін азайту үшін ғана қолдану керек (4.3 бөлімін қараңыз). Эмтрицитабин және тенофовир дизопроксил фумараты препаратын ЖДП мақсатында қабылдағанда біріктірілген «антиген/антидене» тестісінің көмегімен АИТВ-1-теріс статусты жүйелі түрде (кемінде әр 3 ай сайын) растап отыру қажет.</w:t>
      </w:r>
    </w:p>
    <w:p w14:paraId="20685346"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Эмтрицитабин және тенофовир дизопроксил фумараты</w:t>
      </w:r>
      <w:r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lang w:val="kk-KZ" w:eastAsia="ar-IQ" w:bidi="ar-IQ"/>
        </w:rPr>
        <w:t>препаратымен монотерапия АИТВ-1 толыққанды емі болып табылмайды, және вирус резистенттілігінің мутациялары жасырын АИТВ-1-инфекциясымен,   Эмтрицитабин және тенофовир дизопроксил фумараты препаратын қабылдаған пациенттерде ғана туындаған. Эмтрицитабин және тенофовир дизопроксил фумараты препаратын ЖДП мақсатында қабылдауды бастар алдында, жедел вирустық инфекцияның клиникалық симптомдары болған және жуырдағы (&lt;1 ай) АИТВ-1 экспозициясына күдік болған жағдайда, Эмтрицитабин және тенофовир дизопроксил фумараты препаратын қолдануды кемінде 1 айға кейінге шегеру және АИТВ-1-статусты растау қажет.</w:t>
      </w:r>
    </w:p>
    <w:p w14:paraId="5D4F6E75"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Тағайындалған емдеу режимін сақтаудың маңыздылығы.</w:t>
      </w:r>
      <w:r w:rsidRPr="00306051">
        <w:rPr>
          <w:rFonts w:ascii="Times New Roman" w:eastAsia="Calibri" w:hAnsi="Times New Roman" w:cs="Times New Roman"/>
          <w:sz w:val="24"/>
          <w:szCs w:val="24"/>
          <w:lang w:val="kk-KZ" w:eastAsia="ar-IQ" w:bidi="ar-IQ"/>
        </w:rPr>
        <w:t xml:space="preserve"> </w:t>
      </w:r>
    </w:p>
    <w:p w14:paraId="4B4D6A07" w14:textId="77777777" w:rsidR="00607595" w:rsidRPr="00306051" w:rsidRDefault="00607595">
      <w:pPr>
        <w:spacing w:after="0" w:line="100" w:lineRule="atLeast"/>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sz w:val="24"/>
          <w:szCs w:val="24"/>
          <w:lang w:val="kk-KZ" w:eastAsia="ar-IQ" w:bidi="ar-IQ"/>
        </w:rPr>
        <w:t>Препараттың қандағы мөлшерінің деңгейін өлшеу, Эмтрицитабин және тенофовир дизопроксил фумараты препаратының АИТВ-1 жұқтыру қаупін төмендетудегі тиімділігі көрсетілген кестені сақтаумен қатаң түрде өзара байланысты. АИТВ инфекциясын жұқтырмаған адамдарға Эмтрицитабин және тенофовир дизопроксил фумараты препаратын қабылдаудың ұсынылған кестесін қатаң түрде ұстану керек.</w:t>
      </w:r>
    </w:p>
    <w:p w14:paraId="73E95B1E"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eastAsia="ar-IQ" w:bidi="ar-IQ"/>
        </w:rPr>
        <w:t xml:space="preserve">В </w:t>
      </w:r>
      <w:r w:rsidRPr="00306051">
        <w:rPr>
          <w:rFonts w:ascii="Times New Roman" w:eastAsia="Calibri" w:hAnsi="Times New Roman" w:cs="Times New Roman"/>
          <w:i/>
          <w:sz w:val="24"/>
          <w:szCs w:val="24"/>
          <w:lang w:val="kk-KZ" w:eastAsia="ar-IQ" w:bidi="ar-IQ"/>
        </w:rPr>
        <w:t>немесе</w:t>
      </w:r>
      <w:r w:rsidRPr="00306051">
        <w:rPr>
          <w:rFonts w:ascii="Times New Roman" w:eastAsia="Calibri" w:hAnsi="Times New Roman" w:cs="Times New Roman"/>
          <w:i/>
          <w:sz w:val="24"/>
          <w:szCs w:val="24"/>
          <w:lang w:eastAsia="ar-IQ" w:bidi="ar-IQ"/>
        </w:rPr>
        <w:t xml:space="preserve"> С гепатит</w:t>
      </w:r>
      <w:r w:rsidRPr="00306051">
        <w:rPr>
          <w:rFonts w:ascii="Times New Roman" w:eastAsia="Calibri" w:hAnsi="Times New Roman" w:cs="Times New Roman"/>
          <w:i/>
          <w:sz w:val="24"/>
          <w:szCs w:val="24"/>
          <w:lang w:val="kk-KZ" w:eastAsia="ar-IQ" w:bidi="ar-IQ"/>
        </w:rPr>
        <w:t>і</w:t>
      </w:r>
      <w:r w:rsidRPr="00306051">
        <w:rPr>
          <w:rFonts w:ascii="Times New Roman" w:eastAsia="Calibri" w:hAnsi="Times New Roman" w:cs="Times New Roman"/>
          <w:i/>
          <w:sz w:val="24"/>
          <w:szCs w:val="24"/>
          <w:lang w:eastAsia="ar-IQ" w:bidi="ar-IQ"/>
        </w:rPr>
        <w:t xml:space="preserve"> вирус</w:t>
      </w:r>
      <w:r w:rsidRPr="00306051">
        <w:rPr>
          <w:rFonts w:ascii="Times New Roman" w:eastAsia="Calibri" w:hAnsi="Times New Roman" w:cs="Times New Roman"/>
          <w:i/>
          <w:sz w:val="24"/>
          <w:szCs w:val="24"/>
          <w:lang w:val="kk-KZ" w:eastAsia="ar-IQ" w:bidi="ar-IQ"/>
        </w:rPr>
        <w:t>ының</w:t>
      </w:r>
      <w:r w:rsidRPr="00306051">
        <w:rPr>
          <w:rFonts w:ascii="Times New Roman" w:eastAsia="Calibri" w:hAnsi="Times New Roman" w:cs="Times New Roman"/>
          <w:i/>
          <w:sz w:val="24"/>
          <w:szCs w:val="24"/>
          <w:lang w:eastAsia="ar-IQ" w:bidi="ar-IQ"/>
        </w:rPr>
        <w:t xml:space="preserve"> инф</w:t>
      </w:r>
      <w:r w:rsidRPr="00306051">
        <w:rPr>
          <w:rFonts w:ascii="Times New Roman" w:eastAsia="Calibri" w:hAnsi="Times New Roman" w:cs="Times New Roman"/>
          <w:i/>
          <w:sz w:val="24"/>
          <w:szCs w:val="24"/>
          <w:lang w:val="kk-KZ" w:eastAsia="ar-IQ" w:bidi="ar-IQ"/>
        </w:rPr>
        <w:t>ек</w:t>
      </w:r>
      <w:proofErr w:type="spellStart"/>
      <w:r w:rsidRPr="00306051">
        <w:rPr>
          <w:rFonts w:ascii="Times New Roman" w:eastAsia="Calibri" w:hAnsi="Times New Roman" w:cs="Times New Roman"/>
          <w:i/>
          <w:sz w:val="24"/>
          <w:szCs w:val="24"/>
          <w:lang w:eastAsia="ar-IQ" w:bidi="ar-IQ"/>
        </w:rPr>
        <w:t>ци</w:t>
      </w:r>
      <w:proofErr w:type="spellEnd"/>
      <w:r w:rsidRPr="00306051">
        <w:rPr>
          <w:rFonts w:ascii="Times New Roman" w:eastAsia="Calibri" w:hAnsi="Times New Roman" w:cs="Times New Roman"/>
          <w:i/>
          <w:sz w:val="24"/>
          <w:szCs w:val="24"/>
          <w:lang w:val="kk-KZ" w:eastAsia="ar-IQ" w:bidi="ar-IQ"/>
        </w:rPr>
        <w:t>ясын жұқтырған п</w:t>
      </w:r>
      <w:proofErr w:type="spellStart"/>
      <w:r w:rsidRPr="00306051">
        <w:rPr>
          <w:rFonts w:ascii="Times New Roman" w:eastAsia="Calibri" w:hAnsi="Times New Roman" w:cs="Times New Roman"/>
          <w:i/>
          <w:sz w:val="24"/>
          <w:szCs w:val="24"/>
          <w:lang w:eastAsia="ar-IQ" w:bidi="ar-IQ"/>
        </w:rPr>
        <w:t>ациент</w:t>
      </w:r>
      <w:proofErr w:type="spellEnd"/>
      <w:r w:rsidRPr="00306051">
        <w:rPr>
          <w:rFonts w:ascii="Times New Roman" w:eastAsia="Calibri" w:hAnsi="Times New Roman" w:cs="Times New Roman"/>
          <w:i/>
          <w:sz w:val="24"/>
          <w:szCs w:val="24"/>
          <w:lang w:val="kk-KZ" w:eastAsia="ar-IQ" w:bidi="ar-IQ"/>
        </w:rPr>
        <w:t>тер</w:t>
      </w:r>
    </w:p>
    <w:p w14:paraId="5A59802A"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 xml:space="preserve">Созылмалы В немесе С гепатитімен, антиретровирустық ем қабылдап жүрген, АИТВ-1 инфекциясы бар пациенттерде бауыр тарапынан ауыр және өлімге соқтыруы ықтимал жағымсыз реакциялар қаупі жоғары. Дәрігерлер B (ВГВ) немесе С (ВГС) гепатиті вирусының қатарлас инфекциясымен пациенттерде АИТВ инфекциясының оңтайлы еміне қатысты АИТВ емдеу жөніндегі ағымдағы нұсқауларға жүгінгені дұрыс. </w:t>
      </w:r>
    </w:p>
    <w:p w14:paraId="3696A53F"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ВГВ немесе СГВ инфекциясы бар пациенттерде Эмтрицитабин және тенофовир дизопроксил фумараты препаратының ЖДП кезіндегі қауіпсіздігі мен тиімділігі анықталмаған.</w:t>
      </w:r>
    </w:p>
    <w:p w14:paraId="4C4E417F"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 xml:space="preserve">В немесе С гепатитінің вирусқа қарсы қатарлас емі жағдайында, медициналық қолдану жөніндегі тиісінше нұсқаулықтарға жүгінген дұрыс. Төменнен </w:t>
      </w:r>
      <w:r w:rsidRPr="00306051">
        <w:rPr>
          <w:rFonts w:ascii="Times New Roman" w:eastAsia="Calibri" w:hAnsi="Times New Roman" w:cs="Times New Roman"/>
          <w:i/>
          <w:iCs/>
          <w:sz w:val="24"/>
          <w:szCs w:val="24"/>
          <w:lang w:val="kk-KZ" w:eastAsia="ar-IQ" w:bidi="ar-IQ"/>
        </w:rPr>
        <w:t>Ледипасвирмен және софосбувирмен немесе софосбувирмен және велпатасвирмен бірге қолданылуы</w:t>
      </w:r>
      <w:r w:rsidRPr="00306051">
        <w:rPr>
          <w:rFonts w:ascii="Times New Roman" w:eastAsia="Calibri" w:hAnsi="Times New Roman" w:cs="Times New Roman"/>
          <w:sz w:val="24"/>
          <w:szCs w:val="24"/>
          <w:lang w:val="kk-KZ" w:eastAsia="ar-IQ" w:bidi="ar-IQ"/>
        </w:rPr>
        <w:t xml:space="preserve"> қосалқы бөлімінен де қараңыз.</w:t>
      </w:r>
    </w:p>
    <w:p w14:paraId="71337648"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Тенофовир (дизопроксил фумараты) ВГВ емдеуге арналған, ал Эмтрицитабин ВГВ қатысты вирусқа қарсы белсенділік танытқан, алайда, Эмтрицитабин және тенофовир дизопроксил фумараты препаратының нақты, созылмалы В гепатитімен пациенттердегі тиімділігі мен қауіпсіздігі зерттелмеген.</w:t>
      </w:r>
    </w:p>
    <w:p w14:paraId="5E4D9D7E" w14:textId="77777777" w:rsidR="00607595" w:rsidRPr="00306051" w:rsidRDefault="00607595">
      <w:pPr>
        <w:spacing w:after="0" w:line="100" w:lineRule="atLeast"/>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sz w:val="24"/>
          <w:szCs w:val="24"/>
          <w:lang w:val="kk-KZ" w:eastAsia="ar-IQ" w:bidi="ar-IQ"/>
        </w:rPr>
        <w:lastRenderedPageBreak/>
        <w:t>ВГВ инфекциясы бар пациенттерде Эмтрицитабин және тенофовир дизопроксил фумараты препаратын тоқтату гепатиттің ауыр өршуін туғызуы мүмкін. В гепатиті вирусының инфекциясын жұқтырған пациенттер Эмтрицитабин және тенофовир дизопроксил фумараты препаратымен емдеу тоқтатылғаннан кейін кемінде бірнеше ай бойы клиникалық және зертханалық тұрғыдан мұқият қадағалануы тиіс. Бірқатар жағдайларда В гепатитінің емін қайта бастау қажет болуы мүмкін. Бауырдың ауыр аурулары немесе циррозы бар пациенттерде емдеуді тоқтату ұсынылмайды, өйткені, гепатиттің емдеуді тоқтатқаннан кейін туындайтын өршуі бауыр функциясының декомпенсациясына алып келуі мүмкін.</w:t>
      </w:r>
    </w:p>
    <w:p w14:paraId="629FD5FE"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Бауыр аурулары</w:t>
      </w:r>
    </w:p>
    <w:p w14:paraId="28E16EB5"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Емдеу басталғанға дейін бауыр функциясының елеулі бұзылулары болған пациенттер үшін Эмтрицитабин және тенофовир дизопроксил фумараты препаратының қауіпсіздігі мен тиімділігі анықталмаған. Тенофовир   фармакокинетикасы бауыр функциясының бұзылулары бар пациенттерде зерттелген, және ондай пациенттер үшін дозасын түзету қажет емес. Бауыр функциясы бұзылған науқастарда эмтрицитабиннің фармакокинетикасы зерттелмеген. Эмтрицитабиннің бауырдағы метаболизмінің өте төмендігіне және бүйрек арқылы шығарылатындығына байланысты, бауыр функциясының бұзылуымен пациенттерге  Эмтрицитабин және тенофовир дизопроксил фумараты препаратының дозасын түзету қажет болу ықтималдығы аз (4.2, 5.2 бөлімдерін қараңыз).</w:t>
      </w:r>
    </w:p>
    <w:p w14:paraId="6B60CBC6" w14:textId="77777777" w:rsidR="00607595" w:rsidRPr="00306051" w:rsidRDefault="00607595">
      <w:pPr>
        <w:spacing w:after="0" w:line="100" w:lineRule="atLeast"/>
        <w:jc w:val="both"/>
        <w:rPr>
          <w:rFonts w:ascii="Times New Roman" w:eastAsia="Calibri" w:hAnsi="Times New Roman" w:cs="Times New Roman"/>
          <w:sz w:val="24"/>
          <w:szCs w:val="24"/>
          <w:u w:val="single"/>
          <w:lang w:val="kk-KZ" w:eastAsia="ar-IQ" w:bidi="ar-IQ"/>
        </w:rPr>
      </w:pPr>
      <w:bookmarkStart w:id="0" w:name="Bookmark"/>
      <w:r w:rsidRPr="00306051">
        <w:rPr>
          <w:rFonts w:ascii="Times New Roman" w:eastAsia="Calibri" w:hAnsi="Times New Roman" w:cs="Times New Roman"/>
          <w:sz w:val="24"/>
          <w:szCs w:val="24"/>
          <w:lang w:val="kk-KZ" w:eastAsia="ar-IQ" w:bidi="ar-IQ"/>
        </w:rPr>
        <w:t xml:space="preserve">АИТВ-1 инфекциясын жұқтырған, бұрын, созылмалы белсенді гепатитті қоса, бауыр функциясының бұзылулары болған пациенттерде біріктірілген антиретровирустық ем кезінде бауыр функциясы бұзылуларының жиілігі жоғарылайды, және оларды стандартты тәжірибеге сәйкес қадағалау керек. </w:t>
      </w:r>
      <w:bookmarkEnd w:id="0"/>
      <w:r w:rsidRPr="00306051">
        <w:rPr>
          <w:rFonts w:ascii="Times New Roman" w:eastAsia="Calibri" w:hAnsi="Times New Roman" w:cs="Times New Roman"/>
          <w:sz w:val="24"/>
          <w:szCs w:val="24"/>
          <w:lang w:val="kk-KZ" w:eastAsia="ar-IQ" w:bidi="ar-IQ"/>
        </w:rPr>
        <w:t>Егер ондай пациенттерде бауыр ауруы ағымының нашарлау белгілері туындаса, онда емдеуде үзіліс жасау немесе оны тоқтату қажеттілігін қарастыру керек.</w:t>
      </w:r>
    </w:p>
    <w:p w14:paraId="7B7669B4" w14:textId="77777777" w:rsidR="00607595" w:rsidRPr="00306051" w:rsidRDefault="00607595">
      <w:pPr>
        <w:spacing w:after="0" w:line="100" w:lineRule="atLeast"/>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sz w:val="24"/>
          <w:szCs w:val="24"/>
          <w:u w:val="single"/>
          <w:lang w:val="kk-KZ" w:eastAsia="ar-IQ" w:bidi="ar-IQ"/>
        </w:rPr>
        <w:t>Ересектерде бүйрек пен сүйекке әсері</w:t>
      </w:r>
    </w:p>
    <w:p w14:paraId="08C22B7C"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Бүйрекке әсері</w:t>
      </w:r>
    </w:p>
    <w:p w14:paraId="1C0AE8B9" w14:textId="77777777" w:rsidR="00607595" w:rsidRPr="00306051" w:rsidRDefault="00607595">
      <w:pPr>
        <w:spacing w:after="0" w:line="100" w:lineRule="atLeast"/>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sz w:val="24"/>
          <w:szCs w:val="24"/>
          <w:lang w:val="kk-KZ" w:eastAsia="ar-IQ" w:bidi="ar-IQ"/>
        </w:rPr>
        <w:t>Эмтрицитабин және тенофовир негізінен бүйрек арқылы, шумақтық сүзілісі мен белсенді өзекшелік секрециясының бірігуі жолымен шығарылады. Тенофовир дизопроксил фумаратын қолданғанда бүйрек жеткіліксіздігі, бүйрек функциясының бұзылулары, креатинин деңгейінің жо</w:t>
      </w:r>
      <w:r w:rsidR="006A7B23">
        <w:rPr>
          <w:rFonts w:ascii="Times New Roman" w:eastAsia="Calibri" w:hAnsi="Times New Roman" w:cs="Times New Roman"/>
          <w:sz w:val="24"/>
          <w:szCs w:val="24"/>
          <w:lang w:val="kk-KZ" w:eastAsia="ar-IQ" w:bidi="ar-IQ"/>
        </w:rPr>
        <w:t>ғ</w:t>
      </w:r>
      <w:r w:rsidRPr="00306051">
        <w:rPr>
          <w:rFonts w:ascii="Times New Roman" w:eastAsia="Calibri" w:hAnsi="Times New Roman" w:cs="Times New Roman"/>
          <w:sz w:val="24"/>
          <w:szCs w:val="24"/>
          <w:lang w:val="kk-KZ" w:eastAsia="ar-IQ" w:bidi="ar-IQ"/>
        </w:rPr>
        <w:t>арылауы, гипофосфатемия және проксимальді тубулопатия (Фанкони синдромын қоса) туралы хабарламалар келіп түскен (4.8 бөлімін қараңыз).</w:t>
      </w:r>
    </w:p>
    <w:p w14:paraId="698ECF48"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Бүйрек функциясын қадағалау</w:t>
      </w:r>
    </w:p>
    <w:p w14:paraId="26B2E156"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АИТВ-1 инфекциясын Эмтрицитабин және тенофовир дизопроксил фумараты препаратымен емдеуді бастағанға дейін пациенттердің барлығында креатинин клиренсін есептеп шығару ұсынылады.</w:t>
      </w:r>
    </w:p>
    <w:p w14:paraId="377B7476"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 xml:space="preserve">Бүйрек зақымданулары қаупінің факторларынсыз пациенттерде бүйрек функциясын (креатинин клиренсі және сарысудағы фосфат деңгейін) 2–4 апта емдеуден соң, 3 ай емдеуден соң, содан соң әр 3–6 ай сайын зерттеу ұсынылады. </w:t>
      </w:r>
    </w:p>
    <w:p w14:paraId="162FB301"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Бүйрек функциясының бұзылу қаупі бар пациенттерге бүйрек функциясын жиірек қадағалау қажет.</w:t>
      </w:r>
    </w:p>
    <w:p w14:paraId="3EF2E290" w14:textId="77777777" w:rsidR="00607595" w:rsidRPr="00306051" w:rsidRDefault="00607595">
      <w:pPr>
        <w:spacing w:after="0" w:line="100" w:lineRule="atLeast"/>
        <w:jc w:val="both"/>
        <w:rPr>
          <w:rFonts w:ascii="Times New Roman" w:eastAsia="Calibri" w:hAnsi="Times New Roman" w:cs="Times New Roman"/>
          <w:i/>
          <w:sz w:val="24"/>
          <w:szCs w:val="24"/>
          <w:lang w:val="kk-KZ"/>
        </w:rPr>
      </w:pPr>
      <w:r w:rsidRPr="00306051">
        <w:rPr>
          <w:rFonts w:ascii="Times New Roman" w:eastAsia="Calibri" w:hAnsi="Times New Roman" w:cs="Times New Roman"/>
          <w:sz w:val="24"/>
          <w:szCs w:val="24"/>
          <w:lang w:val="kk-KZ" w:eastAsia="ar-IQ" w:bidi="ar-IQ"/>
        </w:rPr>
        <w:t>Басқа дәрілік препараттарды біріктіріп қолдану жөніндегі төмендегі бөлімді де қараңыз.</w:t>
      </w:r>
    </w:p>
    <w:p w14:paraId="06EA86CE" w14:textId="77777777" w:rsidR="00607595" w:rsidRPr="00306051" w:rsidRDefault="00607595" w:rsidP="00F82B6D">
      <w:pPr>
        <w:spacing w:after="0" w:line="240" w:lineRule="auto"/>
        <w:jc w:val="both"/>
        <w:rPr>
          <w:rFonts w:ascii="Times New Roman" w:eastAsia="Calibri" w:hAnsi="Times New Roman" w:cs="Times New Roman"/>
          <w:sz w:val="24"/>
          <w:szCs w:val="24"/>
          <w:lang w:val="kk-KZ"/>
        </w:rPr>
      </w:pPr>
      <w:r w:rsidRPr="00306051">
        <w:rPr>
          <w:rFonts w:ascii="Times New Roman" w:eastAsia="Calibri" w:hAnsi="Times New Roman" w:cs="Times New Roman"/>
          <w:i/>
          <w:sz w:val="24"/>
          <w:szCs w:val="24"/>
        </w:rPr>
        <w:t>АИТВ-1 инф</w:t>
      </w:r>
      <w:r w:rsidRPr="00306051">
        <w:rPr>
          <w:rFonts w:ascii="Times New Roman" w:eastAsia="Calibri" w:hAnsi="Times New Roman" w:cs="Times New Roman"/>
          <w:i/>
          <w:sz w:val="24"/>
          <w:szCs w:val="24"/>
          <w:lang w:val="kk-KZ"/>
        </w:rPr>
        <w:t>ек</w:t>
      </w:r>
      <w:proofErr w:type="spellStart"/>
      <w:r w:rsidRPr="00306051">
        <w:rPr>
          <w:rFonts w:ascii="Times New Roman" w:eastAsia="Calibri" w:hAnsi="Times New Roman" w:cs="Times New Roman"/>
          <w:i/>
          <w:sz w:val="24"/>
          <w:szCs w:val="24"/>
        </w:rPr>
        <w:t>ци</w:t>
      </w:r>
      <w:proofErr w:type="spellEnd"/>
      <w:r w:rsidRPr="00306051">
        <w:rPr>
          <w:rFonts w:ascii="Times New Roman" w:eastAsia="Calibri" w:hAnsi="Times New Roman" w:cs="Times New Roman"/>
          <w:i/>
          <w:sz w:val="24"/>
          <w:szCs w:val="24"/>
          <w:lang w:val="kk-KZ"/>
        </w:rPr>
        <w:t>ясы бар</w:t>
      </w:r>
      <w:r w:rsidRPr="00306051">
        <w:rPr>
          <w:rFonts w:ascii="Times New Roman" w:eastAsia="Calibri" w:hAnsi="Times New Roman" w:cs="Times New Roman"/>
          <w:i/>
          <w:sz w:val="24"/>
          <w:szCs w:val="24"/>
        </w:rPr>
        <w:t xml:space="preserve"> пациент</w:t>
      </w:r>
      <w:r w:rsidRPr="00306051">
        <w:rPr>
          <w:rFonts w:ascii="Times New Roman" w:eastAsia="Calibri" w:hAnsi="Times New Roman" w:cs="Times New Roman"/>
          <w:i/>
          <w:sz w:val="24"/>
          <w:szCs w:val="24"/>
          <w:lang w:val="kk-KZ"/>
        </w:rPr>
        <w:t>терде бүйрек бұзылуларын түзету</w:t>
      </w:r>
    </w:p>
    <w:p w14:paraId="6E42542A" w14:textId="77777777" w:rsidR="00607595" w:rsidRPr="00306051" w:rsidRDefault="00607595" w:rsidP="00F82B6D">
      <w:pPr>
        <w:spacing w:after="0" w:line="240" w:lineRule="auto"/>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rPr>
        <w:t xml:space="preserve">Егер </w:t>
      </w:r>
      <w:r w:rsidRPr="00306051">
        <w:rPr>
          <w:rFonts w:ascii="Times New Roman" w:eastAsia="Calibri" w:hAnsi="Times New Roman" w:cs="Times New Roman"/>
          <w:sz w:val="24"/>
          <w:szCs w:val="24"/>
          <w:lang w:val="kk-KZ" w:eastAsia="ar-IQ" w:bidi="ar-IQ"/>
        </w:rPr>
        <w:t>Эмтрицитабин және тенофовир дизопроксил фумараты</w:t>
      </w:r>
      <w:r w:rsidRPr="00306051">
        <w:rPr>
          <w:rFonts w:ascii="Times New Roman" w:eastAsia="Calibri" w:hAnsi="Times New Roman" w:cs="Times New Roman"/>
          <w:sz w:val="24"/>
          <w:szCs w:val="24"/>
          <w:lang w:val="kk-KZ"/>
        </w:rPr>
        <w:t xml:space="preserve"> препаратын қабылдап жүрген кез келген пациентте, қан сарысуындағы фосфат деңгейі 1,5 мг/дл төмен (0,48 ммоль/л) немесе креатинин клиренсі 50 мл/минуттан төмен болса, 1 апта ішінде, қандағы глюкоза деңгейін анықтауды, қандағы калийді және несептегі глюкоза концентрациясын анықтауды қоса бүйрек функциясын бағалауды қайтадан жүргізу қажет (4.8 бөлімін, проксимальді тубулопатияны қараңыз). Креатинин клиренсі </w:t>
      </w:r>
      <w:r w:rsidRPr="00306051">
        <w:rPr>
          <w:rFonts w:ascii="Times New Roman" w:eastAsia="Calibri" w:hAnsi="Times New Roman" w:cs="Times New Roman"/>
          <w:sz w:val="24"/>
          <w:szCs w:val="24"/>
          <w:lang w:val="kk-KZ"/>
        </w:rPr>
        <w:lastRenderedPageBreak/>
        <w:t>50 мл/минуттан төмен немесе қан сарысуындағы фосфат деңгейі 1,0 мг/дл төмен (0,32 ммоль/л) болған жағдайда, Эмтрицитабин және тенофовир дизопроксил фумараты препаратымен емдеудегі үзілістің талапқа сай болатындығын қарастыру керек. Эмтрицитабин және тенофовир дизопроксил фумараты препаратымен емдеудегі үзіліс бүйрек функциясының үдемелі төмендеуі жағдайында да, егер ол жағдайдың басқа себебін анықтау мүмкін болмаса ұсынылады.</w:t>
      </w:r>
    </w:p>
    <w:p w14:paraId="01A3CC78"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 xml:space="preserve">Эмтрицитабин және тенофовир дизопроксил фумараты препаратының бүйрек функциясына қатысты қауіпсіздігі АИТВ-1 инфекциясы бар, бүйрек функциясы бұзылған (креатинин клиренсі 80 мл/минуттан төмен) пациенттерде тым шектеулі зерттелген. АИТВ-1 инфекциясы бар, креатинин клиренсі 30–49 мл/минут пациенттер үшін дозалау аралығын түзету ұсынылады (4.2 бөлімін </w:t>
      </w:r>
      <w:r w:rsidRPr="00306051">
        <w:rPr>
          <w:rFonts w:ascii="Times New Roman" w:eastAsia="Calibri" w:hAnsi="Times New Roman" w:cs="Times New Roman"/>
          <w:sz w:val="24"/>
          <w:szCs w:val="24"/>
          <w:lang w:val="kk-KZ"/>
        </w:rPr>
        <w:t>қараңыз</w:t>
      </w:r>
      <w:r w:rsidRPr="00306051">
        <w:rPr>
          <w:rFonts w:ascii="Times New Roman" w:eastAsia="Calibri" w:hAnsi="Times New Roman" w:cs="Times New Roman"/>
          <w:sz w:val="24"/>
          <w:szCs w:val="24"/>
          <w:lang w:val="kk-KZ" w:eastAsia="ar-IQ" w:bidi="ar-IQ"/>
        </w:rPr>
        <w:t xml:space="preserve">). Шектеулі клиникалық зерттеулердің деректері, дозалау аралықтарын ұзарту оңтайлы болып табылмайтындығын, уыттылығының жоғарылауына, жауаптың жеткіліксіз болуына алып келуі мүмкіндігін көрсетіп отыр. Бұдан өзге, креатинин клиренсі 50–60 мл/минут, тенофовир дизопроксил фумаратын эмтрицитабинмен біріктіріп әр 24 сағат сайын қабылдаған пациенттердің қосалқы тобына жүргізілген шағын клиникалық зерттеуде, тенофовир экспозициясының 2–4 есе жоғарылағаны және бүйрек  функциясының нашарлағаны байқалды (5.2 бөлімін </w:t>
      </w:r>
      <w:r w:rsidRPr="00306051">
        <w:rPr>
          <w:rFonts w:ascii="Times New Roman" w:eastAsia="Calibri" w:hAnsi="Times New Roman" w:cs="Times New Roman"/>
          <w:sz w:val="24"/>
          <w:szCs w:val="24"/>
          <w:lang w:val="kk-KZ"/>
        </w:rPr>
        <w:t>қараңыз</w:t>
      </w:r>
      <w:r w:rsidRPr="00306051">
        <w:rPr>
          <w:rFonts w:ascii="Times New Roman" w:eastAsia="Calibri" w:hAnsi="Times New Roman" w:cs="Times New Roman"/>
          <w:sz w:val="24"/>
          <w:szCs w:val="24"/>
          <w:lang w:val="kk-KZ" w:eastAsia="ar-IQ" w:bidi="ar-IQ"/>
        </w:rPr>
        <w:t xml:space="preserve">). Сондықтан, креатинин клиренсі 60 мл/минуттан төмен пациенттер Эмтрицитабин және тенофовир дизопроксил фумараты препаратын қолданғанда пайдасы/қаупі арақатынасын мұқият бағалау және бүйрек функциясын мұқият қадағалау керек. Бұдан өзге, Эмтрицитабин және тенофовир дизопроксил фумараты препаратын қабылдап жүрген, қабылдауларының аралығы ұзартылған пациенттерде емге клиникалық жауапты мұқият қадағалау керек. Бүйректің ауыр бұзылулары бар (креатинин клиренсі &lt; 30 мл/мин) пациенттерге және гемодиализ қажет пациенттерге Эмтрицитабин және тенофовир дизопроксил фумараты препаратын қолдану ұсынылмайды, өйткені, біріктірілген таблетка дозасының қажетті азайтылуына қол жеткізуге мүмкіндік бермейді (4.2, 5.2 бөлімдерін </w:t>
      </w:r>
      <w:r w:rsidRPr="00306051">
        <w:rPr>
          <w:rFonts w:ascii="Times New Roman" w:eastAsia="Calibri" w:hAnsi="Times New Roman" w:cs="Times New Roman"/>
          <w:sz w:val="24"/>
          <w:szCs w:val="24"/>
          <w:lang w:val="kk-KZ"/>
        </w:rPr>
        <w:t>қараңыз</w:t>
      </w:r>
      <w:r w:rsidRPr="00306051">
        <w:rPr>
          <w:rFonts w:ascii="Times New Roman" w:eastAsia="Calibri" w:hAnsi="Times New Roman" w:cs="Times New Roman"/>
          <w:sz w:val="24"/>
          <w:szCs w:val="24"/>
          <w:lang w:val="kk-KZ" w:eastAsia="ar-IQ" w:bidi="ar-IQ"/>
        </w:rPr>
        <w:t>).</w:t>
      </w:r>
    </w:p>
    <w:p w14:paraId="03E7B8CA"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ЖДП кезінде бүйрек функциясын бағалау</w:t>
      </w:r>
      <w:r w:rsidRPr="00306051">
        <w:rPr>
          <w:rFonts w:ascii="Times New Roman" w:eastAsia="Calibri" w:hAnsi="Times New Roman" w:cs="Times New Roman"/>
          <w:sz w:val="24"/>
          <w:szCs w:val="24"/>
          <w:lang w:val="kk-KZ" w:eastAsia="ar-IQ" w:bidi="ar-IQ"/>
        </w:rPr>
        <w:t xml:space="preserve">. </w:t>
      </w:r>
    </w:p>
    <w:p w14:paraId="6BA8E2C4" w14:textId="77777777" w:rsidR="00607595" w:rsidRPr="00306051" w:rsidRDefault="00607595">
      <w:pPr>
        <w:spacing w:after="0" w:line="100" w:lineRule="atLeast"/>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sz w:val="24"/>
          <w:szCs w:val="24"/>
          <w:lang w:val="kk-KZ" w:eastAsia="ar-IQ" w:bidi="ar-IQ"/>
        </w:rPr>
        <w:t>Эмтрицитабин және тенофовир дизопроксил фумараты препаратының АИТВ инфекциясы жоқ, креатинин Cl &lt;60 мл/минут адамдарда қолданылуы зерттелмеген, сондықтан, бұл популяцияда препаратты қабылдау ұсынылмайды. Егер Эмтрицитабин және тенофовир дизопроксил фумараты препаратын ЖДП ретінде қабылдап жүрген кез келген пациентте плазмадағы фосфат деңгейі &lt;1,5 мг/дл (0,48 ммоль/л) немесе креатинин Cl &lt;60 мл/минутқа дейін төмендесе, қандағы глюкоза мен калий деңгейін және несептегі глюкоза концентрациясын өлшеуді қоса, бүйрек функциясын бір апта ішінде қайтадан бағалау керек (4.8</w:t>
      </w:r>
      <w:r w:rsidRPr="00306051">
        <w:rPr>
          <w:rFonts w:ascii="Times New Roman" w:eastAsia="Calibri" w:hAnsi="Times New Roman" w:cs="Times New Roman"/>
          <w:sz w:val="24"/>
          <w:szCs w:val="24"/>
          <w:lang w:val="kk-KZ"/>
        </w:rPr>
        <w:t xml:space="preserve"> бөлімін, проксимальді тубулопатияны қараңыз</w:t>
      </w:r>
      <w:r w:rsidRPr="00306051">
        <w:rPr>
          <w:rFonts w:ascii="Times New Roman" w:eastAsia="Calibri" w:hAnsi="Times New Roman" w:cs="Times New Roman"/>
          <w:sz w:val="24"/>
          <w:szCs w:val="24"/>
          <w:lang w:val="kk-KZ" w:eastAsia="ar-IQ" w:bidi="ar-IQ"/>
        </w:rPr>
        <w:t>). Креатинин Cl &lt;60 мл/минутқа дейн төмендеген немесе сарысудағы фосфат деңгейі &lt;1 мг/дл дейін (0,32 ммоль/л) жоғарылаған пациенттерде  Эмтрицитабин және тенофовир дизопроксил фумараты препаратын қабылдауды тоқтату мәселесін талқылау керек. Бұдан өзге, бүйрек функциясы үдемелі нашарлаған жағдайда, егер басқа ешқандай себептері анықталмаса, Эмтрицитабин және тенофовир дизопроксил фумараты препаратын қабылдауды тоқтатуды қарастыру керек.</w:t>
      </w:r>
    </w:p>
    <w:p w14:paraId="4910662E"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Сүйекке ықпалы</w:t>
      </w:r>
    </w:p>
    <w:p w14:paraId="152CDFBC" w14:textId="77777777" w:rsidR="00B23D8A" w:rsidRPr="00306051" w:rsidRDefault="00B23D8A" w:rsidP="0026399C">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Сүйекте тұрақты немесе күшейе түсетін ауыру түрінде білінуі мүмкін және сирек жағдайларда ғана сынуларға соқтыруы мүмкін остеомаляция сияқты сүйек бұзылыстары тенофовир дизопроксилмен индукцияланған орталыққа жақын жатқан бүйрек тубулопатиясымен байланысты болуы мүмкін (4.8 бөлімді қараңыз).</w:t>
      </w:r>
    </w:p>
    <w:p w14:paraId="758FEDC9" w14:textId="77777777" w:rsidR="0026399C" w:rsidRPr="00306051" w:rsidRDefault="0026399C" w:rsidP="0026399C">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 xml:space="preserve">Тенофовир дизопроксил </w:t>
      </w:r>
      <w:r w:rsidR="00B23D8A" w:rsidRPr="00306051">
        <w:rPr>
          <w:rFonts w:ascii="Times New Roman" w:eastAsia="Calibri" w:hAnsi="Times New Roman" w:cs="Times New Roman"/>
          <w:sz w:val="24"/>
          <w:szCs w:val="24"/>
          <w:lang w:val="kk-KZ" w:eastAsia="ar-IQ" w:bidi="ar-IQ"/>
        </w:rPr>
        <w:t xml:space="preserve">сондай-ақ </w:t>
      </w:r>
      <w:r w:rsidRPr="00306051">
        <w:rPr>
          <w:rFonts w:ascii="Times New Roman" w:eastAsia="Calibri" w:hAnsi="Times New Roman" w:cs="Times New Roman"/>
          <w:sz w:val="24"/>
          <w:szCs w:val="24"/>
          <w:lang w:val="kk-KZ" w:eastAsia="ar-IQ" w:bidi="ar-IQ"/>
        </w:rPr>
        <w:t>сүйек</w:t>
      </w:r>
      <w:r w:rsidR="00B23D8A" w:rsidRPr="00306051">
        <w:rPr>
          <w:rFonts w:ascii="Times New Roman" w:eastAsia="Calibri" w:hAnsi="Times New Roman" w:cs="Times New Roman"/>
          <w:sz w:val="24"/>
          <w:szCs w:val="24"/>
          <w:lang w:val="kk-KZ" w:eastAsia="ar-IQ" w:bidi="ar-IQ"/>
        </w:rPr>
        <w:t xml:space="preserve"> тіндерінің</w:t>
      </w:r>
      <w:r w:rsidRPr="00306051">
        <w:rPr>
          <w:rFonts w:ascii="Times New Roman" w:eastAsia="Calibri" w:hAnsi="Times New Roman" w:cs="Times New Roman"/>
          <w:sz w:val="24"/>
          <w:szCs w:val="24"/>
          <w:lang w:val="kk-KZ" w:eastAsia="ar-IQ" w:bidi="ar-IQ"/>
        </w:rPr>
        <w:t xml:space="preserve"> минералды тығыздығының (С</w:t>
      </w:r>
      <w:r w:rsidR="00B23D8A" w:rsidRPr="00306051">
        <w:rPr>
          <w:rFonts w:ascii="Times New Roman" w:eastAsia="Calibri" w:hAnsi="Times New Roman" w:cs="Times New Roman"/>
          <w:sz w:val="24"/>
          <w:szCs w:val="24"/>
          <w:lang w:val="kk-KZ" w:eastAsia="ar-IQ" w:bidi="ar-IQ"/>
        </w:rPr>
        <w:t>Т</w:t>
      </w:r>
      <w:r w:rsidRPr="00306051">
        <w:rPr>
          <w:rFonts w:ascii="Times New Roman" w:eastAsia="Calibri" w:hAnsi="Times New Roman" w:cs="Times New Roman"/>
          <w:sz w:val="24"/>
          <w:szCs w:val="24"/>
          <w:lang w:val="kk-KZ" w:eastAsia="ar-IQ" w:bidi="ar-IQ"/>
        </w:rPr>
        <w:t>МТ) төмендеуін</w:t>
      </w:r>
      <w:r w:rsidR="00B23D8A" w:rsidRPr="00306051">
        <w:rPr>
          <w:rFonts w:ascii="Times New Roman" w:eastAsia="Calibri" w:hAnsi="Times New Roman" w:cs="Times New Roman"/>
          <w:sz w:val="24"/>
          <w:szCs w:val="24"/>
          <w:lang w:val="kk-KZ" w:eastAsia="ar-IQ" w:bidi="ar-IQ"/>
        </w:rPr>
        <w:t xml:space="preserve"> тудыруы</w:t>
      </w:r>
      <w:r w:rsidRPr="00306051">
        <w:rPr>
          <w:rFonts w:ascii="Times New Roman" w:eastAsia="Calibri" w:hAnsi="Times New Roman" w:cs="Times New Roman"/>
          <w:sz w:val="24"/>
          <w:szCs w:val="24"/>
          <w:lang w:val="kk-KZ" w:eastAsia="ar-IQ" w:bidi="ar-IQ"/>
        </w:rPr>
        <w:t xml:space="preserve"> мүмкін.</w:t>
      </w:r>
    </w:p>
    <w:p w14:paraId="2DA22498" w14:textId="77777777" w:rsidR="0026399C" w:rsidRPr="00306051" w:rsidRDefault="00B553AB" w:rsidP="0026399C">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С</w:t>
      </w:r>
      <w:r w:rsidR="0026399C" w:rsidRPr="00306051">
        <w:rPr>
          <w:rFonts w:ascii="Times New Roman" w:eastAsia="Calibri" w:hAnsi="Times New Roman" w:cs="Times New Roman"/>
          <w:sz w:val="24"/>
          <w:szCs w:val="24"/>
          <w:lang w:val="kk-KZ" w:eastAsia="ar-IQ" w:bidi="ar-IQ"/>
        </w:rPr>
        <w:t>ү</w:t>
      </w:r>
      <w:r w:rsidRPr="00306051">
        <w:rPr>
          <w:rFonts w:ascii="Times New Roman" w:eastAsia="Calibri" w:hAnsi="Times New Roman" w:cs="Times New Roman"/>
          <w:sz w:val="24"/>
          <w:szCs w:val="24"/>
          <w:lang w:val="kk-KZ" w:eastAsia="ar-IQ" w:bidi="ar-IQ"/>
        </w:rPr>
        <w:t>йектің бұзылыстар</w:t>
      </w:r>
      <w:r w:rsidR="0026399C" w:rsidRPr="00306051">
        <w:rPr>
          <w:rFonts w:ascii="Times New Roman" w:eastAsia="Calibri" w:hAnsi="Times New Roman" w:cs="Times New Roman"/>
          <w:sz w:val="24"/>
          <w:szCs w:val="24"/>
          <w:lang w:val="kk-KZ" w:eastAsia="ar-IQ" w:bidi="ar-IQ"/>
        </w:rPr>
        <w:t xml:space="preserve">ына </w:t>
      </w:r>
      <w:r w:rsidRPr="00306051">
        <w:rPr>
          <w:rFonts w:ascii="Times New Roman" w:eastAsia="Calibri" w:hAnsi="Times New Roman" w:cs="Times New Roman"/>
          <w:sz w:val="24"/>
          <w:szCs w:val="24"/>
          <w:lang w:val="kk-KZ" w:eastAsia="ar-IQ" w:bidi="ar-IQ"/>
        </w:rPr>
        <w:t>күдік болған</w:t>
      </w:r>
      <w:r w:rsidR="0026399C" w:rsidRPr="00306051">
        <w:rPr>
          <w:rFonts w:ascii="Times New Roman" w:eastAsia="Calibri" w:hAnsi="Times New Roman" w:cs="Times New Roman"/>
          <w:sz w:val="24"/>
          <w:szCs w:val="24"/>
          <w:lang w:val="kk-KZ" w:eastAsia="ar-IQ" w:bidi="ar-IQ"/>
        </w:rPr>
        <w:t xml:space="preserve"> немесе анықтал</w:t>
      </w:r>
      <w:r w:rsidRPr="00306051">
        <w:rPr>
          <w:rFonts w:ascii="Times New Roman" w:eastAsia="Calibri" w:hAnsi="Times New Roman" w:cs="Times New Roman"/>
          <w:sz w:val="24"/>
          <w:szCs w:val="24"/>
          <w:lang w:val="kk-KZ" w:eastAsia="ar-IQ" w:bidi="ar-IQ"/>
        </w:rPr>
        <w:t xml:space="preserve">ған жағдайларда </w:t>
      </w:r>
      <w:r w:rsidR="0026399C" w:rsidRPr="00306051">
        <w:rPr>
          <w:rFonts w:ascii="Times New Roman" w:eastAsia="Calibri" w:hAnsi="Times New Roman" w:cs="Times New Roman"/>
          <w:sz w:val="24"/>
          <w:szCs w:val="24"/>
          <w:lang w:val="kk-KZ" w:eastAsia="ar-IQ" w:bidi="ar-IQ"/>
        </w:rPr>
        <w:t>кеңес алу</w:t>
      </w:r>
      <w:r w:rsidRPr="00306051">
        <w:rPr>
          <w:rFonts w:ascii="Times New Roman" w:eastAsia="Calibri" w:hAnsi="Times New Roman" w:cs="Times New Roman"/>
          <w:sz w:val="24"/>
          <w:szCs w:val="24"/>
          <w:lang w:val="kk-KZ" w:eastAsia="ar-IQ" w:bidi="ar-IQ"/>
        </w:rPr>
        <w:t>ға жүгіну</w:t>
      </w:r>
      <w:r w:rsidR="0026399C" w:rsidRPr="00306051">
        <w:rPr>
          <w:rFonts w:ascii="Times New Roman" w:eastAsia="Calibri" w:hAnsi="Times New Roman" w:cs="Times New Roman"/>
          <w:sz w:val="24"/>
          <w:szCs w:val="24"/>
          <w:lang w:val="kk-KZ" w:eastAsia="ar-IQ" w:bidi="ar-IQ"/>
        </w:rPr>
        <w:t xml:space="preserve"> керек.</w:t>
      </w:r>
    </w:p>
    <w:p w14:paraId="40629656" w14:textId="77777777" w:rsidR="00607595" w:rsidRPr="00306051" w:rsidRDefault="00607595" w:rsidP="0026399C">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 xml:space="preserve">АИТВ-1 инфекциясын емдеу </w:t>
      </w:r>
    </w:p>
    <w:p w14:paraId="212E4726"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lastRenderedPageBreak/>
        <w:t>Тенофовир дизопроксил фумараты ламивудинмен және эфавирензен біріктірілген ставудинмен салыстырылған 144 апталық, бақыланатын клиникалық зерттеу барысында, бұрын антриретровирустық емді қабылдамаған пациенттерде, екі топта да тенофовир дизопроксил фумаратын қабылдағанда жамбас және омыртқа бағаны сүйегінің минералдық тығыздығының (СМТ) болар-болмас төмендегені байқалды.</w:t>
      </w:r>
    </w:p>
    <w:p w14:paraId="076C317C"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eastAsia="ar-IQ" w:bidi="ar-IQ"/>
        </w:rPr>
        <w:t>Омыртқа бағаны СМТ  төмендеуі және сүйек тіні биомаркерлерінің бастапқы мәндерімен салыстырғандағы өзгерістері тенофовир дизопроксил фумаратын қабылдаған топта 144 апта мерзімде едәуір айқынырақ болды. Жамбас СМТ бұл топта 96 аптаға дейінгі мерзімде едәуір көп дәрежеде төмендеген. Алайда, тенофовир дизопроксил фумаратымен 144 апта емдеудің ішінде сынулардың немесе сүйектің клиникалық тұрғыдан елеулі бұзылулары белгілерінің қаупі жоғарыламаған.</w:t>
      </w:r>
    </w:p>
    <w:p w14:paraId="5CB309C2" w14:textId="77777777" w:rsidR="00607595" w:rsidRPr="00306051" w:rsidRDefault="00B553AB">
      <w:pPr>
        <w:spacing w:after="0" w:line="100" w:lineRule="atLeast"/>
        <w:jc w:val="both"/>
        <w:rPr>
          <w:rFonts w:ascii="Times New Roman" w:eastAsia="Calibri" w:hAnsi="Times New Roman" w:cs="Times New Roman"/>
          <w:i/>
          <w:iCs/>
          <w:sz w:val="24"/>
          <w:szCs w:val="24"/>
          <w:lang w:val="kk-KZ"/>
        </w:rPr>
      </w:pPr>
      <w:r w:rsidRPr="00306051">
        <w:rPr>
          <w:rFonts w:ascii="Times New Roman" w:eastAsia="Calibri" w:hAnsi="Times New Roman" w:cs="Times New Roman"/>
          <w:sz w:val="24"/>
          <w:szCs w:val="24"/>
          <w:lang w:val="kk-KZ"/>
        </w:rPr>
        <w:t>Басқа (проспектілі</w:t>
      </w:r>
      <w:r w:rsidR="00607595" w:rsidRPr="00306051">
        <w:rPr>
          <w:rFonts w:ascii="Times New Roman" w:eastAsia="Calibri" w:hAnsi="Times New Roman" w:cs="Times New Roman"/>
          <w:sz w:val="24"/>
          <w:szCs w:val="24"/>
          <w:lang w:val="kk-KZ"/>
        </w:rPr>
        <w:t xml:space="preserve"> және кросс-секциялық) зерттеулерде </w:t>
      </w:r>
      <w:r w:rsidR="00607595" w:rsidRPr="00306051">
        <w:rPr>
          <w:rFonts w:ascii="Times New Roman" w:eastAsia="Calibri" w:hAnsi="Times New Roman" w:cs="Times New Roman"/>
          <w:sz w:val="24"/>
          <w:szCs w:val="24"/>
          <w:lang w:val="kk-KZ" w:eastAsia="ar-IQ" w:bidi="ar-IQ"/>
        </w:rPr>
        <w:t>СМТ</w:t>
      </w:r>
      <w:r w:rsidR="00607595" w:rsidRPr="00306051">
        <w:rPr>
          <w:rFonts w:ascii="Times New Roman" w:eastAsia="Calibri" w:hAnsi="Times New Roman" w:cs="Times New Roman"/>
          <w:sz w:val="24"/>
          <w:szCs w:val="24"/>
          <w:lang w:val="kk-KZ"/>
        </w:rPr>
        <w:t xml:space="preserve"> анағұрлым айқынырақ төмендеуі тенофовир дизопроксил фумаратын құрамында протеазалардың күшейтілген тежегіші бар кестенің құрамында пациенттерде анықталды. Остеопорозы бар, сынулар қаупі жоғары пациенттерге, емдеудің басқа әдістерін таңдаған дұрыс.</w:t>
      </w:r>
    </w:p>
    <w:p w14:paraId="5B8A3BA8" w14:textId="77777777" w:rsidR="00607595" w:rsidRPr="00306051" w:rsidRDefault="00607595">
      <w:pPr>
        <w:spacing w:after="0" w:line="100" w:lineRule="atLeast"/>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i/>
          <w:iCs/>
          <w:sz w:val="24"/>
          <w:szCs w:val="24"/>
          <w:lang w:val="kk-KZ"/>
        </w:rPr>
        <w:t xml:space="preserve">ЖДП. </w:t>
      </w:r>
      <w:r w:rsidRPr="00306051">
        <w:rPr>
          <w:rFonts w:ascii="Times New Roman" w:eastAsia="Calibri" w:hAnsi="Times New Roman" w:cs="Times New Roman"/>
          <w:iCs/>
          <w:sz w:val="24"/>
          <w:szCs w:val="24"/>
          <w:lang w:val="kk-KZ"/>
        </w:rPr>
        <w:t xml:space="preserve">Клиникалық зерттеулерде </w:t>
      </w:r>
      <w:r w:rsidRPr="00306051">
        <w:rPr>
          <w:rFonts w:ascii="Times New Roman" w:eastAsia="Calibri" w:hAnsi="Times New Roman" w:cs="Times New Roman"/>
          <w:sz w:val="24"/>
          <w:szCs w:val="24"/>
          <w:lang w:val="kk-KZ"/>
        </w:rPr>
        <w:t xml:space="preserve">АИТВ инфекциясы жоқ адамдарда </w:t>
      </w:r>
      <w:r w:rsidRPr="00306051">
        <w:rPr>
          <w:rFonts w:ascii="Times New Roman" w:eastAsia="Calibri" w:hAnsi="Times New Roman" w:cs="Times New Roman"/>
          <w:sz w:val="24"/>
          <w:szCs w:val="24"/>
          <w:lang w:val="kk-KZ" w:eastAsia="ar-IQ" w:bidi="ar-IQ"/>
        </w:rPr>
        <w:t>СМТ</w:t>
      </w:r>
      <w:r w:rsidRPr="00306051">
        <w:rPr>
          <w:rFonts w:ascii="Times New Roman" w:eastAsia="Calibri" w:hAnsi="Times New Roman" w:cs="Times New Roman"/>
          <w:sz w:val="24"/>
          <w:szCs w:val="24"/>
          <w:lang w:val="kk-KZ"/>
        </w:rPr>
        <w:t xml:space="preserve"> болар-болмас төмендегені байқалған. 498 ер адам қатысқан зерттеуде  </w:t>
      </w:r>
      <w:r w:rsidRPr="00306051">
        <w:rPr>
          <w:rFonts w:ascii="Times New Roman" w:eastAsia="Calibri" w:hAnsi="Times New Roman" w:cs="Times New Roman"/>
          <w:sz w:val="24"/>
          <w:szCs w:val="24"/>
          <w:lang w:val="kk-KZ" w:eastAsia="ar-IQ" w:bidi="ar-IQ"/>
        </w:rPr>
        <w:t xml:space="preserve">СМТ бастапқы мәнімен салыстырғандағы орташа өзгерістері </w:t>
      </w:r>
      <w:r w:rsidRPr="00306051">
        <w:rPr>
          <w:rFonts w:ascii="Times New Roman" w:eastAsia="Calibri" w:hAnsi="Times New Roman" w:cs="Times New Roman"/>
          <w:sz w:val="24"/>
          <w:szCs w:val="24"/>
          <w:lang w:val="kk-KZ"/>
        </w:rPr>
        <w:t>Эмтрицитабин және тенофовир дизопроксил фумараты препаратын профилактика ретінде (n=247) немесе плацебо (n=251) қабылдаған</w:t>
      </w:r>
      <w:r w:rsidRPr="00306051">
        <w:rPr>
          <w:rFonts w:ascii="Times New Roman" w:eastAsia="Calibri" w:hAnsi="Times New Roman" w:cs="Times New Roman"/>
          <w:sz w:val="24"/>
          <w:szCs w:val="24"/>
          <w:lang w:val="kk-KZ" w:eastAsia="ar-IQ" w:bidi="ar-IQ"/>
        </w:rPr>
        <w:t xml:space="preserve"> ерлерде </w:t>
      </w:r>
      <w:r w:rsidRPr="00306051">
        <w:rPr>
          <w:rFonts w:ascii="Times New Roman" w:eastAsia="Calibri" w:hAnsi="Times New Roman" w:cs="Times New Roman"/>
          <w:sz w:val="24"/>
          <w:szCs w:val="24"/>
          <w:lang w:val="kk-KZ"/>
        </w:rPr>
        <w:t xml:space="preserve">24 аптадан соң </w:t>
      </w:r>
      <w:r w:rsidRPr="00306051">
        <w:rPr>
          <w:rFonts w:ascii="Times New Roman" w:eastAsia="Calibri" w:hAnsi="Times New Roman" w:cs="Times New Roman"/>
          <w:sz w:val="24"/>
          <w:szCs w:val="24"/>
          <w:lang w:val="kk-KZ" w:eastAsia="ar-IQ" w:bidi="ar-IQ"/>
        </w:rPr>
        <w:t xml:space="preserve">жамбас буыны, омыртқа бағаны, жамбас мойны және ұршығы үшін </w:t>
      </w:r>
      <w:r w:rsidRPr="00306051">
        <w:rPr>
          <w:rFonts w:ascii="Times New Roman" w:eastAsia="Calibri" w:hAnsi="Times New Roman" w:cs="Times New Roman"/>
          <w:sz w:val="24"/>
          <w:szCs w:val="24"/>
          <w:lang w:val="kk-KZ"/>
        </w:rPr>
        <w:t>−0,4-тен −1%-ға дейін ауытқып отырған.</w:t>
      </w:r>
    </w:p>
    <w:p w14:paraId="611F7040"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Дене салмағы және метаболизм параметрлері</w:t>
      </w:r>
    </w:p>
    <w:p w14:paraId="0E222763" w14:textId="77777777" w:rsidR="00607595" w:rsidRPr="00306051" w:rsidRDefault="00607595">
      <w:pPr>
        <w:spacing w:after="0" w:line="100" w:lineRule="atLeast"/>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sz w:val="24"/>
          <w:szCs w:val="24"/>
          <w:lang w:val="kk-KZ" w:eastAsia="ar-IQ" w:bidi="ar-IQ"/>
        </w:rPr>
        <w:t xml:space="preserve">Антиретровирустық ем кезінде дене салмағы жоғарылауы және қандағы липидтер мен глюкоза деңгейлері жоғарылауы мүмкін. Ондай өзгерістер аурудың бақылану дәрежесімен және өмір салтымен ішінара байланысты болуы мүмкін. Липидтерге келсек, кей жағдайларда емнің әсер ету белгілері болған, ал дене салмағына қатысты,  бұл параметрдің нақты бір препаратпен байланыстылығына сенімді дәлелдер жоқ. Қандағы липидтер мен глюкоза деңгейін қадағалауға қатысты, АИТВ емдеу жөніндегі белгіленген нұсқаулар бар. Май алмасуы бұзылуларын емдеуді клиникалық көрсетілімдері бойынша жүргізген дұрыс. </w:t>
      </w:r>
    </w:p>
    <w:p w14:paraId="4F4DB62A"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 xml:space="preserve">Құрсақішілік экспозициясынан кейін митохондриялар функциясының бұзылуы </w:t>
      </w:r>
    </w:p>
    <w:p w14:paraId="735241BF" w14:textId="77777777" w:rsidR="00607595" w:rsidRPr="00306051" w:rsidRDefault="00607595">
      <w:pPr>
        <w:spacing w:after="0" w:line="100" w:lineRule="atLeast"/>
        <w:jc w:val="both"/>
        <w:rPr>
          <w:rFonts w:ascii="Times New Roman" w:eastAsia="Calibri" w:hAnsi="Times New Roman" w:cs="Times New Roman"/>
          <w:i/>
          <w:iCs/>
          <w:sz w:val="24"/>
          <w:szCs w:val="24"/>
          <w:lang w:val="kk-KZ"/>
        </w:rPr>
      </w:pPr>
      <w:r w:rsidRPr="00306051">
        <w:rPr>
          <w:rFonts w:ascii="Times New Roman" w:eastAsia="Calibri" w:hAnsi="Times New Roman" w:cs="Times New Roman"/>
          <w:sz w:val="24"/>
          <w:szCs w:val="24"/>
          <w:lang w:val="kk-KZ" w:eastAsia="ar-IQ" w:bidi="ar-IQ"/>
        </w:rPr>
        <w:t>Н</w:t>
      </w:r>
      <w:r w:rsidRPr="00306051">
        <w:rPr>
          <w:rFonts w:ascii="Times New Roman" w:eastAsia="Calibri" w:hAnsi="Times New Roman" w:cs="Times New Roman"/>
          <w:iCs/>
          <w:sz w:val="24"/>
          <w:szCs w:val="24"/>
          <w:lang w:val="kk-KZ"/>
        </w:rPr>
        <w:t>уклеозидтер және нуклеотидтер аналогтары митохондриялар функциясына түрлі дәрежеде ықпал етуі мүмкін; әсіресе, ставудин, диданозин және зидовудин күшті ықпалын тигізеді. АИТВ теріс, құрсақішілік және (немесе) босанғаннан кейінгі кезеңде нуклеозидтер аналогтарының әсеріне ұшыраған балаларда өмірінің алғашқы жылында митохондриялар функцияларының бұзылғаны жөнінде хабарламалар бар; негізінен, ол зидовудинді қолданып емдеу кестелеріне қатысты болған</w:t>
      </w:r>
      <w:r w:rsidRPr="00306051">
        <w:rPr>
          <w:rFonts w:ascii="Times New Roman" w:eastAsia="Calibri" w:hAnsi="Times New Roman" w:cs="Times New Roman"/>
          <w:sz w:val="24"/>
          <w:szCs w:val="24"/>
          <w:lang w:val="kk-KZ"/>
        </w:rPr>
        <w:t>. Хабарланған негізгі қолайсыз құбылыстар, қан жүйесі (анем</w:t>
      </w:r>
      <w:r w:rsidR="00B250DB">
        <w:rPr>
          <w:rFonts w:ascii="Times New Roman" w:eastAsia="Calibri" w:hAnsi="Times New Roman" w:cs="Times New Roman"/>
          <w:sz w:val="24"/>
          <w:szCs w:val="24"/>
          <w:lang w:val="kk-KZ"/>
        </w:rPr>
        <w:t>ия, нейтропения) мен метаболизм</w:t>
      </w:r>
      <w:r w:rsidRPr="00306051">
        <w:rPr>
          <w:rFonts w:ascii="Times New Roman" w:eastAsia="Calibri" w:hAnsi="Times New Roman" w:cs="Times New Roman"/>
          <w:sz w:val="24"/>
          <w:szCs w:val="24"/>
          <w:lang w:val="kk-KZ"/>
        </w:rPr>
        <w:t>нің бұзылулары (гиперлактатемия, гиперлипаземия) болды. Бұл құбылыстар көбінесе өтпелі болған. Кейін білінген неврологиялық бұзылулар (гипертония, құрысу ұстамалары, аномальді мінез-құлық) туралы сирек хабарлар бар. Қазіргі кезде, ондай неврологиялық бұзылулар өтпелі немесе тұрақты болып табылатындығы белгісіз. Мұны балада шығу тегі белгісіз, нуклеозидтер мен нуклеотидтер аналогтарының құрсақішілік әсерінен кейін ауыр клиникалық (атап айтқанда — неврологиялық) бұзылулар туындаған жағдайда ескеру керек. Бұл нәтижелер антиретровирустық емді жүкті әйелдерге АИТВ тікелей берілуінің профилактикасы үшін пайдалану жөніндегі бұрыннан бар ұлттық нұсқауларға әсер етпейді.</w:t>
      </w:r>
    </w:p>
    <w:p w14:paraId="35B12A15"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i/>
          <w:iCs/>
          <w:sz w:val="24"/>
          <w:szCs w:val="24"/>
          <w:lang w:val="kk-KZ"/>
        </w:rPr>
        <w:t xml:space="preserve">Иммундық реактивация синдромы </w:t>
      </w:r>
    </w:p>
    <w:p w14:paraId="68A83E7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АИТВ инфекциясы бар, БАРЕ енгізілген сәтте иммунитеттің ауыр жеткіліксіздігі болған пациенттерде асимптоматикалық немесе қалдықтық оппортунистік патогендерге қабыну реакциясы туындауы мүмкін, ол ауыр клиникалық жағдайлардың немесе симптомдарының күшеюінің себебі бол</w:t>
      </w:r>
      <w:r w:rsidR="00B553AB" w:rsidRPr="00306051">
        <w:rPr>
          <w:rFonts w:ascii="Times New Roman" w:eastAsia="Calibri" w:hAnsi="Times New Roman" w:cs="Times New Roman"/>
          <w:sz w:val="24"/>
          <w:szCs w:val="24"/>
          <w:lang w:val="kk-KZ"/>
        </w:rPr>
        <w:t>у</w:t>
      </w:r>
      <w:r w:rsidRPr="00306051">
        <w:rPr>
          <w:rFonts w:ascii="Times New Roman" w:eastAsia="Calibri" w:hAnsi="Times New Roman" w:cs="Times New Roman"/>
          <w:sz w:val="24"/>
          <w:szCs w:val="24"/>
          <w:lang w:val="kk-KZ"/>
        </w:rPr>
        <w:t xml:space="preserve">ы </w:t>
      </w:r>
      <w:r w:rsidR="00B553AB" w:rsidRPr="00306051">
        <w:rPr>
          <w:rFonts w:ascii="Times New Roman" w:eastAsia="Calibri" w:hAnsi="Times New Roman" w:cs="Times New Roman"/>
          <w:sz w:val="24"/>
          <w:szCs w:val="24"/>
          <w:lang w:val="kk-KZ"/>
        </w:rPr>
        <w:t>ықтимал</w:t>
      </w:r>
      <w:r w:rsidRPr="00306051">
        <w:rPr>
          <w:rFonts w:ascii="Times New Roman" w:eastAsia="Calibri" w:hAnsi="Times New Roman" w:cs="Times New Roman"/>
          <w:sz w:val="24"/>
          <w:szCs w:val="24"/>
          <w:lang w:val="kk-KZ"/>
        </w:rPr>
        <w:t xml:space="preserve">. Әдетте, ондай реакциялар </w:t>
      </w:r>
      <w:r w:rsidRPr="00306051">
        <w:rPr>
          <w:rFonts w:ascii="Times New Roman" w:eastAsia="Calibri" w:hAnsi="Times New Roman" w:cs="Times New Roman"/>
          <w:sz w:val="24"/>
          <w:szCs w:val="24"/>
          <w:lang w:val="kk-KZ"/>
        </w:rPr>
        <w:lastRenderedPageBreak/>
        <w:t xml:space="preserve">БАРЕ басталғаннан кейінгі алғашқы бірнеше апта немесе ай ішінде байқалған. Сәйкесінше мысалдары цитомегаловирустық ретинит, жайылған және/немесе ошақтық микобактериялық инфекциялар және </w:t>
      </w:r>
      <w:r w:rsidRPr="00306051">
        <w:rPr>
          <w:rFonts w:ascii="Times New Roman" w:eastAsia="Calibri" w:hAnsi="Times New Roman" w:cs="Times New Roman"/>
          <w:i/>
          <w:iCs/>
          <w:sz w:val="24"/>
          <w:szCs w:val="24"/>
          <w:lang w:val="kk-KZ"/>
        </w:rPr>
        <w:t>Pneumocystis jirovecii</w:t>
      </w:r>
      <w:r w:rsidRPr="00306051">
        <w:rPr>
          <w:rFonts w:ascii="Times New Roman" w:eastAsia="Calibri" w:hAnsi="Times New Roman" w:cs="Times New Roman"/>
          <w:sz w:val="24"/>
          <w:szCs w:val="24"/>
          <w:lang w:val="kk-KZ"/>
        </w:rPr>
        <w:t xml:space="preserve"> пневмониясы болды. Кез келген қабыну симптомдарына баға беру және қажет болған жағдайда, ем тағайындау керек. </w:t>
      </w:r>
    </w:p>
    <w:p w14:paraId="19716F71" w14:textId="77777777" w:rsidR="00607595" w:rsidRPr="00306051" w:rsidRDefault="00607595">
      <w:pPr>
        <w:spacing w:after="0" w:line="100" w:lineRule="atLeast"/>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sz w:val="24"/>
          <w:szCs w:val="24"/>
          <w:lang w:val="kk-KZ"/>
        </w:rPr>
        <w:t>Иммундық реактивация жағдайында аутоиммундық бұзылулар (мысалы, Грейвс ауруы) да сипатталған. Алайда, бұл жағдайдың туындау уақытының үлкен ауытқымалылығы білінеді, және ол препараттарды қабылдау басталғаннан кейін бірнеше айдан соң дамуы мүмкін.</w:t>
      </w:r>
    </w:p>
    <w:p w14:paraId="2FCD0078"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Оппортунистік инфекциялар</w:t>
      </w:r>
    </w:p>
    <w:p w14:paraId="6697BAD5" w14:textId="77777777" w:rsidR="00607595" w:rsidRPr="00306051" w:rsidRDefault="00607595">
      <w:pPr>
        <w:spacing w:after="0" w:line="100" w:lineRule="atLeast"/>
        <w:jc w:val="both"/>
        <w:rPr>
          <w:rFonts w:ascii="Times New Roman" w:eastAsia="Calibri" w:hAnsi="Times New Roman" w:cs="Times New Roman"/>
          <w:i/>
          <w:iCs/>
          <w:sz w:val="24"/>
          <w:szCs w:val="24"/>
          <w:lang w:val="kk-KZ"/>
        </w:rPr>
      </w:pPr>
      <w:r w:rsidRPr="00306051">
        <w:rPr>
          <w:rFonts w:ascii="Times New Roman" w:eastAsia="Calibri" w:hAnsi="Times New Roman" w:cs="Times New Roman"/>
          <w:sz w:val="24"/>
          <w:szCs w:val="24"/>
          <w:lang w:val="kk-KZ" w:eastAsia="ar-IQ" w:bidi="ar-IQ"/>
        </w:rPr>
        <w:t>АИТВ-1 инфекциясы бар, Эмтрицитабин және тенофовир дизопроксил фумараты препаратын немесе кез келген басқа антиретровирустық емді қабылдап жүрген пациенттерде, оппортунистік инфекциялардың және АИТВ инфекциясының басқа асқынуларының дамуы жалғасуы мүмкін, сондықтан олар АИТВ-мен байланысты аурулары бар пациенттерді емдеуде тәжірибесі бар дәрігерлердің мұқият клиникалық қадағалауында қала беруі тиіс.</w:t>
      </w:r>
    </w:p>
    <w:p w14:paraId="65E762E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i/>
          <w:iCs/>
          <w:sz w:val="24"/>
          <w:szCs w:val="24"/>
          <w:lang w:val="kk-KZ"/>
        </w:rPr>
        <w:t>Остеонекроз</w:t>
      </w:r>
      <w:r w:rsidRPr="00306051">
        <w:rPr>
          <w:rFonts w:ascii="Times New Roman" w:eastAsia="Calibri" w:hAnsi="Times New Roman" w:cs="Times New Roman"/>
          <w:i/>
          <w:sz w:val="24"/>
          <w:szCs w:val="24"/>
          <w:lang w:val="kk-KZ"/>
        </w:rPr>
        <w:t xml:space="preserve"> </w:t>
      </w:r>
    </w:p>
    <w:p w14:paraId="78CA3CD6" w14:textId="77777777" w:rsidR="00607595" w:rsidRPr="00306051" w:rsidRDefault="00607595">
      <w:pPr>
        <w:spacing w:after="0" w:line="100" w:lineRule="atLeast"/>
        <w:jc w:val="both"/>
        <w:rPr>
          <w:rFonts w:ascii="Times New Roman" w:eastAsia="Calibri" w:hAnsi="Times New Roman" w:cs="Times New Roman"/>
          <w:sz w:val="24"/>
          <w:szCs w:val="24"/>
          <w:u w:val="single"/>
          <w:lang w:val="kk-KZ"/>
        </w:rPr>
      </w:pPr>
      <w:r w:rsidRPr="00306051">
        <w:rPr>
          <w:rFonts w:ascii="Times New Roman" w:eastAsia="Calibri" w:hAnsi="Times New Roman" w:cs="Times New Roman"/>
          <w:sz w:val="24"/>
          <w:szCs w:val="24"/>
          <w:lang w:val="kk-KZ"/>
        </w:rPr>
        <w:t xml:space="preserve">Этиологиясы көп факторлы (кортикостероидтарды қолдануды, алкогольді қолдануды, иммунитеттің ауыр бәсеңдеуін, дене салмағы индексі мәнінің жоғарылығын  қоса) болып есептелгенімен, остеонекроз жағдайлары туралы, атап айтқанда, АИТВ ауруы дамыған және/немесе БАРЕ ұзақ әсер еткен пациенттерге қатысты хабарлар болған. Аталған құбылыстың туындау жиілігі белгісіз. Егер пациенттер буындардың ауыруын, буындардың сіресуін немесе қимыл-қозғалыс кезіндегі қиындықтарды сезінсе, оларға дәрігердің кеңесіне жүгінуді ұсыну керек. </w:t>
      </w:r>
    </w:p>
    <w:p w14:paraId="018CE6CA"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u w:val="single"/>
          <w:lang w:val="kk-KZ"/>
        </w:rPr>
        <w:t>Басқа дәрілік заттармен бір мезгілде қолданылуы</w:t>
      </w:r>
    </w:p>
    <w:p w14:paraId="157E8F6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Нефроуытты дәрілік заттарды қабылдап жүрген немесе жуырда қабылдаған пациенттерде Эмтрицитабин және тенофовир дизопроксил фумараты препаратының қолданылуын болдырмау қажет (4.5 бөлімін қараңыз). Эмтрицитабин және тенофовир дизопроксил фумараты препараты мен нефроуытты дәрілерді бір мезгілде қолданбауға мүмкіндік болмаған жағдайда, бүйрек функциясын апта сайын бақылап отыру керек.</w:t>
      </w:r>
    </w:p>
    <w:p w14:paraId="335028DA"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АИТВ-1 инфекциясы бар, тенофовир дизопроксил фумаратын қабылдап жүрген және бүйрек функциясының бұзылулары дамуының қауіп факторлары бар пациенттерде, бүйректің жедел жеткіліксіздігі жағдайлары қабынуға қарсы стероидты емес препараттардың (ҚҚСП) жоғары дозаларын немесе бірнешеуін қабылдауды бастағаннан  кейін тіркелген. Эмтрицитабин және тенофовир дизопроксил фумараты  препаратын ҚҚСП-мен бір мезгілде қабылдағанда бүйрек функциясын мұқият қадағалау керек.</w:t>
      </w:r>
    </w:p>
    <w:p w14:paraId="253C0EA6"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АИТВ-1 инфекциясы бар, тенофовир дизопроксил фумаратын  ритонавирмен немесе кобицистатпен күшейтілген протеазалар тежегішімен үйлестіріп қабылдап жүрген пациенттерде бүйректің зақымдану қаупі жоғары екені білінген. Ондай пациенттерде бүйрек функциясын мұқият қадағалау қажет (4.5 бөлімін қараңыз). Бүйрек зақымдануының қауіп факторлары болған жағдайда, АИТВ-1 инфекциясы бар пациенттерде тенофовир дизопроксил фумаратын протеазалардың күшейтілген тежегішімен бірге қолдану қажеттілігін мұқият бағалау керек.</w:t>
      </w:r>
    </w:p>
    <w:p w14:paraId="0C0AB12A" w14:textId="77777777" w:rsidR="00607595" w:rsidRPr="00306051" w:rsidRDefault="00607595">
      <w:pPr>
        <w:spacing w:after="0" w:line="100" w:lineRule="atLeast"/>
        <w:jc w:val="both"/>
        <w:rPr>
          <w:rFonts w:ascii="Times New Roman" w:eastAsia="Calibri" w:hAnsi="Times New Roman" w:cs="Times New Roman"/>
          <w:i/>
          <w:sz w:val="24"/>
          <w:szCs w:val="24"/>
          <w:lang w:val="kk-KZ"/>
        </w:rPr>
      </w:pPr>
      <w:r w:rsidRPr="00306051">
        <w:rPr>
          <w:rFonts w:ascii="Times New Roman" w:eastAsia="Calibri" w:hAnsi="Times New Roman" w:cs="Times New Roman"/>
          <w:sz w:val="24"/>
          <w:szCs w:val="24"/>
          <w:lang w:val="kk-KZ"/>
        </w:rPr>
        <w:t>Эмтрицитабин және тенофовир дизопроксил фумараты препаратын құрамында эмтрицитабин, тенофовир дизопроксил (фумарат түрінде), тенофовир алафенамиді немесе цитидиннің басқа аналогтары, мысалы ламивудин бар басқа дәрілік заттармен бір мезгілде қолданбау керек. (4.5 бөлімін қараңыз). Эмтрицитабин және тенофовир дизопроксил фумараты препаратын адефовир дипивоксилмен бір мезгілде қолданбау керек.</w:t>
      </w:r>
    </w:p>
    <w:p w14:paraId="113B529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i/>
          <w:sz w:val="24"/>
          <w:szCs w:val="24"/>
          <w:lang w:val="kk-KZ"/>
        </w:rPr>
        <w:t>Ледипасвирмен және софосбувирмен, софосбувирмен және велпатасвирмен немесе софосбувир, велпатасвир және воксилапревир біріктірілімімен бір мезгілде қолдану</w:t>
      </w:r>
    </w:p>
    <w:p w14:paraId="2BDC4123"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lastRenderedPageBreak/>
        <w:t>Тенофовир дизопроксил фумаратын ледипасвирмен/софосбувирмен, софосбувирмен/велпатасвирмен немесе софосбувирмен</w:t>
      </w:r>
      <w:r w:rsidR="00B553AB"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lang w:val="kk-KZ"/>
        </w:rPr>
        <w:t>/велпатасвирмен</w:t>
      </w:r>
      <w:r w:rsidR="00B553AB"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lang w:val="kk-KZ"/>
        </w:rPr>
        <w:t>/</w:t>
      </w:r>
      <w:r w:rsidR="00B553AB"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lang w:val="kk-KZ"/>
        </w:rPr>
        <w:t>воксилапр</w:t>
      </w:r>
      <w:r w:rsidR="00B553AB" w:rsidRPr="00306051">
        <w:rPr>
          <w:rFonts w:ascii="Times New Roman" w:eastAsia="Calibri" w:hAnsi="Times New Roman" w:cs="Times New Roman"/>
          <w:sz w:val="24"/>
          <w:szCs w:val="24"/>
          <w:lang w:val="kk-KZ"/>
        </w:rPr>
        <w:t xml:space="preserve">е- </w:t>
      </w:r>
      <w:r w:rsidRPr="00306051">
        <w:rPr>
          <w:rFonts w:ascii="Times New Roman" w:eastAsia="Calibri" w:hAnsi="Times New Roman" w:cs="Times New Roman"/>
          <w:sz w:val="24"/>
          <w:szCs w:val="24"/>
          <w:lang w:val="kk-KZ"/>
        </w:rPr>
        <w:t>вирмен бір мезгілде қолдану, әсіресе, АИТВ-инфекциясын емдеудің құрамында тенофовир дизопроксил фумараты және фармакокинетикалық күшейткіш (ритонавир немесе кобицистат) бар кестесімен біріктіргенде, қан плазмасындағы тенофовир концентрациясын арттыратыны көрсетілді.</w:t>
      </w:r>
    </w:p>
    <w:p w14:paraId="3BBBA87B" w14:textId="77777777" w:rsidR="00607595" w:rsidRPr="00306051" w:rsidRDefault="00607595">
      <w:pPr>
        <w:spacing w:after="0" w:line="100" w:lineRule="atLeast"/>
        <w:jc w:val="both"/>
        <w:rPr>
          <w:rFonts w:ascii="Times New Roman" w:eastAsia="Calibri" w:hAnsi="Times New Roman" w:cs="Times New Roman"/>
          <w:i/>
          <w:sz w:val="24"/>
          <w:szCs w:val="24"/>
          <w:lang w:val="kk-KZ"/>
        </w:rPr>
      </w:pPr>
      <w:r w:rsidRPr="00306051">
        <w:rPr>
          <w:rFonts w:ascii="Times New Roman" w:eastAsia="Calibri" w:hAnsi="Times New Roman" w:cs="Times New Roman"/>
          <w:sz w:val="24"/>
          <w:szCs w:val="24"/>
          <w:lang w:val="kk-KZ"/>
        </w:rPr>
        <w:t>Тенофовир дизопроксил фумаратының ледипасвирмен/софосбувирмен, софосбувирмен/велпатасвирмен немесе софосбувирмен/ велпатасвирмен</w:t>
      </w:r>
      <w:r w:rsidR="00B553AB"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lang w:val="kk-KZ"/>
        </w:rPr>
        <w:t>/воксилапре</w:t>
      </w:r>
      <w:r w:rsidR="00B553AB"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lang w:val="kk-KZ"/>
        </w:rPr>
        <w:t>вирмен және фармакокинетикалық күшейткішпен біріктіргендегі қауіпсіздігі анықталмаған. Әсіресе, бүйрек функциясының бұзылу қаупі жоғары пациенттерде сондай біріктірілімімен байланысты ықтимал қауіптері мен артықшылықтарын бағалау керек. Ледипасвир/софосбувирді, софосбувир/велпатасвирді немесе софосбувир/ велпатасвир/воксилапревирді тенофовир дизопроксил фумаратымен және АИТВ протеазасының күшейтілген тежегішімен қабылдап жүрген пациенттер, тенофовир дизопроксил фумаратымен байланысты жағымсыз реакцияларды анықтау үшін қадағалауда болуы тиіс.</w:t>
      </w:r>
    </w:p>
    <w:p w14:paraId="293B40D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i/>
          <w:sz w:val="24"/>
          <w:szCs w:val="24"/>
          <w:lang w:val="kk-KZ"/>
        </w:rPr>
        <w:t xml:space="preserve">Тенофовир дизопроксил фумаратын диданозинмен бір мезгілде қолдану </w:t>
      </w:r>
    </w:p>
    <w:p w14:paraId="6132C168" w14:textId="77777777" w:rsidR="008909EA"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Мұндай біріктірілім ұсынылмайды</w:t>
      </w:r>
      <w:r w:rsidR="008909EA"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lang w:val="kk-KZ"/>
        </w:rPr>
        <w:t>(4.5 бөлімін қараңыз)</w:t>
      </w:r>
      <w:r w:rsidRPr="00306051">
        <w:rPr>
          <w:rFonts w:ascii="Times New Roman" w:eastAsia="Calibri" w:hAnsi="Times New Roman" w:cs="Times New Roman"/>
          <w:i/>
          <w:sz w:val="24"/>
          <w:szCs w:val="24"/>
          <w:lang w:val="kk-KZ"/>
        </w:rPr>
        <w:t>.</w:t>
      </w:r>
      <w:r w:rsidRPr="00306051">
        <w:rPr>
          <w:rFonts w:ascii="Times New Roman" w:eastAsia="Calibri" w:hAnsi="Times New Roman" w:cs="Times New Roman"/>
          <w:sz w:val="24"/>
          <w:szCs w:val="24"/>
          <w:lang w:val="kk-KZ"/>
        </w:rPr>
        <w:t xml:space="preserve"> </w:t>
      </w:r>
    </w:p>
    <w:p w14:paraId="73329C0D"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 xml:space="preserve">Үштік нуклеозидтік ем </w:t>
      </w:r>
    </w:p>
    <w:p w14:paraId="7799A6CA" w14:textId="77777777" w:rsidR="00607595" w:rsidRPr="00306051" w:rsidRDefault="00607595">
      <w:pPr>
        <w:spacing w:after="0" w:line="100" w:lineRule="atLeast"/>
        <w:jc w:val="both"/>
        <w:rPr>
          <w:rFonts w:ascii="Times New Roman" w:eastAsia="Calibri" w:hAnsi="Times New Roman" w:cs="Times New Roman"/>
          <w:i/>
          <w:iCs/>
          <w:sz w:val="24"/>
          <w:szCs w:val="24"/>
          <w:lang w:val="kk-KZ"/>
        </w:rPr>
      </w:pPr>
      <w:r w:rsidRPr="00306051">
        <w:rPr>
          <w:rFonts w:ascii="Times New Roman" w:eastAsia="Calibri" w:hAnsi="Times New Roman" w:cs="Times New Roman"/>
          <w:sz w:val="24"/>
          <w:szCs w:val="24"/>
          <w:lang w:val="kk-KZ" w:eastAsia="ar-IQ" w:bidi="ar-IQ"/>
        </w:rPr>
        <w:t>АИТВ-1 инфекциясын жұқтырған пациенттерде тенофовир дизопроксил фумаратын ламивудинмен және абакавирмен, сондай-ақ, ламивудинмен және диданозинмен тәулігіне 1 рет енгізу кестесі бойынша біріктірген кезде, емдеудің бастапқы сатысында</w:t>
      </w:r>
      <w:r w:rsidRPr="00306051">
        <w:rPr>
          <w:rFonts w:ascii="Times New Roman" w:eastAsia="Calibri" w:hAnsi="Times New Roman" w:cs="Times New Roman"/>
          <w:sz w:val="24"/>
          <w:szCs w:val="24"/>
          <w:lang w:val="kk-KZ"/>
        </w:rPr>
        <w:t xml:space="preserve"> вирусологиялық жауаптың болмауы мен </w:t>
      </w:r>
      <w:r w:rsidRPr="00306051">
        <w:rPr>
          <w:rFonts w:ascii="Times New Roman" w:eastAsia="Calibri" w:hAnsi="Times New Roman" w:cs="Times New Roman"/>
          <w:sz w:val="24"/>
          <w:szCs w:val="24"/>
          <w:lang w:val="kk-KZ" w:eastAsia="ar-IQ" w:bidi="ar-IQ"/>
        </w:rPr>
        <w:t>резистенттіліктің пайда болуы жиілігінің жоғарылығы туралы хабарламалар түскен. Ламивудин мен эмтрицитабин арасында жақын құрылымдық ұқсастық бар, сондай-ақ, бұл екі дәрінің фармакокинетикасы мен фармакодинамикасы ұқсас. Сондықтан, дәл осындай қиындықтар Эмтрицитабин және тенофовир дизопроксил фумараты препаратын үшінші нуклеозид аналогымен қолданғанда туындауы мүмкін.</w:t>
      </w:r>
    </w:p>
    <w:p w14:paraId="5CA08E3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i/>
          <w:iCs/>
          <w:sz w:val="24"/>
          <w:szCs w:val="24"/>
          <w:lang w:val="kk-KZ"/>
        </w:rPr>
        <w:t xml:space="preserve">Егде жастағы пациенттер </w:t>
      </w:r>
    </w:p>
    <w:p w14:paraId="167BBC8E" w14:textId="77777777" w:rsidR="00607595" w:rsidRPr="00306051" w:rsidRDefault="00607595">
      <w:pPr>
        <w:spacing w:after="0" w:line="100" w:lineRule="atLeast"/>
        <w:jc w:val="both"/>
        <w:rPr>
          <w:rFonts w:ascii="Times New Roman" w:hAnsi="Times New Roman" w:cs="Times New Roman"/>
          <w:i/>
          <w:spacing w:val="-6"/>
          <w:sz w:val="24"/>
          <w:szCs w:val="24"/>
          <w:lang w:val="kk-KZ"/>
        </w:rPr>
      </w:pPr>
      <w:r w:rsidRPr="00306051">
        <w:rPr>
          <w:rFonts w:ascii="Times New Roman" w:eastAsia="Calibri" w:hAnsi="Times New Roman" w:cs="Times New Roman"/>
          <w:sz w:val="24"/>
          <w:szCs w:val="24"/>
          <w:lang w:val="kk-KZ"/>
        </w:rPr>
        <w:t xml:space="preserve">65 жастан асқан пациенттер арасында Эмтрицитабин және тенофовир дизопроксил фумараты </w:t>
      </w:r>
      <w:r w:rsidR="008909EA" w:rsidRPr="00306051">
        <w:rPr>
          <w:rFonts w:ascii="Times New Roman" w:eastAsia="Calibri" w:hAnsi="Times New Roman" w:cs="Times New Roman"/>
          <w:sz w:val="24"/>
          <w:szCs w:val="24"/>
          <w:lang w:val="kk-KZ" w:eastAsia="ar-IQ" w:bidi="ar-IQ"/>
        </w:rPr>
        <w:t>біріктірілімі</w:t>
      </w:r>
      <w:r w:rsidRPr="00306051">
        <w:rPr>
          <w:rFonts w:ascii="Times New Roman" w:eastAsia="Calibri" w:hAnsi="Times New Roman" w:cs="Times New Roman"/>
          <w:sz w:val="24"/>
          <w:szCs w:val="24"/>
          <w:lang w:val="kk-KZ"/>
        </w:rPr>
        <w:t>н</w:t>
      </w:r>
      <w:r w:rsidR="008909EA" w:rsidRPr="00306051">
        <w:rPr>
          <w:rFonts w:ascii="Times New Roman" w:eastAsia="Calibri" w:hAnsi="Times New Roman" w:cs="Times New Roman"/>
          <w:sz w:val="24"/>
          <w:szCs w:val="24"/>
          <w:lang w:val="kk-KZ"/>
        </w:rPr>
        <w:t>ің</w:t>
      </w:r>
      <w:r w:rsidRPr="00306051">
        <w:rPr>
          <w:rFonts w:ascii="Times New Roman" w:eastAsia="Calibri" w:hAnsi="Times New Roman" w:cs="Times New Roman"/>
          <w:sz w:val="24"/>
          <w:szCs w:val="24"/>
          <w:lang w:val="kk-KZ"/>
        </w:rPr>
        <w:t xml:space="preserve"> зерттеу</w:t>
      </w:r>
      <w:r w:rsidR="008909EA" w:rsidRPr="00306051">
        <w:rPr>
          <w:rFonts w:ascii="Times New Roman" w:eastAsia="Calibri" w:hAnsi="Times New Roman" w:cs="Times New Roman"/>
          <w:sz w:val="24"/>
          <w:szCs w:val="24"/>
          <w:lang w:val="kk-KZ"/>
        </w:rPr>
        <w:t>і</w:t>
      </w:r>
      <w:r w:rsidRPr="00306051">
        <w:rPr>
          <w:rFonts w:ascii="Times New Roman" w:eastAsia="Calibri" w:hAnsi="Times New Roman" w:cs="Times New Roman"/>
          <w:sz w:val="24"/>
          <w:szCs w:val="24"/>
          <w:lang w:val="kk-KZ"/>
        </w:rPr>
        <w:t xml:space="preserve"> жүргізілген жоқ. Егде жастағы пациенттердің бүйрек функциясы төмендеуіне бейімділік дәрежесі жоғары, сондықтан, осы популяцияны Эмтрицитабин және тенофовир дизопроксил фумараты препаратымен емдеу кезінде сақтық таныту қажет.</w:t>
      </w:r>
    </w:p>
    <w:p w14:paraId="23FD4364" w14:textId="77777777" w:rsidR="00607595" w:rsidRPr="00306051" w:rsidRDefault="00607595">
      <w:pPr>
        <w:widowControl w:val="0"/>
        <w:shd w:val="clear" w:color="auto" w:fill="FFFFFF"/>
        <w:spacing w:after="0" w:line="100" w:lineRule="atLeast"/>
        <w:jc w:val="both"/>
        <w:rPr>
          <w:rFonts w:ascii="Times New Roman" w:hAnsi="Times New Roman" w:cs="Times New Roman"/>
          <w:spacing w:val="-6"/>
          <w:sz w:val="24"/>
          <w:szCs w:val="24"/>
          <w:lang w:val="kk-KZ"/>
        </w:rPr>
      </w:pPr>
      <w:r w:rsidRPr="00306051">
        <w:rPr>
          <w:rFonts w:ascii="Times New Roman" w:hAnsi="Times New Roman" w:cs="Times New Roman"/>
          <w:i/>
          <w:spacing w:val="-6"/>
          <w:sz w:val="24"/>
          <w:szCs w:val="24"/>
          <w:lang w:val="kk-KZ"/>
        </w:rPr>
        <w:t>Қосымша заттар</w:t>
      </w:r>
    </w:p>
    <w:p w14:paraId="460F28D2" w14:textId="77777777" w:rsidR="00607595" w:rsidRPr="00306051" w:rsidRDefault="00607595">
      <w:pPr>
        <w:widowControl w:val="0"/>
        <w:shd w:val="clear" w:color="auto" w:fill="FFFFFF"/>
        <w:spacing w:after="0" w:line="100" w:lineRule="atLeast"/>
        <w:jc w:val="both"/>
        <w:rPr>
          <w:rFonts w:ascii="Times New Roman" w:hAnsi="Times New Roman" w:cs="Times New Roman"/>
          <w:spacing w:val="-6"/>
          <w:sz w:val="24"/>
          <w:szCs w:val="24"/>
          <w:lang w:val="kk-KZ"/>
        </w:rPr>
      </w:pPr>
      <w:r w:rsidRPr="00306051">
        <w:rPr>
          <w:rFonts w:ascii="Times New Roman" w:hAnsi="Times New Roman" w:cs="Times New Roman"/>
          <w:spacing w:val="-6"/>
          <w:sz w:val="24"/>
          <w:szCs w:val="24"/>
          <w:lang w:val="kk-KZ"/>
        </w:rPr>
        <w:t>Бір таблетканың құрамында 80 мг натрий кроскармеллозасы бар, тұзсыз диета ұстап жүрген адамдарға тағайындағанда сақтық таныту қажет.</w:t>
      </w:r>
    </w:p>
    <w:p w14:paraId="4E9DE3CB"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hAnsi="Times New Roman" w:cs="Times New Roman"/>
          <w:spacing w:val="-6"/>
          <w:sz w:val="24"/>
          <w:szCs w:val="24"/>
          <w:lang w:val="kk-KZ"/>
        </w:rPr>
        <w:t>Бір таблетканың құрамында 145 мг лактоза бар, тұқым қуалайтын галактоза жақпаушылығы, Lapp (ЛАПП)-лактаза ферментінің тапшылығы, глюкоза-галактоза мальабсорбциясы бар адамдарға қолдануға болмайды</w:t>
      </w:r>
      <w:r w:rsidRPr="00306051">
        <w:rPr>
          <w:rFonts w:ascii="Times New Roman" w:eastAsia="Calibri" w:hAnsi="Times New Roman" w:cs="Times New Roman"/>
          <w:sz w:val="24"/>
          <w:szCs w:val="24"/>
          <w:lang w:val="kk-KZ"/>
        </w:rPr>
        <w:t>.</w:t>
      </w:r>
    </w:p>
    <w:p w14:paraId="1A38C4FB"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p>
    <w:p w14:paraId="0EE989AF" w14:textId="77777777" w:rsidR="00607595" w:rsidRPr="00306051" w:rsidRDefault="00607595">
      <w:pPr>
        <w:spacing w:after="0" w:line="100" w:lineRule="atLeast"/>
        <w:jc w:val="both"/>
        <w:rPr>
          <w:rFonts w:ascii="Times New Roman" w:eastAsia="Calibri" w:hAnsi="Times New Roman" w:cs="Times New Roman"/>
          <w:bCs/>
          <w:sz w:val="24"/>
          <w:szCs w:val="24"/>
          <w:lang w:val="kk-KZ"/>
        </w:rPr>
      </w:pPr>
      <w:r w:rsidRPr="00306051">
        <w:rPr>
          <w:rFonts w:ascii="Times New Roman" w:hAnsi="Times New Roman" w:cs="Times New Roman"/>
          <w:b/>
          <w:sz w:val="24"/>
          <w:szCs w:val="24"/>
          <w:lang w:val="kk-KZ"/>
        </w:rPr>
        <w:t xml:space="preserve">4.5. </w:t>
      </w:r>
      <w:r w:rsidRPr="00306051">
        <w:rPr>
          <w:rFonts w:ascii="Times New Roman" w:eastAsia="Times New Roman" w:hAnsi="Times New Roman" w:cs="Times New Roman"/>
          <w:b/>
          <w:bCs/>
          <w:sz w:val="24"/>
          <w:szCs w:val="24"/>
          <w:lang w:val="kk-KZ"/>
        </w:rPr>
        <w:t>Басқа дәрілік препараттармен өзара әрекеттесуі</w:t>
      </w:r>
      <w:r w:rsidRPr="00306051">
        <w:rPr>
          <w:rFonts w:ascii="Times New Roman" w:eastAsia="Times New Roman" w:hAnsi="Times New Roman" w:cs="Times New Roman"/>
          <w:b/>
          <w:sz w:val="24"/>
          <w:szCs w:val="24"/>
          <w:lang w:val="kk-KZ"/>
        </w:rPr>
        <w:t xml:space="preserve"> және өзара әрекеттесуінің басқа түрлері</w:t>
      </w:r>
      <w:r w:rsidRPr="00306051">
        <w:rPr>
          <w:rFonts w:ascii="Times New Roman" w:hAnsi="Times New Roman" w:cs="Times New Roman"/>
          <w:b/>
          <w:sz w:val="24"/>
          <w:szCs w:val="24"/>
          <w:lang w:val="kk-KZ"/>
        </w:rPr>
        <w:t>.</w:t>
      </w:r>
    </w:p>
    <w:p w14:paraId="3053B067"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sz w:val="24"/>
          <w:szCs w:val="24"/>
          <w:lang w:val="kk-KZ"/>
        </w:rPr>
      </w:pPr>
      <w:r w:rsidRPr="00306051">
        <w:rPr>
          <w:rFonts w:ascii="Times New Roman" w:eastAsia="Calibri" w:hAnsi="Times New Roman" w:cs="Times New Roman"/>
          <w:bCs/>
          <w:sz w:val="24"/>
          <w:szCs w:val="24"/>
          <w:lang w:val="kk-KZ"/>
        </w:rPr>
        <w:t>Біріктірілген Эмтрицитабин және тенофовир дизопроксил фумараты препаратының құрамында эмтрицитабин және тенофовир дизопроксил фумараты бар</w:t>
      </w:r>
      <w:r w:rsidR="00D600E8" w:rsidRPr="00306051">
        <w:rPr>
          <w:rFonts w:ascii="Times New Roman" w:eastAsia="Calibri" w:hAnsi="Times New Roman" w:cs="Times New Roman"/>
          <w:bCs/>
          <w:sz w:val="24"/>
          <w:szCs w:val="24"/>
          <w:lang w:val="kk-KZ"/>
        </w:rPr>
        <w:t xml:space="preserve"> болғандықтан</w:t>
      </w:r>
      <w:r w:rsidRPr="00306051">
        <w:rPr>
          <w:rFonts w:ascii="Times New Roman" w:eastAsia="Calibri" w:hAnsi="Times New Roman" w:cs="Times New Roman"/>
          <w:bCs/>
          <w:sz w:val="24"/>
          <w:szCs w:val="24"/>
          <w:lang w:val="kk-KZ"/>
        </w:rPr>
        <w:t xml:space="preserve"> аталған заттардың әрқайсысы үшін анықталған кез келген өзара әрекеттесулер, Эмтрицитабин және тенофовир дизопроксил фумараты препаратына да қатысты болуы мүмкін. </w:t>
      </w:r>
    </w:p>
    <w:p w14:paraId="15A3313E" w14:textId="77777777" w:rsidR="00D600E8" w:rsidRPr="00306051" w:rsidRDefault="00D600E8">
      <w:pPr>
        <w:widowControl w:val="0"/>
        <w:shd w:val="clear" w:color="auto" w:fill="FFFFFF"/>
        <w:spacing w:after="0" w:line="100" w:lineRule="atLeast"/>
        <w:jc w:val="both"/>
        <w:rPr>
          <w:rFonts w:ascii="Times New Roman" w:eastAsia="Calibri" w:hAnsi="Times New Roman" w:cs="Times New Roman"/>
          <w:bCs/>
          <w:sz w:val="24"/>
          <w:szCs w:val="24"/>
          <w:lang w:val="kk-KZ"/>
        </w:rPr>
      </w:pPr>
      <w:r w:rsidRPr="00306051">
        <w:rPr>
          <w:rFonts w:ascii="Times New Roman" w:eastAsia="Calibri" w:hAnsi="Times New Roman" w:cs="Times New Roman"/>
          <w:bCs/>
          <w:sz w:val="24"/>
          <w:szCs w:val="24"/>
          <w:lang w:val="kk-KZ"/>
        </w:rPr>
        <w:t>Өзара әрекеттесу бойынша зерттеулер тек ересектерде жүргізілді.</w:t>
      </w:r>
    </w:p>
    <w:p w14:paraId="30A4D87D"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sz w:val="24"/>
          <w:szCs w:val="24"/>
          <w:lang w:val="kk-KZ"/>
        </w:rPr>
      </w:pPr>
      <w:r w:rsidRPr="00306051">
        <w:rPr>
          <w:rFonts w:ascii="Times New Roman" w:eastAsia="Calibri" w:hAnsi="Times New Roman" w:cs="Times New Roman"/>
          <w:bCs/>
          <w:sz w:val="24"/>
          <w:szCs w:val="24"/>
          <w:lang w:val="kk-KZ"/>
        </w:rPr>
        <w:t>Әр дәрілік препаратты бөлек-бөлек енгізумен салыстырғанда, эмтрицитабин мен тенофовир дизопроксил фумаратын бірге қабылдағанда, эмтрицитабин мен тенофовирдің стационардағы күйінің фармакокинетикасы әсерге ұшыраған жоқ.</w:t>
      </w:r>
    </w:p>
    <w:p w14:paraId="3F11F965"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sz w:val="24"/>
          <w:szCs w:val="24"/>
          <w:u w:val="single"/>
          <w:lang w:val="kk-KZ"/>
        </w:rPr>
      </w:pPr>
      <w:r w:rsidRPr="00306051">
        <w:rPr>
          <w:rFonts w:ascii="Times New Roman" w:eastAsia="Calibri" w:hAnsi="Times New Roman" w:cs="Times New Roman"/>
          <w:bCs/>
          <w:sz w:val="24"/>
          <w:szCs w:val="24"/>
          <w:lang w:val="kk-KZ"/>
        </w:rPr>
        <w:lastRenderedPageBreak/>
        <w:t>Эмтрицитабин мен тенофовир дизопроксил фумараты басқа  дәрілік заттармен бірге қатысқанда, CYP450 түрткі болатын өзара әрекеттесулерінің мүмкіндігі аз</w:t>
      </w:r>
      <w:r w:rsidR="00D600E8" w:rsidRPr="00306051">
        <w:rPr>
          <w:rFonts w:ascii="Times New Roman" w:eastAsia="Calibri" w:hAnsi="Times New Roman" w:cs="Times New Roman"/>
          <w:bCs/>
          <w:sz w:val="24"/>
          <w:szCs w:val="24"/>
          <w:lang w:val="kk-KZ"/>
        </w:rPr>
        <w:t>дығын</w:t>
      </w:r>
      <w:r w:rsidR="00D600E8" w:rsidRPr="00306051">
        <w:rPr>
          <w:lang w:val="kk-KZ"/>
        </w:rPr>
        <w:t xml:space="preserve"> </w:t>
      </w:r>
      <w:r w:rsidR="00D600E8" w:rsidRPr="00306051">
        <w:rPr>
          <w:rFonts w:ascii="Times New Roman" w:eastAsia="Calibri" w:hAnsi="Times New Roman" w:cs="Times New Roman"/>
          <w:i/>
          <w:iCs/>
          <w:sz w:val="24"/>
          <w:szCs w:val="24"/>
          <w:lang w:val="kk-KZ"/>
        </w:rPr>
        <w:t xml:space="preserve">in vitro </w:t>
      </w:r>
      <w:r w:rsidR="00D600E8" w:rsidRPr="00306051">
        <w:rPr>
          <w:rFonts w:ascii="Times New Roman" w:eastAsia="Calibri" w:hAnsi="Times New Roman" w:cs="Times New Roman"/>
          <w:bCs/>
          <w:sz w:val="24"/>
          <w:szCs w:val="24"/>
          <w:lang w:val="kk-KZ"/>
        </w:rPr>
        <w:t>және клиникалық фармакокинетикалық өзара әрекеттесуінің зерттеулері көрсетті</w:t>
      </w:r>
      <w:r w:rsidRPr="00306051">
        <w:rPr>
          <w:rFonts w:ascii="Times New Roman" w:eastAsia="Calibri" w:hAnsi="Times New Roman" w:cs="Times New Roman"/>
          <w:bCs/>
          <w:sz w:val="24"/>
          <w:szCs w:val="24"/>
          <w:lang w:val="kk-KZ"/>
        </w:rPr>
        <w:t>.</w:t>
      </w:r>
    </w:p>
    <w:p w14:paraId="2F996432"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iCs/>
          <w:sz w:val="24"/>
          <w:szCs w:val="24"/>
          <w:lang w:val="kk-KZ"/>
        </w:rPr>
      </w:pPr>
      <w:r w:rsidRPr="00306051">
        <w:rPr>
          <w:rFonts w:ascii="Times New Roman" w:eastAsia="Calibri" w:hAnsi="Times New Roman" w:cs="Times New Roman"/>
          <w:bCs/>
          <w:sz w:val="24"/>
          <w:szCs w:val="24"/>
          <w:u w:val="single"/>
          <w:lang w:val="kk-KZ"/>
        </w:rPr>
        <w:t>Бір мезгілде қолдану ұсынылмайды</w:t>
      </w:r>
    </w:p>
    <w:p w14:paraId="2AA5971A"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i/>
          <w:iCs/>
          <w:sz w:val="24"/>
          <w:szCs w:val="24"/>
          <w:lang w:val="kk-KZ"/>
        </w:rPr>
      </w:pPr>
      <w:r w:rsidRPr="00306051">
        <w:rPr>
          <w:rFonts w:ascii="Times New Roman" w:eastAsia="Calibri" w:hAnsi="Times New Roman" w:cs="Times New Roman"/>
          <w:bCs/>
          <w:iCs/>
          <w:sz w:val="24"/>
          <w:szCs w:val="24"/>
          <w:lang w:val="kk-KZ"/>
        </w:rPr>
        <w:t>Эмтрицитабин және тенофовир дизопроксил фумараты препаратын құрамында эмтрицитабин немесе</w:t>
      </w:r>
      <w:r w:rsidR="007D5684">
        <w:rPr>
          <w:rFonts w:ascii="Times New Roman" w:eastAsia="Calibri" w:hAnsi="Times New Roman" w:cs="Times New Roman"/>
          <w:bCs/>
          <w:iCs/>
          <w:sz w:val="24"/>
          <w:szCs w:val="24"/>
          <w:lang w:val="kk-KZ"/>
        </w:rPr>
        <w:t xml:space="preserve"> тенофовир дизопроксил (фумарат</w:t>
      </w:r>
      <w:r w:rsidRPr="00306051">
        <w:rPr>
          <w:rFonts w:ascii="Times New Roman" w:eastAsia="Calibri" w:hAnsi="Times New Roman" w:cs="Times New Roman"/>
          <w:bCs/>
          <w:iCs/>
          <w:sz w:val="24"/>
          <w:szCs w:val="24"/>
          <w:lang w:val="kk-KZ"/>
        </w:rPr>
        <w:t xml:space="preserve"> түрінде), тенофовир алафенамид немесе цитидиннің басқа аналогтары, мысалы ламивудин бар басқа дәрілік препараттармен бір мезгілде қолданбау керек</w:t>
      </w:r>
      <w:r w:rsidR="00D600E8" w:rsidRPr="00306051">
        <w:rPr>
          <w:rFonts w:ascii="Times New Roman" w:eastAsia="Calibri" w:hAnsi="Times New Roman" w:cs="Times New Roman"/>
          <w:bCs/>
          <w:iCs/>
          <w:sz w:val="24"/>
          <w:szCs w:val="24"/>
          <w:lang w:val="kk-KZ"/>
        </w:rPr>
        <w:t xml:space="preserve"> </w:t>
      </w:r>
      <w:r w:rsidR="00D600E8" w:rsidRPr="00306051">
        <w:rPr>
          <w:rFonts w:ascii="Times New Roman" w:eastAsia="Calibri" w:hAnsi="Times New Roman" w:cs="Times New Roman"/>
          <w:iCs/>
          <w:sz w:val="24"/>
          <w:szCs w:val="24"/>
          <w:lang w:val="kk-KZ"/>
        </w:rPr>
        <w:t>(4.4 бөлімін қараңыз)</w:t>
      </w:r>
      <w:r w:rsidRPr="00306051">
        <w:rPr>
          <w:rFonts w:ascii="Times New Roman" w:eastAsia="Calibri" w:hAnsi="Times New Roman" w:cs="Times New Roman"/>
          <w:bCs/>
          <w:iCs/>
          <w:sz w:val="24"/>
          <w:szCs w:val="24"/>
          <w:lang w:val="kk-KZ"/>
        </w:rPr>
        <w:t>. Эмтрицитабин және тенофовир дизопроксил фумараты препаратын адефовир дипивоксилмен бір мезгілде қолданбау керек.</w:t>
      </w:r>
    </w:p>
    <w:p w14:paraId="2DA2781E"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i/>
          <w:iCs/>
          <w:sz w:val="24"/>
          <w:szCs w:val="24"/>
          <w:lang w:val="kk-KZ"/>
        </w:rPr>
      </w:pPr>
      <w:r w:rsidRPr="00306051">
        <w:rPr>
          <w:rFonts w:ascii="Times New Roman" w:eastAsia="Calibri" w:hAnsi="Times New Roman" w:cs="Times New Roman"/>
          <w:bCs/>
          <w:i/>
          <w:iCs/>
          <w:sz w:val="24"/>
          <w:szCs w:val="24"/>
          <w:lang w:val="kk-KZ"/>
        </w:rPr>
        <w:t xml:space="preserve">Диданозин. </w:t>
      </w:r>
      <w:r w:rsidRPr="00306051">
        <w:rPr>
          <w:rFonts w:ascii="Times New Roman" w:eastAsia="Calibri" w:hAnsi="Times New Roman" w:cs="Times New Roman"/>
          <w:bCs/>
          <w:iCs/>
          <w:sz w:val="24"/>
          <w:szCs w:val="24"/>
          <w:lang w:val="kk-KZ"/>
        </w:rPr>
        <w:t>Эмтрицитабин және тенофовир дизопроксил фумараты препаратын диданозинмен бір мезгілде қолдану ұсынылмайды</w:t>
      </w:r>
      <w:r w:rsidR="00D600E8" w:rsidRPr="00306051">
        <w:rPr>
          <w:rFonts w:ascii="Times New Roman" w:eastAsia="Calibri" w:hAnsi="Times New Roman" w:cs="Times New Roman"/>
          <w:bCs/>
          <w:iCs/>
          <w:sz w:val="24"/>
          <w:szCs w:val="24"/>
          <w:lang w:val="kk-KZ"/>
        </w:rPr>
        <w:t xml:space="preserve"> </w:t>
      </w:r>
      <w:r w:rsidR="00D600E8" w:rsidRPr="00306051">
        <w:rPr>
          <w:rFonts w:ascii="Times New Roman" w:eastAsia="Calibri" w:hAnsi="Times New Roman" w:cs="Times New Roman"/>
          <w:sz w:val="24"/>
          <w:szCs w:val="24"/>
          <w:lang w:val="kk-KZ"/>
        </w:rPr>
        <w:t xml:space="preserve">(4.4 </w:t>
      </w:r>
      <w:r w:rsidR="009035F9" w:rsidRPr="00306051">
        <w:rPr>
          <w:rFonts w:ascii="Times New Roman" w:eastAsia="Calibri" w:hAnsi="Times New Roman" w:cs="Times New Roman"/>
          <w:sz w:val="24"/>
          <w:szCs w:val="24"/>
          <w:lang w:val="kk-KZ"/>
        </w:rPr>
        <w:t>бөлімін және 2 кестені қараңыз</w:t>
      </w:r>
      <w:r w:rsidR="00D600E8" w:rsidRPr="00306051">
        <w:rPr>
          <w:rFonts w:ascii="Times New Roman" w:eastAsia="Calibri" w:hAnsi="Times New Roman" w:cs="Times New Roman"/>
          <w:sz w:val="24"/>
          <w:szCs w:val="24"/>
          <w:lang w:val="kk-KZ"/>
        </w:rPr>
        <w:t>)</w:t>
      </w:r>
      <w:r w:rsidRPr="00306051">
        <w:rPr>
          <w:rFonts w:ascii="Times New Roman" w:eastAsia="Calibri" w:hAnsi="Times New Roman" w:cs="Times New Roman"/>
          <w:bCs/>
          <w:iCs/>
          <w:sz w:val="24"/>
          <w:szCs w:val="24"/>
          <w:lang w:val="kk-KZ"/>
        </w:rPr>
        <w:t>.</w:t>
      </w:r>
    </w:p>
    <w:p w14:paraId="4CE6EF2A"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sz w:val="24"/>
          <w:szCs w:val="24"/>
          <w:lang w:val="kk-KZ"/>
        </w:rPr>
      </w:pPr>
      <w:r w:rsidRPr="00306051">
        <w:rPr>
          <w:rFonts w:ascii="Times New Roman" w:eastAsia="Calibri" w:hAnsi="Times New Roman" w:cs="Times New Roman"/>
          <w:bCs/>
          <w:i/>
          <w:iCs/>
          <w:sz w:val="24"/>
          <w:szCs w:val="24"/>
          <w:lang w:val="kk-KZ"/>
        </w:rPr>
        <w:t>Бүйрек арқылы шығарылатын дәрілік заттар.</w:t>
      </w:r>
      <w:r w:rsidRPr="00306051">
        <w:rPr>
          <w:rFonts w:ascii="Times New Roman" w:eastAsia="Calibri" w:hAnsi="Times New Roman" w:cs="Times New Roman"/>
          <w:bCs/>
          <w:sz w:val="24"/>
          <w:szCs w:val="24"/>
          <w:lang w:val="kk-KZ"/>
        </w:rPr>
        <w:t xml:space="preserve"> Эмтрицитабин мен тенофовир көбінесе бүйрек арқылы шығарылатындықтан, Эмтрицитабин және тенофовир дизопроксил фумараты препаратын бүйрек функциясын төмендететін немесе белсенді өзекшелік секреция үшін бәсекелесетін дәрілік препараттармен (мысалы, цидофовирмен) бір мезгілде енгізу, эмтрицитабиннің, тенофовирдің және/немесе бір мезгілде енгізілетін дәрілік препараттардың қан сарысуындағы концентрациясын жоғарылатуы мүмкін.</w:t>
      </w:r>
    </w:p>
    <w:p w14:paraId="5271F70C" w14:textId="77777777" w:rsidR="00607595" w:rsidRPr="00306051" w:rsidRDefault="00607595">
      <w:pPr>
        <w:spacing w:after="0" w:line="100" w:lineRule="atLeast"/>
        <w:jc w:val="both"/>
        <w:rPr>
          <w:rFonts w:ascii="Times New Roman" w:eastAsia="Calibri" w:hAnsi="Times New Roman" w:cs="Times New Roman"/>
          <w:bCs/>
          <w:sz w:val="24"/>
          <w:szCs w:val="24"/>
          <w:u w:val="single"/>
          <w:lang w:val="kk-KZ"/>
        </w:rPr>
      </w:pPr>
      <w:r w:rsidRPr="00306051">
        <w:rPr>
          <w:rFonts w:ascii="Times New Roman" w:eastAsia="Calibri" w:hAnsi="Times New Roman" w:cs="Times New Roman"/>
          <w:bCs/>
          <w:sz w:val="24"/>
          <w:szCs w:val="24"/>
          <w:lang w:val="kk-KZ"/>
        </w:rPr>
        <w:t>Нефроуытты дәрілік заттарды (мысалы, аминогликозидтерді, амфотерицин B, фоскарнет, ганцикловир, пентамидин, ванкомицин, цидофовир және интерлейкин – 2. бірақ, осылармен шектелмейді) бір мезгілде қолданумен немесе жақында қолданылуымен Эмтрицитабин және тенофовир дизопроксил фумараты препаратын қолдануға жол бермеу қажет</w:t>
      </w:r>
      <w:r w:rsidRPr="00306051">
        <w:rPr>
          <w:rFonts w:ascii="Times New Roman" w:eastAsia="Calibri" w:hAnsi="Times New Roman" w:cs="Times New Roman"/>
          <w:sz w:val="24"/>
          <w:szCs w:val="24"/>
          <w:lang w:val="kk-KZ"/>
        </w:rPr>
        <w:t xml:space="preserve"> (4.4 бөлімін қараңыз).</w:t>
      </w:r>
    </w:p>
    <w:p w14:paraId="791F6A90"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sz w:val="24"/>
          <w:szCs w:val="24"/>
          <w:lang w:val="kk-KZ"/>
        </w:rPr>
      </w:pPr>
      <w:r w:rsidRPr="00306051">
        <w:rPr>
          <w:rFonts w:ascii="Times New Roman" w:eastAsia="Calibri" w:hAnsi="Times New Roman" w:cs="Times New Roman"/>
          <w:bCs/>
          <w:sz w:val="24"/>
          <w:szCs w:val="24"/>
          <w:u w:val="single"/>
          <w:lang w:val="kk-KZ"/>
        </w:rPr>
        <w:t>Басқа өзара әрекеттесулері</w:t>
      </w:r>
    </w:p>
    <w:p w14:paraId="45480309"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sz w:val="24"/>
          <w:szCs w:val="24"/>
          <w:lang w:val="kk-KZ"/>
        </w:rPr>
      </w:pPr>
      <w:r w:rsidRPr="00306051">
        <w:rPr>
          <w:rFonts w:ascii="Times New Roman" w:eastAsia="Calibri" w:hAnsi="Times New Roman" w:cs="Times New Roman"/>
          <w:bCs/>
          <w:sz w:val="24"/>
          <w:szCs w:val="24"/>
          <w:lang w:val="kk-KZ"/>
        </w:rPr>
        <w:t>Эмтрицитабин және тенофовир дизопроксил фумараты препараты немесе оның жекелеген компоненттері мен басқ</w:t>
      </w:r>
      <w:r w:rsidR="009035F9" w:rsidRPr="00306051">
        <w:rPr>
          <w:rFonts w:ascii="Times New Roman" w:eastAsia="Calibri" w:hAnsi="Times New Roman" w:cs="Times New Roman"/>
          <w:bCs/>
          <w:sz w:val="24"/>
          <w:szCs w:val="24"/>
          <w:lang w:val="kk-KZ"/>
        </w:rPr>
        <w:t xml:space="preserve">а дәрілік </w:t>
      </w:r>
      <w:r w:rsidR="009035F9" w:rsidRPr="00306051">
        <w:rPr>
          <w:rFonts w:ascii="Times New Roman" w:eastAsia="Calibri" w:hAnsi="Times New Roman" w:cs="Times New Roman"/>
          <w:sz w:val="24"/>
          <w:szCs w:val="24"/>
          <w:lang w:val="kk-KZ"/>
        </w:rPr>
        <w:t>препарат</w:t>
      </w:r>
      <w:r w:rsidRPr="00306051">
        <w:rPr>
          <w:rFonts w:ascii="Times New Roman" w:eastAsia="Calibri" w:hAnsi="Times New Roman" w:cs="Times New Roman"/>
          <w:bCs/>
          <w:sz w:val="24"/>
          <w:szCs w:val="24"/>
          <w:lang w:val="kk-KZ"/>
        </w:rPr>
        <w:t xml:space="preserve">тар арасындағы өзара әрекеттесулер төменде 2 кестеде келтірілген (жоғарылауы «↑», төмендеуі – «↓», өзгерістердің жоқтығы – «↔», тәулігіне екі рет – «b.i.d.» және тәулігіне бір рет – «q.d.» деп белгіленген). Деректер болған жағдайда 90 %-дық сенімді аралық жақшаның ішінде көрсетілген. </w:t>
      </w:r>
    </w:p>
    <w:p w14:paraId="76A93952"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sz w:val="24"/>
          <w:szCs w:val="24"/>
          <w:lang w:val="kk-KZ"/>
        </w:rPr>
      </w:pPr>
      <w:r w:rsidRPr="00306051">
        <w:rPr>
          <w:rFonts w:ascii="Times New Roman" w:eastAsia="Calibri" w:hAnsi="Times New Roman" w:cs="Times New Roman"/>
          <w:bCs/>
          <w:sz w:val="24"/>
          <w:szCs w:val="24"/>
          <w:lang w:val="kk-KZ"/>
        </w:rPr>
        <w:t>2 кесте</w:t>
      </w:r>
    </w:p>
    <w:p w14:paraId="550902D0"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bCs/>
          <w:sz w:val="24"/>
          <w:szCs w:val="24"/>
          <w:lang w:val="kk-KZ"/>
        </w:rPr>
        <w:t>Эмтрицитабин және тенофовир дизопроксил фумараты препараты немесе оның жекелеген компоненттері мен басқа дәрілік заттар арасындағы өзара әрекеттесулер</w:t>
      </w:r>
    </w:p>
    <w:tbl>
      <w:tblPr>
        <w:tblW w:w="9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3"/>
        <w:gridCol w:w="3073"/>
        <w:gridCol w:w="3084"/>
      </w:tblGrid>
      <w:tr w:rsidR="00607595" w:rsidRPr="00306051" w14:paraId="34F2BDE8" w14:textId="77777777" w:rsidTr="00B22B57">
        <w:tc>
          <w:tcPr>
            <w:tcW w:w="3073" w:type="dxa"/>
            <w:shd w:val="clear" w:color="auto" w:fill="auto"/>
          </w:tcPr>
          <w:p w14:paraId="55BDC180" w14:textId="77777777" w:rsidR="00607595" w:rsidRPr="00306051" w:rsidRDefault="00607595">
            <w:pPr>
              <w:keepNext/>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Емдеу бағыттары бойынша дәрілік зат</w:t>
            </w:r>
          </w:p>
          <w:p w14:paraId="6BB52077" w14:textId="77777777" w:rsidR="00607595" w:rsidRPr="00306051" w:rsidRDefault="00607595">
            <w:pPr>
              <w:keepNext/>
              <w:spacing w:after="0" w:line="100" w:lineRule="atLeast"/>
              <w:jc w:val="both"/>
              <w:rPr>
                <w:rFonts w:ascii="Times New Roman" w:eastAsia="Calibri" w:hAnsi="Times New Roman" w:cs="Times New Roman"/>
                <w:sz w:val="24"/>
                <w:szCs w:val="24"/>
                <w:lang w:val="kk-KZ"/>
              </w:rPr>
            </w:pPr>
          </w:p>
        </w:tc>
        <w:tc>
          <w:tcPr>
            <w:tcW w:w="3073" w:type="dxa"/>
            <w:shd w:val="clear" w:color="auto" w:fill="auto"/>
          </w:tcPr>
          <w:p w14:paraId="1EAB74B0" w14:textId="77777777" w:rsidR="00607595" w:rsidRPr="00306051" w:rsidRDefault="00607595">
            <w:pPr>
              <w:keepNext/>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Препараттың деңгейлеріне ықпалы,</w:t>
            </w:r>
          </w:p>
          <w:p w14:paraId="32A8365E" w14:textId="77777777" w:rsidR="00607595" w:rsidRPr="00306051" w:rsidRDefault="00607595">
            <w:pPr>
              <w:keepNext/>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xml:space="preserve"> орташа пайыздық өзгерісі, деректері болған жағдайда</w:t>
            </w:r>
          </w:p>
          <w:p w14:paraId="7A3A70FD" w14:textId="77777777" w:rsidR="00607595" w:rsidRPr="00306051" w:rsidRDefault="00607595">
            <w:pPr>
              <w:keepNext/>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 xml:space="preserve">90% </w:t>
            </w:r>
            <w:r w:rsidRPr="00306051">
              <w:rPr>
                <w:rFonts w:ascii="Times New Roman" w:eastAsia="Calibri" w:hAnsi="Times New Roman" w:cs="Times New Roman"/>
                <w:sz w:val="24"/>
                <w:szCs w:val="24"/>
                <w:lang w:val="kk-KZ"/>
              </w:rPr>
              <w:t xml:space="preserve">сенімді аралықпен </w:t>
            </w:r>
          </w:p>
        </w:tc>
        <w:tc>
          <w:tcPr>
            <w:tcW w:w="3084" w:type="dxa"/>
            <w:shd w:val="clear" w:color="auto" w:fill="auto"/>
          </w:tcPr>
          <w:p w14:paraId="2F0D86A2" w14:textId="77777777" w:rsidR="00607595" w:rsidRPr="00306051" w:rsidRDefault="00607595">
            <w:pPr>
              <w:keepNext/>
              <w:spacing w:after="0" w:line="100" w:lineRule="atLeast"/>
              <w:jc w:val="both"/>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және</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r w:rsidRPr="00306051">
              <w:rPr>
                <w:rFonts w:ascii="Times New Roman" w:eastAsia="Calibri" w:hAnsi="Times New Roman" w:cs="Times New Roman"/>
                <w:sz w:val="24"/>
                <w:szCs w:val="24"/>
              </w:rPr>
              <w:t xml:space="preserve"> препарат</w:t>
            </w:r>
            <w:r w:rsidRPr="00306051">
              <w:rPr>
                <w:rFonts w:ascii="Times New Roman" w:eastAsia="Calibri" w:hAnsi="Times New Roman" w:cs="Times New Roman"/>
                <w:sz w:val="24"/>
                <w:szCs w:val="24"/>
                <w:lang w:val="kk-KZ"/>
              </w:rPr>
              <w:t>ы</w:t>
            </w:r>
            <w:r w:rsidRPr="00306051">
              <w:rPr>
                <w:rFonts w:ascii="Times New Roman" w:eastAsia="Calibri" w:hAnsi="Times New Roman" w:cs="Times New Roman"/>
                <w:sz w:val="24"/>
                <w:szCs w:val="24"/>
              </w:rPr>
              <w:t>м</w:t>
            </w:r>
            <w:r w:rsidRPr="00306051">
              <w:rPr>
                <w:rFonts w:ascii="Times New Roman" w:eastAsia="Calibri" w:hAnsi="Times New Roman" w:cs="Times New Roman"/>
                <w:sz w:val="24"/>
                <w:szCs w:val="24"/>
                <w:lang w:val="kk-KZ"/>
              </w:rPr>
              <w:t>ен бір мезгілде енгізуге қатысты нұсқаулар</w:t>
            </w:r>
          </w:p>
        </w:tc>
      </w:tr>
      <w:tr w:rsidR="00B22B57" w:rsidRPr="00306051" w14:paraId="5883DB56" w14:textId="77777777" w:rsidTr="00443478">
        <w:tblPrEx>
          <w:tblCellMar>
            <w:left w:w="0" w:type="dxa"/>
            <w:right w:w="0" w:type="dxa"/>
          </w:tblCellMar>
        </w:tblPrEx>
        <w:trPr>
          <w:trHeight w:val="178"/>
        </w:trPr>
        <w:tc>
          <w:tcPr>
            <w:tcW w:w="9230" w:type="dxa"/>
            <w:gridSpan w:val="3"/>
            <w:shd w:val="clear" w:color="auto" w:fill="auto"/>
          </w:tcPr>
          <w:p w14:paraId="5F6C4AF1" w14:textId="77777777" w:rsidR="00B22B57" w:rsidRPr="00306051" w:rsidRDefault="00B22B57" w:rsidP="00443478">
            <w:pPr>
              <w:snapToGrid w:val="0"/>
              <w:spacing w:after="0" w:line="240" w:lineRule="auto"/>
            </w:pPr>
            <w:r w:rsidRPr="00306051">
              <w:rPr>
                <w:rFonts w:ascii="Times New Roman" w:eastAsia="Calibri" w:hAnsi="Times New Roman" w:cs="Times New Roman"/>
                <w:b/>
                <w:sz w:val="24"/>
                <w:szCs w:val="24"/>
              </w:rPr>
              <w:t>ИНФЕКЦИ</w:t>
            </w:r>
            <w:r w:rsidRPr="00306051">
              <w:rPr>
                <w:rFonts w:ascii="Times New Roman" w:eastAsia="Calibri" w:hAnsi="Times New Roman" w:cs="Times New Roman"/>
                <w:b/>
                <w:sz w:val="24"/>
                <w:szCs w:val="24"/>
                <w:lang w:val="kk-KZ"/>
              </w:rPr>
              <w:t>ЯҒА ҚАРСЫ ПРЕПАРАТТАР</w:t>
            </w:r>
          </w:p>
        </w:tc>
      </w:tr>
      <w:tr w:rsidR="00B22B57" w:rsidRPr="00306051" w14:paraId="059BD18D" w14:textId="77777777" w:rsidTr="00443478">
        <w:tblPrEx>
          <w:tblCellMar>
            <w:left w:w="0" w:type="dxa"/>
            <w:right w:w="0" w:type="dxa"/>
          </w:tblCellMar>
        </w:tblPrEx>
        <w:trPr>
          <w:trHeight w:val="356"/>
        </w:trPr>
        <w:tc>
          <w:tcPr>
            <w:tcW w:w="9230" w:type="dxa"/>
            <w:gridSpan w:val="3"/>
            <w:shd w:val="clear" w:color="auto" w:fill="auto"/>
          </w:tcPr>
          <w:p w14:paraId="55825FA3" w14:textId="77777777" w:rsidR="00B22B57" w:rsidRPr="00306051" w:rsidRDefault="00B22B57" w:rsidP="00443478">
            <w:pPr>
              <w:snapToGrid w:val="0"/>
              <w:spacing w:after="0" w:line="240" w:lineRule="auto"/>
            </w:pPr>
            <w:proofErr w:type="spellStart"/>
            <w:r w:rsidRPr="00306051">
              <w:rPr>
                <w:rFonts w:ascii="Times New Roman" w:eastAsia="Calibri" w:hAnsi="Times New Roman" w:cs="Times New Roman"/>
                <w:b/>
                <w:sz w:val="24"/>
                <w:szCs w:val="24"/>
              </w:rPr>
              <w:t>Антиретровирус</w:t>
            </w:r>
            <w:proofErr w:type="spellEnd"/>
            <w:r w:rsidRPr="00306051">
              <w:rPr>
                <w:rFonts w:ascii="Times New Roman" w:eastAsia="Calibri" w:hAnsi="Times New Roman" w:cs="Times New Roman"/>
                <w:b/>
                <w:sz w:val="24"/>
                <w:szCs w:val="24"/>
                <w:lang w:val="kk-KZ"/>
              </w:rPr>
              <w:t>тық</w:t>
            </w:r>
          </w:p>
        </w:tc>
      </w:tr>
      <w:tr w:rsidR="00B22B57" w:rsidRPr="00306051" w14:paraId="5B45E4EE" w14:textId="77777777" w:rsidTr="00681378">
        <w:tblPrEx>
          <w:tblCellMar>
            <w:left w:w="0" w:type="dxa"/>
            <w:right w:w="0" w:type="dxa"/>
          </w:tblCellMar>
        </w:tblPrEx>
        <w:tc>
          <w:tcPr>
            <w:tcW w:w="9230" w:type="dxa"/>
            <w:gridSpan w:val="3"/>
            <w:shd w:val="clear" w:color="auto" w:fill="auto"/>
          </w:tcPr>
          <w:p w14:paraId="45C2BFD3" w14:textId="77777777" w:rsidR="00B22B57" w:rsidRPr="00306051" w:rsidRDefault="00B22B57" w:rsidP="00443478">
            <w:pPr>
              <w:snapToGrid w:val="0"/>
              <w:spacing w:after="0" w:line="240" w:lineRule="auto"/>
            </w:pPr>
            <w:r w:rsidRPr="00306051">
              <w:rPr>
                <w:rFonts w:ascii="Times New Roman" w:eastAsia="Calibri" w:hAnsi="Times New Roman" w:cs="Times New Roman"/>
                <w:b/>
                <w:sz w:val="24"/>
                <w:szCs w:val="24"/>
                <w:lang w:val="kk-KZ"/>
              </w:rPr>
              <w:t>П</w:t>
            </w:r>
            <w:proofErr w:type="spellStart"/>
            <w:r w:rsidRPr="00306051">
              <w:rPr>
                <w:rFonts w:ascii="Times New Roman" w:eastAsia="Calibri" w:hAnsi="Times New Roman" w:cs="Times New Roman"/>
                <w:b/>
                <w:sz w:val="24"/>
                <w:szCs w:val="24"/>
              </w:rPr>
              <w:t>ротеаз</w:t>
            </w:r>
            <w:proofErr w:type="spellEnd"/>
            <w:r w:rsidRPr="00306051">
              <w:rPr>
                <w:rFonts w:ascii="Times New Roman" w:eastAsia="Calibri" w:hAnsi="Times New Roman" w:cs="Times New Roman"/>
                <w:b/>
                <w:sz w:val="24"/>
                <w:szCs w:val="24"/>
                <w:lang w:val="kk-KZ"/>
              </w:rPr>
              <w:t>а тежегіштері</w:t>
            </w:r>
          </w:p>
        </w:tc>
      </w:tr>
      <w:tr w:rsidR="00607595" w:rsidRPr="00306051" w14:paraId="7339D66F" w14:textId="77777777" w:rsidTr="00B22B57">
        <w:tc>
          <w:tcPr>
            <w:tcW w:w="3073" w:type="dxa"/>
            <w:shd w:val="clear" w:color="auto" w:fill="auto"/>
          </w:tcPr>
          <w:p w14:paraId="236C7227"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Атазанавир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Ритонавир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p w14:paraId="12640708" w14:textId="2656C484" w:rsidR="00607595" w:rsidRPr="00306051" w:rsidRDefault="00607595" w:rsidP="007D5684">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 xml:space="preserve">(300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./100 мг</w:t>
            </w:r>
            <w:r w:rsidR="00D52051"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r w:rsidR="005D2F33" w:rsidRPr="00306051">
              <w:rPr>
                <w:rFonts w:ascii="Times New Roman" w:eastAsia="Calibri" w:hAnsi="Times New Roman" w:cs="Times New Roman"/>
                <w:sz w:val="24"/>
                <w:szCs w:val="24"/>
                <w:lang w:val="kk-KZ"/>
              </w:rPr>
              <w:t xml:space="preserve"> </w:t>
            </w:r>
            <w:r w:rsidR="004271D7">
              <w:rPr>
                <w:rFonts w:ascii="Times New Roman" w:eastAsia="Calibri" w:hAnsi="Times New Roman" w:cs="Times New Roman"/>
                <w:sz w:val="24"/>
                <w:szCs w:val="24"/>
              </w:rPr>
              <w:t>300</w:t>
            </w:r>
            <w:r w:rsidRPr="00306051">
              <w:rPr>
                <w:rFonts w:ascii="Times New Roman" w:eastAsia="Calibri" w:hAnsi="Times New Roman" w:cs="Times New Roman"/>
                <w:sz w:val="24"/>
                <w:szCs w:val="24"/>
              </w:rPr>
              <w:t xml:space="preserve">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p>
        </w:tc>
        <w:tc>
          <w:tcPr>
            <w:tcW w:w="3073" w:type="dxa"/>
            <w:shd w:val="clear" w:color="auto" w:fill="auto"/>
          </w:tcPr>
          <w:p w14:paraId="226E6E9D"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Атазанавир</w:t>
            </w:r>
            <w:proofErr w:type="spellEnd"/>
            <w:r w:rsidRPr="00306051">
              <w:rPr>
                <w:rFonts w:ascii="Times New Roman" w:eastAsia="Calibri" w:hAnsi="Times New Roman" w:cs="Times New Roman"/>
                <w:sz w:val="24"/>
                <w:szCs w:val="24"/>
              </w:rPr>
              <w:t>:</w:t>
            </w:r>
          </w:p>
          <w:p w14:paraId="01963310"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25 % (↓ 42 - ↓ 3)</w:t>
            </w:r>
          </w:p>
          <w:p w14:paraId="7A319EDD"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28 % (↓ 50 - ↑ 5)</w:t>
            </w:r>
          </w:p>
          <w:p w14:paraId="5CA86B03"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26 % (↓ 46 - ↑ 10)</w:t>
            </w:r>
          </w:p>
          <w:p w14:paraId="441E38A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w:t>
            </w:r>
          </w:p>
          <w:p w14:paraId="5670C525"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37 %</w:t>
            </w:r>
          </w:p>
          <w:p w14:paraId="3F481227"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34 %</w:t>
            </w:r>
          </w:p>
          <w:p w14:paraId="4AED49B8"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w:t>
            </w:r>
            <w:r w:rsidRPr="00306051">
              <w:rPr>
                <w:rFonts w:ascii="Times New Roman" w:eastAsia="Calibri" w:hAnsi="Times New Roman" w:cs="Times New Roman"/>
                <w:b/>
                <w:bCs/>
                <w:sz w:val="24"/>
                <w:szCs w:val="24"/>
              </w:rPr>
              <w:t xml:space="preserve"> </w:t>
            </w:r>
            <w:r w:rsidRPr="00306051">
              <w:rPr>
                <w:rFonts w:ascii="Times New Roman" w:eastAsia="Calibri" w:hAnsi="Times New Roman" w:cs="Times New Roman"/>
                <w:sz w:val="24"/>
                <w:szCs w:val="24"/>
              </w:rPr>
              <w:t>↑ 29 %</w:t>
            </w:r>
          </w:p>
        </w:tc>
        <w:tc>
          <w:tcPr>
            <w:tcW w:w="3084" w:type="dxa"/>
            <w:vMerge w:val="restart"/>
            <w:shd w:val="clear" w:color="auto" w:fill="auto"/>
          </w:tcPr>
          <w:p w14:paraId="0C31F2BC" w14:textId="77777777" w:rsidR="00607595" w:rsidRPr="00306051" w:rsidRDefault="00607595">
            <w:pPr>
              <w:spacing w:after="0" w:line="100" w:lineRule="atLeast"/>
              <w:jc w:val="both"/>
            </w:pPr>
            <w:proofErr w:type="spellStart"/>
            <w:r w:rsidRPr="00306051">
              <w:rPr>
                <w:rFonts w:ascii="Times New Roman" w:eastAsia="Calibri" w:hAnsi="Times New Roman" w:cs="Times New Roman"/>
                <w:sz w:val="24"/>
                <w:szCs w:val="24"/>
              </w:rPr>
              <w:t>Дозасын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түзету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ұсынылмайды</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Т</w:t>
            </w:r>
            <w:proofErr w:type="spellStart"/>
            <w:r w:rsidRPr="00306051">
              <w:rPr>
                <w:rFonts w:ascii="Times New Roman" w:eastAsia="Calibri" w:hAnsi="Times New Roman" w:cs="Times New Roman"/>
                <w:sz w:val="24"/>
                <w:szCs w:val="24"/>
              </w:rPr>
              <w:t>енофовир</w:t>
            </w:r>
            <w:proofErr w:type="spellEnd"/>
            <w:r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rPr>
              <w:t>экспозиция</w:t>
            </w:r>
            <w:r w:rsidRPr="00306051">
              <w:rPr>
                <w:rFonts w:ascii="Times New Roman" w:eastAsia="Calibri" w:hAnsi="Times New Roman" w:cs="Times New Roman"/>
                <w:sz w:val="24"/>
                <w:szCs w:val="24"/>
                <w:lang w:val="kk-KZ"/>
              </w:rPr>
              <w:t>сының жоғарылауы</w:t>
            </w:r>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 xml:space="preserve">бүйрек бұзылуларын қоса, </w:t>
            </w:r>
            <w:proofErr w:type="spellStart"/>
            <w:r w:rsidRPr="00306051">
              <w:rPr>
                <w:rFonts w:ascii="Times New Roman" w:eastAsia="Calibri" w:hAnsi="Times New Roman" w:cs="Times New Roman"/>
                <w:sz w:val="24"/>
                <w:szCs w:val="24"/>
              </w:rPr>
              <w:t>тенофовирм</w:t>
            </w:r>
            <w:proofErr w:type="spellEnd"/>
            <w:r w:rsidRPr="00306051">
              <w:rPr>
                <w:rFonts w:ascii="Times New Roman" w:eastAsia="Calibri" w:hAnsi="Times New Roman" w:cs="Times New Roman"/>
                <w:sz w:val="24"/>
                <w:szCs w:val="24"/>
                <w:lang w:val="kk-KZ"/>
              </w:rPr>
              <w:t>ен байланысты</w:t>
            </w:r>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жағымсыз әсерлерді күшейтуі мүмкін</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Бүйрек</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lastRenderedPageBreak/>
              <w:t>функциясын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мұқият</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қадағалау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қажет</w:t>
            </w:r>
            <w:proofErr w:type="spellEnd"/>
            <w:r w:rsidRPr="00306051">
              <w:rPr>
                <w:rFonts w:ascii="Times New Roman" w:eastAsia="Calibri" w:hAnsi="Times New Roman" w:cs="Times New Roman"/>
                <w:sz w:val="24"/>
                <w:szCs w:val="24"/>
              </w:rPr>
              <w:t xml:space="preserve"> (4.4 </w:t>
            </w:r>
            <w:proofErr w:type="spellStart"/>
            <w:r w:rsidRPr="00306051">
              <w:rPr>
                <w:rFonts w:ascii="Times New Roman" w:eastAsia="Calibri" w:hAnsi="Times New Roman" w:cs="Times New Roman"/>
                <w:sz w:val="24"/>
                <w:szCs w:val="24"/>
              </w:rPr>
              <w:t>бөлімін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қараңыз</w:t>
            </w:r>
            <w:proofErr w:type="spellEnd"/>
            <w:r w:rsidRPr="00306051">
              <w:rPr>
                <w:rFonts w:ascii="Times New Roman" w:eastAsia="Calibri" w:hAnsi="Times New Roman" w:cs="Times New Roman"/>
                <w:sz w:val="24"/>
                <w:szCs w:val="24"/>
              </w:rPr>
              <w:t>).</w:t>
            </w:r>
          </w:p>
        </w:tc>
      </w:tr>
      <w:tr w:rsidR="00607595" w:rsidRPr="00306051" w14:paraId="6CE54A98" w14:textId="77777777" w:rsidTr="00B22B57">
        <w:tc>
          <w:tcPr>
            <w:tcW w:w="3073" w:type="dxa"/>
            <w:shd w:val="clear" w:color="auto" w:fill="auto"/>
          </w:tcPr>
          <w:p w14:paraId="0CE44CC0"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lastRenderedPageBreak/>
              <w:t>Атазанавир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Ритонавир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Эмтрицитабин</w:t>
            </w:r>
            <w:proofErr w:type="spellEnd"/>
          </w:p>
        </w:tc>
        <w:tc>
          <w:tcPr>
            <w:tcW w:w="3073" w:type="dxa"/>
            <w:shd w:val="clear" w:color="auto" w:fill="auto"/>
          </w:tcPr>
          <w:p w14:paraId="2D610EE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Өзара</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әрекеттесуі</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зерттелмеген</w:t>
            </w:r>
            <w:proofErr w:type="spellEnd"/>
            <w:r w:rsidRPr="00306051">
              <w:rPr>
                <w:rFonts w:ascii="Times New Roman" w:eastAsia="Calibri" w:hAnsi="Times New Roman" w:cs="Times New Roman"/>
                <w:sz w:val="24"/>
                <w:szCs w:val="24"/>
              </w:rPr>
              <w:t>.</w:t>
            </w:r>
          </w:p>
        </w:tc>
        <w:tc>
          <w:tcPr>
            <w:tcW w:w="3084" w:type="dxa"/>
            <w:vMerge/>
            <w:shd w:val="clear" w:color="auto" w:fill="auto"/>
          </w:tcPr>
          <w:p w14:paraId="7F86AE9A" w14:textId="77777777" w:rsidR="00607595" w:rsidRPr="00306051" w:rsidRDefault="00607595">
            <w:pPr>
              <w:snapToGrid w:val="0"/>
              <w:spacing w:after="0" w:line="100" w:lineRule="atLeast"/>
              <w:jc w:val="both"/>
              <w:rPr>
                <w:rFonts w:ascii="Times New Roman" w:eastAsia="Calibri" w:hAnsi="Times New Roman" w:cs="Times New Roman"/>
                <w:sz w:val="24"/>
                <w:szCs w:val="24"/>
              </w:rPr>
            </w:pPr>
          </w:p>
        </w:tc>
      </w:tr>
      <w:tr w:rsidR="00607595" w:rsidRPr="00306051" w14:paraId="123E4A63" w14:textId="77777777" w:rsidTr="00B22B57">
        <w:trPr>
          <w:trHeight w:val="3244"/>
        </w:trPr>
        <w:tc>
          <w:tcPr>
            <w:tcW w:w="3073" w:type="dxa"/>
            <w:shd w:val="clear" w:color="auto" w:fill="auto"/>
          </w:tcPr>
          <w:p w14:paraId="336BA4C7"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Дарунавир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Ритонавир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p w14:paraId="439D2E00" w14:textId="387B8761" w:rsidR="00607595" w:rsidRPr="00306051" w:rsidRDefault="00607595" w:rsidP="007D5684">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 xml:space="preserve">(300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 xml:space="preserve">./100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r w:rsidR="004271D7">
              <w:rPr>
                <w:rFonts w:ascii="Times New Roman" w:eastAsia="Calibri" w:hAnsi="Times New Roman" w:cs="Times New Roman"/>
                <w:sz w:val="24"/>
                <w:szCs w:val="24"/>
              </w:rPr>
              <w:t>300</w:t>
            </w:r>
            <w:r w:rsidRPr="00306051">
              <w:rPr>
                <w:rFonts w:ascii="Times New Roman" w:eastAsia="Calibri" w:hAnsi="Times New Roman" w:cs="Times New Roman"/>
                <w:sz w:val="24"/>
                <w:szCs w:val="24"/>
              </w:rPr>
              <w:t xml:space="preserve">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p>
        </w:tc>
        <w:tc>
          <w:tcPr>
            <w:tcW w:w="3073" w:type="dxa"/>
            <w:shd w:val="clear" w:color="auto" w:fill="auto"/>
          </w:tcPr>
          <w:p w14:paraId="7FFA8951"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Дарунавир</w:t>
            </w:r>
            <w:proofErr w:type="spellEnd"/>
            <w:r w:rsidRPr="00306051">
              <w:rPr>
                <w:rFonts w:ascii="Times New Roman" w:eastAsia="Calibri" w:hAnsi="Times New Roman" w:cs="Times New Roman"/>
                <w:sz w:val="24"/>
                <w:szCs w:val="24"/>
              </w:rPr>
              <w:t>:</w:t>
            </w:r>
          </w:p>
          <w:p w14:paraId="4972E807"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583C3B4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19BAA108" w14:textId="77777777" w:rsidR="00607595" w:rsidRPr="00306051" w:rsidRDefault="00607595">
            <w:pPr>
              <w:spacing w:after="0" w:line="100" w:lineRule="atLeast"/>
              <w:jc w:val="both"/>
              <w:rPr>
                <w:rFonts w:ascii="Times New Roman" w:eastAsia="Calibri" w:hAnsi="Times New Roman" w:cs="Times New Roman"/>
                <w:sz w:val="24"/>
                <w:szCs w:val="24"/>
              </w:rPr>
            </w:pPr>
          </w:p>
          <w:p w14:paraId="27C07704"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w:t>
            </w:r>
          </w:p>
          <w:p w14:paraId="1DA29664"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22 %</w:t>
            </w:r>
          </w:p>
          <w:p w14:paraId="01704E2D"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37 %</w:t>
            </w:r>
          </w:p>
        </w:tc>
        <w:tc>
          <w:tcPr>
            <w:tcW w:w="3084" w:type="dxa"/>
            <w:vMerge w:val="restart"/>
            <w:shd w:val="clear" w:color="auto" w:fill="auto"/>
          </w:tcPr>
          <w:p w14:paraId="4C73D1A3" w14:textId="77777777" w:rsidR="00607595" w:rsidRPr="00306051" w:rsidRDefault="00607595">
            <w:pPr>
              <w:spacing w:after="0" w:line="100" w:lineRule="atLeast"/>
              <w:jc w:val="both"/>
            </w:pPr>
            <w:proofErr w:type="spellStart"/>
            <w:r w:rsidRPr="00306051">
              <w:rPr>
                <w:rFonts w:ascii="Times New Roman" w:eastAsia="Calibri" w:hAnsi="Times New Roman" w:cs="Times New Roman"/>
                <w:sz w:val="24"/>
                <w:szCs w:val="24"/>
              </w:rPr>
              <w:t>Дозасын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түзету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ұсынылмайды</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Т</w:t>
            </w:r>
            <w:proofErr w:type="spellStart"/>
            <w:r w:rsidRPr="00306051">
              <w:rPr>
                <w:rFonts w:ascii="Times New Roman" w:eastAsia="Calibri" w:hAnsi="Times New Roman" w:cs="Times New Roman"/>
                <w:sz w:val="24"/>
                <w:szCs w:val="24"/>
              </w:rPr>
              <w:t>енофовир</w:t>
            </w:r>
            <w:proofErr w:type="spellEnd"/>
            <w:r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rPr>
              <w:t>экспозиция</w:t>
            </w:r>
            <w:r w:rsidRPr="00306051">
              <w:rPr>
                <w:rFonts w:ascii="Times New Roman" w:eastAsia="Calibri" w:hAnsi="Times New Roman" w:cs="Times New Roman"/>
                <w:sz w:val="24"/>
                <w:szCs w:val="24"/>
                <w:lang w:val="kk-KZ"/>
              </w:rPr>
              <w:t>сының жоғарылауы</w:t>
            </w:r>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 xml:space="preserve">бүйрек бұзылуларын қоса, </w:t>
            </w:r>
            <w:proofErr w:type="spellStart"/>
            <w:r w:rsidRPr="00306051">
              <w:rPr>
                <w:rFonts w:ascii="Times New Roman" w:eastAsia="Calibri" w:hAnsi="Times New Roman" w:cs="Times New Roman"/>
                <w:sz w:val="24"/>
                <w:szCs w:val="24"/>
              </w:rPr>
              <w:t>тенофовирм</w:t>
            </w:r>
            <w:proofErr w:type="spellEnd"/>
            <w:r w:rsidRPr="00306051">
              <w:rPr>
                <w:rFonts w:ascii="Times New Roman" w:eastAsia="Calibri" w:hAnsi="Times New Roman" w:cs="Times New Roman"/>
                <w:sz w:val="24"/>
                <w:szCs w:val="24"/>
                <w:lang w:val="kk-KZ"/>
              </w:rPr>
              <w:t>ен байланысты</w:t>
            </w:r>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жағымсыз әсерлерді күшейтуі мүмкін</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Бүйрек</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функциясын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мұқият</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қадағалау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қажет</w:t>
            </w:r>
            <w:proofErr w:type="spellEnd"/>
            <w:r w:rsidRPr="00306051">
              <w:rPr>
                <w:rFonts w:ascii="Times New Roman" w:eastAsia="Calibri" w:hAnsi="Times New Roman" w:cs="Times New Roman"/>
                <w:sz w:val="24"/>
                <w:szCs w:val="24"/>
              </w:rPr>
              <w:t xml:space="preserve"> (4.4 </w:t>
            </w:r>
            <w:proofErr w:type="spellStart"/>
            <w:r w:rsidRPr="00306051">
              <w:rPr>
                <w:rFonts w:ascii="Times New Roman" w:eastAsia="Calibri" w:hAnsi="Times New Roman" w:cs="Times New Roman"/>
                <w:sz w:val="24"/>
                <w:szCs w:val="24"/>
              </w:rPr>
              <w:t>бөлімін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қараңыз</w:t>
            </w:r>
            <w:proofErr w:type="spellEnd"/>
            <w:r w:rsidRPr="00306051">
              <w:rPr>
                <w:rFonts w:ascii="Times New Roman" w:eastAsia="Calibri" w:hAnsi="Times New Roman" w:cs="Times New Roman"/>
                <w:sz w:val="24"/>
                <w:szCs w:val="24"/>
              </w:rPr>
              <w:t>).</w:t>
            </w:r>
          </w:p>
        </w:tc>
      </w:tr>
      <w:tr w:rsidR="00607595" w:rsidRPr="00306051" w14:paraId="1BDB078B" w14:textId="77777777" w:rsidTr="00B22B57">
        <w:trPr>
          <w:trHeight w:val="613"/>
        </w:trPr>
        <w:tc>
          <w:tcPr>
            <w:tcW w:w="3073" w:type="dxa"/>
            <w:shd w:val="clear" w:color="auto" w:fill="auto"/>
          </w:tcPr>
          <w:p w14:paraId="7AB873A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Дарунавир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Ритонавир</w:t>
            </w:r>
            <w:proofErr w:type="spellEnd"/>
            <w:r w:rsidRPr="00306051">
              <w:rPr>
                <w:rFonts w:ascii="Times New Roman" w:eastAsia="Calibri" w:hAnsi="Times New Roman" w:cs="Times New Roman"/>
                <w:sz w:val="24"/>
                <w:szCs w:val="24"/>
              </w:rPr>
              <w:t>/</w:t>
            </w:r>
          </w:p>
          <w:p w14:paraId="113AD180"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p>
        </w:tc>
        <w:tc>
          <w:tcPr>
            <w:tcW w:w="3073" w:type="dxa"/>
            <w:shd w:val="clear" w:color="auto" w:fill="auto"/>
          </w:tcPr>
          <w:p w14:paraId="1883D592"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Өзара</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әрекеттесуі</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зерттелмеген</w:t>
            </w:r>
            <w:proofErr w:type="spellEnd"/>
            <w:r w:rsidRPr="00306051">
              <w:rPr>
                <w:rFonts w:ascii="Times New Roman" w:eastAsia="Calibri" w:hAnsi="Times New Roman" w:cs="Times New Roman"/>
                <w:sz w:val="24"/>
                <w:szCs w:val="24"/>
              </w:rPr>
              <w:t>.</w:t>
            </w:r>
          </w:p>
        </w:tc>
        <w:tc>
          <w:tcPr>
            <w:tcW w:w="3084" w:type="dxa"/>
            <w:vMerge/>
            <w:shd w:val="clear" w:color="auto" w:fill="auto"/>
          </w:tcPr>
          <w:p w14:paraId="14A5131D" w14:textId="77777777" w:rsidR="00607595" w:rsidRPr="00306051" w:rsidRDefault="00607595">
            <w:pPr>
              <w:snapToGrid w:val="0"/>
              <w:spacing w:after="0" w:line="100" w:lineRule="atLeast"/>
              <w:jc w:val="both"/>
              <w:rPr>
                <w:rFonts w:ascii="Times New Roman" w:eastAsia="Calibri" w:hAnsi="Times New Roman" w:cs="Times New Roman"/>
                <w:sz w:val="24"/>
                <w:szCs w:val="24"/>
              </w:rPr>
            </w:pPr>
          </w:p>
        </w:tc>
      </w:tr>
      <w:tr w:rsidR="00607595" w:rsidRPr="00306051" w14:paraId="5278E52F" w14:textId="77777777" w:rsidTr="00B22B57">
        <w:tc>
          <w:tcPr>
            <w:tcW w:w="3073" w:type="dxa"/>
            <w:shd w:val="clear" w:color="auto" w:fill="auto"/>
          </w:tcPr>
          <w:p w14:paraId="3CBD2854"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Лопинавир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Ритонавир</w:t>
            </w:r>
            <w:proofErr w:type="spellEnd"/>
            <w:r w:rsidRPr="00306051">
              <w:rPr>
                <w:rFonts w:ascii="Times New Roman" w:eastAsia="Calibri" w:hAnsi="Times New Roman" w:cs="Times New Roman"/>
                <w:sz w:val="24"/>
                <w:szCs w:val="24"/>
              </w:rPr>
              <w:t>/</w:t>
            </w:r>
          </w:p>
          <w:p w14:paraId="3FC0E74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p w14:paraId="66752A37" w14:textId="1ACCC0BC" w:rsidR="00607595" w:rsidRPr="00306051" w:rsidRDefault="00607595" w:rsidP="00180238">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 xml:space="preserve">(400 мг </w:t>
            </w:r>
            <w:proofErr w:type="spellStart"/>
            <w:r w:rsidRPr="00306051">
              <w:rPr>
                <w:rFonts w:ascii="Times New Roman" w:eastAsia="Calibri" w:hAnsi="Times New Roman" w:cs="Times New Roman"/>
                <w:sz w:val="24"/>
                <w:szCs w:val="24"/>
              </w:rPr>
              <w:t>b.i.d</w:t>
            </w:r>
            <w:proofErr w:type="spellEnd"/>
            <w:r w:rsidRPr="00306051">
              <w:rPr>
                <w:rFonts w:ascii="Times New Roman" w:eastAsia="Calibri" w:hAnsi="Times New Roman" w:cs="Times New Roman"/>
                <w:sz w:val="24"/>
                <w:szCs w:val="24"/>
              </w:rPr>
              <w:t xml:space="preserve">./100 мг </w:t>
            </w:r>
            <w:proofErr w:type="spellStart"/>
            <w:r w:rsidRPr="00306051">
              <w:rPr>
                <w:rFonts w:ascii="Times New Roman" w:eastAsia="Calibri" w:hAnsi="Times New Roman" w:cs="Times New Roman"/>
                <w:sz w:val="24"/>
                <w:szCs w:val="24"/>
              </w:rPr>
              <w:t>b.i.d</w:t>
            </w:r>
            <w:proofErr w:type="spellEnd"/>
            <w:r w:rsidRPr="00306051">
              <w:rPr>
                <w:rFonts w:ascii="Times New Roman" w:eastAsia="Calibri" w:hAnsi="Times New Roman" w:cs="Times New Roman"/>
                <w:sz w:val="24"/>
                <w:szCs w:val="24"/>
              </w:rPr>
              <w:t>./</w:t>
            </w:r>
            <w:r w:rsidR="005D2F33" w:rsidRPr="00306051">
              <w:rPr>
                <w:rFonts w:ascii="Times New Roman" w:eastAsia="Calibri" w:hAnsi="Times New Roman" w:cs="Times New Roman"/>
                <w:sz w:val="24"/>
                <w:szCs w:val="24"/>
                <w:lang w:val="kk-KZ"/>
              </w:rPr>
              <w:t xml:space="preserve"> </w:t>
            </w:r>
            <w:r w:rsidR="005474EB" w:rsidRPr="005474EB">
              <w:rPr>
                <w:rFonts w:ascii="Times New Roman" w:eastAsia="Calibri" w:hAnsi="Times New Roman" w:cs="Times New Roman"/>
                <w:sz w:val="24"/>
                <w:szCs w:val="24"/>
              </w:rPr>
              <w:t>245</w:t>
            </w:r>
            <w:r w:rsidRPr="00306051">
              <w:rPr>
                <w:rFonts w:ascii="Times New Roman" w:eastAsia="Calibri" w:hAnsi="Times New Roman" w:cs="Times New Roman"/>
                <w:sz w:val="24"/>
                <w:szCs w:val="24"/>
              </w:rPr>
              <w:t xml:space="preserve">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p>
        </w:tc>
        <w:tc>
          <w:tcPr>
            <w:tcW w:w="3073" w:type="dxa"/>
            <w:shd w:val="clear" w:color="auto" w:fill="auto"/>
          </w:tcPr>
          <w:p w14:paraId="37E16C41"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Лопинавир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Ритонавир</w:t>
            </w:r>
            <w:proofErr w:type="spellEnd"/>
            <w:r w:rsidRPr="00306051">
              <w:rPr>
                <w:rFonts w:ascii="Times New Roman" w:eastAsia="Calibri" w:hAnsi="Times New Roman" w:cs="Times New Roman"/>
                <w:sz w:val="24"/>
                <w:szCs w:val="24"/>
              </w:rPr>
              <w:t>:</w:t>
            </w:r>
          </w:p>
          <w:p w14:paraId="5E02BF25"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2A6BDDDD"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072B1E96"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1C4115EB" w14:textId="77777777" w:rsidR="00607595" w:rsidRPr="00306051" w:rsidRDefault="00607595">
            <w:pPr>
              <w:spacing w:after="0" w:line="100" w:lineRule="atLeast"/>
              <w:jc w:val="both"/>
              <w:rPr>
                <w:rFonts w:ascii="Times New Roman" w:eastAsia="Calibri" w:hAnsi="Times New Roman" w:cs="Times New Roman"/>
                <w:sz w:val="24"/>
                <w:szCs w:val="24"/>
              </w:rPr>
            </w:pPr>
          </w:p>
          <w:p w14:paraId="07F29F68"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w:t>
            </w:r>
          </w:p>
          <w:p w14:paraId="01DA13C1"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32 % (↑ 25 - ↑ 38)</w:t>
            </w:r>
          </w:p>
          <w:p w14:paraId="263484B8"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vertAlign w:val="subscript"/>
              </w:rPr>
              <w:t>.</w:t>
            </w:r>
            <w:r w:rsidRPr="00306051">
              <w:rPr>
                <w:rFonts w:ascii="Times New Roman" w:eastAsia="Calibri" w:hAnsi="Times New Roman" w:cs="Times New Roman"/>
                <w:sz w:val="24"/>
                <w:szCs w:val="24"/>
              </w:rPr>
              <w:t>: ↔</w:t>
            </w:r>
          </w:p>
          <w:p w14:paraId="47D443C3"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51 % (↑ 37 - ↑ 66)</w:t>
            </w:r>
          </w:p>
          <w:p w14:paraId="3538742B" w14:textId="77777777" w:rsidR="00607595" w:rsidRPr="00306051" w:rsidRDefault="00607595">
            <w:pPr>
              <w:spacing w:after="0" w:line="100" w:lineRule="atLeast"/>
              <w:jc w:val="both"/>
              <w:rPr>
                <w:rFonts w:ascii="Times New Roman" w:eastAsia="Calibri" w:hAnsi="Times New Roman" w:cs="Times New Roman"/>
                <w:sz w:val="24"/>
                <w:szCs w:val="24"/>
              </w:rPr>
            </w:pPr>
          </w:p>
        </w:tc>
        <w:tc>
          <w:tcPr>
            <w:tcW w:w="3084" w:type="dxa"/>
            <w:vMerge w:val="restart"/>
            <w:shd w:val="clear" w:color="auto" w:fill="auto"/>
          </w:tcPr>
          <w:p w14:paraId="51CD77C7" w14:textId="77777777" w:rsidR="00607595" w:rsidRPr="00306051" w:rsidRDefault="00607595">
            <w:pPr>
              <w:spacing w:after="0" w:line="100" w:lineRule="atLeast"/>
              <w:jc w:val="both"/>
            </w:pPr>
            <w:proofErr w:type="spellStart"/>
            <w:r w:rsidRPr="00306051">
              <w:rPr>
                <w:rFonts w:ascii="Times New Roman" w:eastAsia="Calibri" w:hAnsi="Times New Roman" w:cs="Times New Roman"/>
                <w:sz w:val="24"/>
                <w:szCs w:val="24"/>
              </w:rPr>
              <w:t>Дозасын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түзету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ұсынылмайды</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Т</w:t>
            </w:r>
            <w:proofErr w:type="spellStart"/>
            <w:r w:rsidRPr="00306051">
              <w:rPr>
                <w:rFonts w:ascii="Times New Roman" w:eastAsia="Calibri" w:hAnsi="Times New Roman" w:cs="Times New Roman"/>
                <w:sz w:val="24"/>
                <w:szCs w:val="24"/>
              </w:rPr>
              <w:t>енофовир</w:t>
            </w:r>
            <w:proofErr w:type="spellEnd"/>
            <w:r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rPr>
              <w:t>экспозиция</w:t>
            </w:r>
            <w:r w:rsidRPr="00306051">
              <w:rPr>
                <w:rFonts w:ascii="Times New Roman" w:eastAsia="Calibri" w:hAnsi="Times New Roman" w:cs="Times New Roman"/>
                <w:sz w:val="24"/>
                <w:szCs w:val="24"/>
                <w:lang w:val="kk-KZ"/>
              </w:rPr>
              <w:t>сының жоғарылауы</w:t>
            </w:r>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 xml:space="preserve">бүйрек бұзылуларын қоса, </w:t>
            </w:r>
            <w:proofErr w:type="spellStart"/>
            <w:r w:rsidRPr="00306051">
              <w:rPr>
                <w:rFonts w:ascii="Times New Roman" w:eastAsia="Calibri" w:hAnsi="Times New Roman" w:cs="Times New Roman"/>
                <w:sz w:val="24"/>
                <w:szCs w:val="24"/>
              </w:rPr>
              <w:t>тенофовирм</w:t>
            </w:r>
            <w:proofErr w:type="spellEnd"/>
            <w:r w:rsidRPr="00306051">
              <w:rPr>
                <w:rFonts w:ascii="Times New Roman" w:eastAsia="Calibri" w:hAnsi="Times New Roman" w:cs="Times New Roman"/>
                <w:sz w:val="24"/>
                <w:szCs w:val="24"/>
                <w:lang w:val="kk-KZ"/>
              </w:rPr>
              <w:t>ен байланысты</w:t>
            </w:r>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жағымсыз әсерлерді күшейтуі мүмкін</w:t>
            </w:r>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Бүйрек</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функци</w:t>
            </w:r>
            <w:proofErr w:type="spellEnd"/>
            <w:r w:rsidRPr="00306051">
              <w:rPr>
                <w:rFonts w:ascii="Times New Roman" w:eastAsia="Calibri" w:hAnsi="Times New Roman" w:cs="Times New Roman"/>
                <w:sz w:val="24"/>
                <w:szCs w:val="24"/>
                <w:lang w:val="kk-KZ"/>
              </w:rPr>
              <w:t>ясын мұқият қадағалау қажет</w:t>
            </w:r>
            <w:r w:rsidRPr="00306051">
              <w:rPr>
                <w:rFonts w:ascii="Times New Roman" w:eastAsia="Calibri" w:hAnsi="Times New Roman" w:cs="Times New Roman"/>
                <w:sz w:val="24"/>
                <w:szCs w:val="24"/>
              </w:rPr>
              <w:t xml:space="preserve"> (4.4 </w:t>
            </w:r>
            <w:proofErr w:type="spellStart"/>
            <w:r w:rsidRPr="00306051">
              <w:rPr>
                <w:rFonts w:ascii="Times New Roman" w:eastAsia="Calibri" w:hAnsi="Times New Roman" w:cs="Times New Roman"/>
                <w:sz w:val="24"/>
                <w:szCs w:val="24"/>
              </w:rPr>
              <w:t>бөлімін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қараңыз</w:t>
            </w:r>
            <w:proofErr w:type="spellEnd"/>
            <w:r w:rsidRPr="00306051">
              <w:rPr>
                <w:rFonts w:ascii="Times New Roman" w:eastAsia="Calibri" w:hAnsi="Times New Roman" w:cs="Times New Roman"/>
                <w:sz w:val="24"/>
                <w:szCs w:val="24"/>
              </w:rPr>
              <w:t>).</w:t>
            </w:r>
          </w:p>
        </w:tc>
      </w:tr>
      <w:tr w:rsidR="00607595" w:rsidRPr="00306051" w14:paraId="65329435" w14:textId="77777777" w:rsidTr="00B22B57">
        <w:tc>
          <w:tcPr>
            <w:tcW w:w="3073" w:type="dxa"/>
            <w:shd w:val="clear" w:color="auto" w:fill="auto"/>
          </w:tcPr>
          <w:p w14:paraId="02FD1864"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Лопинавир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Ритонавир</w:t>
            </w:r>
            <w:proofErr w:type="spellEnd"/>
            <w:r w:rsidRPr="00306051">
              <w:rPr>
                <w:rFonts w:ascii="Times New Roman" w:eastAsia="Calibri" w:hAnsi="Times New Roman" w:cs="Times New Roman"/>
                <w:sz w:val="24"/>
                <w:szCs w:val="24"/>
              </w:rPr>
              <w:t>/</w:t>
            </w:r>
          </w:p>
          <w:p w14:paraId="429D5F69"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p>
        </w:tc>
        <w:tc>
          <w:tcPr>
            <w:tcW w:w="3073" w:type="dxa"/>
            <w:shd w:val="clear" w:color="auto" w:fill="auto"/>
          </w:tcPr>
          <w:p w14:paraId="2A6229F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Өзара</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әрекеттесуі</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зерттелмеген</w:t>
            </w:r>
            <w:proofErr w:type="spellEnd"/>
            <w:r w:rsidRPr="00306051">
              <w:rPr>
                <w:rFonts w:ascii="Times New Roman" w:eastAsia="Calibri" w:hAnsi="Times New Roman" w:cs="Times New Roman"/>
                <w:sz w:val="24"/>
                <w:szCs w:val="24"/>
              </w:rPr>
              <w:t>.</w:t>
            </w:r>
          </w:p>
        </w:tc>
        <w:tc>
          <w:tcPr>
            <w:tcW w:w="3084" w:type="dxa"/>
            <w:vMerge/>
            <w:shd w:val="clear" w:color="auto" w:fill="auto"/>
          </w:tcPr>
          <w:p w14:paraId="12F1E6DE" w14:textId="77777777" w:rsidR="00607595" w:rsidRPr="00306051" w:rsidRDefault="00607595">
            <w:pPr>
              <w:snapToGrid w:val="0"/>
              <w:spacing w:after="0" w:line="100" w:lineRule="atLeast"/>
              <w:jc w:val="both"/>
              <w:rPr>
                <w:rFonts w:ascii="Times New Roman" w:eastAsia="Calibri" w:hAnsi="Times New Roman" w:cs="Times New Roman"/>
                <w:sz w:val="24"/>
                <w:szCs w:val="24"/>
              </w:rPr>
            </w:pPr>
          </w:p>
        </w:tc>
      </w:tr>
      <w:tr w:rsidR="00B22B57" w:rsidRPr="00306051" w14:paraId="451B3F72" w14:textId="77777777" w:rsidTr="00443478">
        <w:tblPrEx>
          <w:tblCellMar>
            <w:left w:w="0" w:type="dxa"/>
            <w:right w:w="0" w:type="dxa"/>
          </w:tblCellMar>
        </w:tblPrEx>
        <w:trPr>
          <w:trHeight w:val="355"/>
        </w:trPr>
        <w:tc>
          <w:tcPr>
            <w:tcW w:w="9230" w:type="dxa"/>
            <w:gridSpan w:val="3"/>
            <w:shd w:val="clear" w:color="auto" w:fill="auto"/>
          </w:tcPr>
          <w:p w14:paraId="606CB2FB" w14:textId="77777777" w:rsidR="00B22B57" w:rsidRPr="00306051" w:rsidRDefault="00B22B57" w:rsidP="00D52051">
            <w:pPr>
              <w:snapToGrid w:val="0"/>
              <w:spacing w:after="0" w:line="240" w:lineRule="auto"/>
            </w:pPr>
            <w:r w:rsidRPr="00306051">
              <w:rPr>
                <w:rFonts w:ascii="Times New Roman" w:eastAsia="Calibri" w:hAnsi="Times New Roman" w:cs="Times New Roman"/>
                <w:b/>
                <w:sz w:val="24"/>
                <w:szCs w:val="24"/>
                <w:lang w:val="kk-KZ"/>
              </w:rPr>
              <w:t xml:space="preserve">Кері </w:t>
            </w:r>
            <w:proofErr w:type="spellStart"/>
            <w:r w:rsidRPr="00306051">
              <w:rPr>
                <w:rFonts w:ascii="Times New Roman" w:eastAsia="Calibri" w:hAnsi="Times New Roman" w:cs="Times New Roman"/>
                <w:b/>
                <w:sz w:val="24"/>
                <w:szCs w:val="24"/>
              </w:rPr>
              <w:t>транскриптаз</w:t>
            </w:r>
            <w:proofErr w:type="spellEnd"/>
            <w:r w:rsidRPr="00306051">
              <w:rPr>
                <w:rFonts w:ascii="Times New Roman" w:eastAsia="Calibri" w:hAnsi="Times New Roman" w:cs="Times New Roman"/>
                <w:b/>
                <w:sz w:val="24"/>
                <w:szCs w:val="24"/>
                <w:lang w:val="kk-KZ"/>
              </w:rPr>
              <w:t>ан</w:t>
            </w:r>
            <w:r w:rsidRPr="00306051">
              <w:rPr>
                <w:rFonts w:ascii="Times New Roman" w:eastAsia="Calibri" w:hAnsi="Times New Roman" w:cs="Times New Roman"/>
                <w:b/>
                <w:sz w:val="24"/>
                <w:szCs w:val="24"/>
              </w:rPr>
              <w:t>ы</w:t>
            </w:r>
            <w:r w:rsidRPr="00306051">
              <w:rPr>
                <w:rFonts w:ascii="Times New Roman" w:eastAsia="Calibri" w:hAnsi="Times New Roman" w:cs="Times New Roman"/>
                <w:b/>
                <w:sz w:val="24"/>
                <w:szCs w:val="24"/>
                <w:lang w:val="kk-KZ"/>
              </w:rPr>
              <w:t>ң н</w:t>
            </w:r>
            <w:proofErr w:type="spellStart"/>
            <w:r w:rsidRPr="00306051">
              <w:rPr>
                <w:rFonts w:ascii="Times New Roman" w:eastAsia="Calibri" w:hAnsi="Times New Roman" w:cs="Times New Roman"/>
                <w:b/>
                <w:sz w:val="24"/>
                <w:szCs w:val="24"/>
              </w:rPr>
              <w:t>уклеозид</w:t>
            </w:r>
            <w:proofErr w:type="spellEnd"/>
            <w:r w:rsidRPr="00306051">
              <w:rPr>
                <w:rFonts w:ascii="Times New Roman" w:eastAsia="Calibri" w:hAnsi="Times New Roman" w:cs="Times New Roman"/>
                <w:b/>
                <w:sz w:val="24"/>
                <w:szCs w:val="24"/>
                <w:lang w:val="kk-KZ"/>
              </w:rPr>
              <w:t>тік тежегіштері</w:t>
            </w:r>
          </w:p>
        </w:tc>
      </w:tr>
      <w:tr w:rsidR="00607595" w:rsidRPr="007A5E44" w14:paraId="0DFC0B94" w14:textId="77777777" w:rsidTr="00B22B57">
        <w:tc>
          <w:tcPr>
            <w:tcW w:w="3073" w:type="dxa"/>
            <w:shd w:val="clear" w:color="auto" w:fill="auto"/>
          </w:tcPr>
          <w:p w14:paraId="415DC058" w14:textId="77777777" w:rsidR="00607595" w:rsidRPr="00306051" w:rsidRDefault="00607595">
            <w:pPr>
              <w:keepNext/>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Диданозин</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tc>
        <w:tc>
          <w:tcPr>
            <w:tcW w:w="3073" w:type="dxa"/>
            <w:shd w:val="clear" w:color="auto" w:fill="auto"/>
          </w:tcPr>
          <w:p w14:paraId="44A8D832" w14:textId="77777777" w:rsidR="00607595" w:rsidRPr="00306051" w:rsidRDefault="00607595">
            <w:pPr>
              <w:keepNext/>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 xml:space="preserve">Тенофовир дизопроксил фумараты мен диданозинді бір мезгілде енгізу  диданозинге жүйелі экспозициясының 40–60% жоғарылауына алып келеді, ол диданозинмен байланысты жағымсыз әсерлер қаупін арттыруы мүмкін. </w:t>
            </w:r>
          </w:p>
        </w:tc>
        <w:tc>
          <w:tcPr>
            <w:tcW w:w="3084" w:type="dxa"/>
            <w:vMerge w:val="restart"/>
            <w:shd w:val="clear" w:color="auto" w:fill="auto"/>
          </w:tcPr>
          <w:p w14:paraId="1C7AC30B" w14:textId="77777777" w:rsidR="00607595" w:rsidRPr="00306051" w:rsidRDefault="00607595">
            <w:pPr>
              <w:keepNext/>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Тенофовир дизопроксил фумараты мен диданозинді бір мезгілде қолдану ұсынылмайды (4.4 бөлімін қараңыз)</w:t>
            </w:r>
            <w:r w:rsidR="004E4076" w:rsidRPr="00306051">
              <w:rPr>
                <w:rFonts w:ascii="Times New Roman" w:eastAsia="Calibri" w:hAnsi="Times New Roman" w:cs="Times New Roman"/>
                <w:sz w:val="24"/>
                <w:szCs w:val="24"/>
                <w:lang w:val="kk-KZ"/>
              </w:rPr>
              <w:t>.</w:t>
            </w:r>
          </w:p>
          <w:p w14:paraId="2C993E69" w14:textId="77777777" w:rsidR="004E4076" w:rsidRPr="00306051" w:rsidRDefault="004E4076">
            <w:pPr>
              <w:keepNext/>
              <w:spacing w:after="0" w:line="100" w:lineRule="atLeast"/>
              <w:jc w:val="both"/>
              <w:rPr>
                <w:lang w:val="kk-KZ"/>
              </w:rPr>
            </w:pPr>
            <w:r w:rsidRPr="00306051">
              <w:rPr>
                <w:rFonts w:ascii="Times New Roman" w:eastAsia="Calibri" w:hAnsi="Times New Roman" w:cs="Times New Roman"/>
                <w:sz w:val="24"/>
                <w:szCs w:val="24"/>
                <w:lang w:val="kk-KZ"/>
              </w:rPr>
              <w:t xml:space="preserve">Жиі емес, кейде өлімге соқтырған, панкреатит және лактатацидоз жағдайлары туралы хабарланған. Тенофовир дизопроксил фумараты мен тәулігіне 400 мг дозадағы диданозинді бір мезгілде қолдану жасушааралық өзара әрекеттесуіне байланысты болуы ықтимал CD4 жасушалар санының едәуір азаюымен байланысты болды, ол фосфорланған (яғни, белсенді) диданозинді </w:t>
            </w:r>
            <w:r w:rsidRPr="00306051">
              <w:rPr>
                <w:rFonts w:ascii="Times New Roman" w:eastAsia="Calibri" w:hAnsi="Times New Roman" w:cs="Times New Roman"/>
                <w:sz w:val="24"/>
                <w:szCs w:val="24"/>
                <w:lang w:val="kk-KZ"/>
              </w:rPr>
              <w:lastRenderedPageBreak/>
              <w:t>арттырады. Диданозиннің тенофовир дизопроксил фумаратымен емдеумен бір мезгілде қолданылатын, азайтылған 250 мг дозасы, АИТВ-1 инфекциясын емдеуге арналған бірнеше біріктірілімді зерттеулерде вирусологиялық тұрғыдан сәтсіз ем жиілігінің жоғарылағаны туралы хабарламалармен байланысты болды.</w:t>
            </w:r>
          </w:p>
        </w:tc>
      </w:tr>
      <w:tr w:rsidR="00607595" w:rsidRPr="00306051" w14:paraId="061BB0CB" w14:textId="77777777" w:rsidTr="00B22B57">
        <w:tc>
          <w:tcPr>
            <w:tcW w:w="3073" w:type="dxa"/>
            <w:shd w:val="clear" w:color="auto" w:fill="auto"/>
          </w:tcPr>
          <w:p w14:paraId="1954E08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Диданозин</w:t>
            </w:r>
            <w:proofErr w:type="spellEnd"/>
            <w:r w:rsidRPr="00306051">
              <w:rPr>
                <w:rFonts w:ascii="Times New Roman" w:eastAsia="Calibri" w:hAnsi="Times New Roman" w:cs="Times New Roman"/>
                <w:sz w:val="24"/>
                <w:szCs w:val="24"/>
              </w:rPr>
              <w:t>/</w:t>
            </w:r>
          </w:p>
          <w:p w14:paraId="6836FBAD"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p>
        </w:tc>
        <w:tc>
          <w:tcPr>
            <w:tcW w:w="3073" w:type="dxa"/>
            <w:shd w:val="clear" w:color="auto" w:fill="auto"/>
          </w:tcPr>
          <w:p w14:paraId="20620B1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Өзара</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әрекеттесуі</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зерттелмеген</w:t>
            </w:r>
            <w:proofErr w:type="spellEnd"/>
            <w:r w:rsidRPr="00306051">
              <w:rPr>
                <w:rFonts w:ascii="Times New Roman" w:eastAsia="Calibri" w:hAnsi="Times New Roman" w:cs="Times New Roman"/>
                <w:sz w:val="24"/>
                <w:szCs w:val="24"/>
              </w:rPr>
              <w:t>.</w:t>
            </w:r>
          </w:p>
        </w:tc>
        <w:tc>
          <w:tcPr>
            <w:tcW w:w="3084" w:type="dxa"/>
            <w:vMerge/>
            <w:shd w:val="clear" w:color="auto" w:fill="auto"/>
          </w:tcPr>
          <w:p w14:paraId="6C514D9F" w14:textId="77777777" w:rsidR="00607595" w:rsidRPr="00306051" w:rsidRDefault="00607595">
            <w:pPr>
              <w:snapToGrid w:val="0"/>
              <w:spacing w:after="0" w:line="100" w:lineRule="atLeast"/>
              <w:jc w:val="both"/>
              <w:rPr>
                <w:rFonts w:ascii="Times New Roman" w:eastAsia="Calibri" w:hAnsi="Times New Roman" w:cs="Times New Roman"/>
                <w:sz w:val="24"/>
                <w:szCs w:val="24"/>
              </w:rPr>
            </w:pPr>
          </w:p>
        </w:tc>
      </w:tr>
      <w:tr w:rsidR="00607595" w:rsidRPr="007A5E44" w14:paraId="180B1013" w14:textId="77777777" w:rsidTr="00B22B57">
        <w:tc>
          <w:tcPr>
            <w:tcW w:w="3073" w:type="dxa"/>
            <w:shd w:val="clear" w:color="auto" w:fill="auto"/>
          </w:tcPr>
          <w:p w14:paraId="6F5A221A"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Ламивудин</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tc>
        <w:tc>
          <w:tcPr>
            <w:tcW w:w="3073" w:type="dxa"/>
            <w:shd w:val="clear" w:color="auto" w:fill="auto"/>
          </w:tcPr>
          <w:p w14:paraId="6FDB2EC9"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Ламивудин:</w:t>
            </w:r>
          </w:p>
          <w:p w14:paraId="469ED23A"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3 % (↓ 8 %–↑ 15)</w:t>
            </w:r>
          </w:p>
          <w:p w14:paraId="55F3C2A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24 % (↓ 44–↓ 12)</w:t>
            </w:r>
          </w:p>
          <w:p w14:paraId="037E5FE0"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АЖ</w:t>
            </w:r>
          </w:p>
          <w:p w14:paraId="2230CF7F"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4594FAAD"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Тенофовир:</w:t>
            </w:r>
          </w:p>
          <w:p w14:paraId="7F6199E2"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4 % (↓ 15–↑ 8)</w:t>
            </w:r>
          </w:p>
          <w:p w14:paraId="5E59678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102 % (↓ 96–↑ 108)</w:t>
            </w:r>
          </w:p>
          <w:p w14:paraId="26E5FD77"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АЖ</w:t>
            </w:r>
          </w:p>
        </w:tc>
        <w:tc>
          <w:tcPr>
            <w:tcW w:w="3084" w:type="dxa"/>
            <w:shd w:val="clear" w:color="auto" w:fill="auto"/>
          </w:tcPr>
          <w:p w14:paraId="60397A06" w14:textId="77777777" w:rsidR="00607595" w:rsidRPr="00306051" w:rsidRDefault="00607595">
            <w:pPr>
              <w:spacing w:after="0" w:line="100" w:lineRule="atLeast"/>
              <w:jc w:val="both"/>
              <w:rPr>
                <w:lang w:val="kk-KZ"/>
              </w:rPr>
            </w:pPr>
            <w:r w:rsidRPr="00306051">
              <w:rPr>
                <w:rFonts w:ascii="Times New Roman" w:eastAsia="Calibri" w:hAnsi="Times New Roman" w:cs="Times New Roman"/>
                <w:sz w:val="24"/>
                <w:szCs w:val="24"/>
                <w:lang w:val="kk-KZ"/>
              </w:rPr>
              <w:t>Ламивудин мен Эмтрицитабин және тенофовир дизопроксил фумараты препаратын бір мезгілде қолданбау керек (4.4 бөлімін қараңыз)</w:t>
            </w:r>
          </w:p>
        </w:tc>
      </w:tr>
      <w:tr w:rsidR="00607595" w:rsidRPr="007A5E44" w14:paraId="262D7468" w14:textId="77777777" w:rsidTr="00B22B57">
        <w:tc>
          <w:tcPr>
            <w:tcW w:w="3073" w:type="dxa"/>
            <w:shd w:val="clear" w:color="auto" w:fill="auto"/>
          </w:tcPr>
          <w:p w14:paraId="7B745ED9"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Эфавиренз</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tc>
        <w:tc>
          <w:tcPr>
            <w:tcW w:w="3073" w:type="dxa"/>
            <w:shd w:val="clear" w:color="auto" w:fill="auto"/>
          </w:tcPr>
          <w:p w14:paraId="3A67A2A5"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Эфавиренз:</w:t>
            </w:r>
          </w:p>
          <w:p w14:paraId="34D7588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4 % (↓ 7–↓ 1)</w:t>
            </w:r>
          </w:p>
          <w:p w14:paraId="446B080F"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4 % (↓ 9–↑ 2)</w:t>
            </w:r>
          </w:p>
          <w:p w14:paraId="5920EDF5"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АЖ</w:t>
            </w:r>
          </w:p>
          <w:p w14:paraId="5F55A6E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Тенофовир:</w:t>
            </w:r>
          </w:p>
          <w:p w14:paraId="73F17A2E"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1 % (↓ 8–↑ 6)</w:t>
            </w:r>
          </w:p>
          <w:p w14:paraId="11E93DBC"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7 % (↓ 6–↑ 22)</w:t>
            </w:r>
          </w:p>
          <w:p w14:paraId="3BF21510"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АЖ</w:t>
            </w:r>
          </w:p>
        </w:tc>
        <w:tc>
          <w:tcPr>
            <w:tcW w:w="3084" w:type="dxa"/>
            <w:shd w:val="clear" w:color="auto" w:fill="auto"/>
          </w:tcPr>
          <w:p w14:paraId="511ED064" w14:textId="77777777" w:rsidR="00607595" w:rsidRPr="00306051" w:rsidRDefault="00607595">
            <w:pPr>
              <w:spacing w:after="0" w:line="100" w:lineRule="atLeast"/>
              <w:jc w:val="both"/>
              <w:rPr>
                <w:lang w:val="kk-KZ"/>
              </w:rPr>
            </w:pPr>
            <w:r w:rsidRPr="00306051">
              <w:rPr>
                <w:rFonts w:ascii="Times New Roman" w:eastAsia="Calibri" w:hAnsi="Times New Roman" w:cs="Times New Roman"/>
                <w:sz w:val="24"/>
                <w:szCs w:val="24"/>
                <w:lang w:val="kk-KZ"/>
              </w:rPr>
              <w:t>Эфавиренздің дозасын түзету қажет емес.</w:t>
            </w:r>
          </w:p>
        </w:tc>
      </w:tr>
      <w:tr w:rsidR="00B22B57" w:rsidRPr="00306051" w14:paraId="3D3F1ADD" w14:textId="77777777" w:rsidTr="00681378">
        <w:tblPrEx>
          <w:tblCellMar>
            <w:left w:w="0" w:type="dxa"/>
            <w:right w:w="0" w:type="dxa"/>
          </w:tblCellMar>
        </w:tblPrEx>
        <w:tc>
          <w:tcPr>
            <w:tcW w:w="9230" w:type="dxa"/>
            <w:gridSpan w:val="3"/>
            <w:shd w:val="clear" w:color="auto" w:fill="auto"/>
          </w:tcPr>
          <w:p w14:paraId="38D778B9" w14:textId="77777777" w:rsidR="00B22B57" w:rsidRPr="00306051" w:rsidRDefault="00B22B57">
            <w:pPr>
              <w:snapToGrid w:val="0"/>
            </w:pPr>
            <w:r w:rsidRPr="00306051">
              <w:rPr>
                <w:rFonts w:ascii="Times New Roman" w:eastAsia="Calibri" w:hAnsi="Times New Roman" w:cs="Times New Roman"/>
                <w:b/>
                <w:i/>
                <w:sz w:val="24"/>
                <w:szCs w:val="24"/>
              </w:rPr>
              <w:t>ИНФЕКЦИ</w:t>
            </w:r>
            <w:r w:rsidRPr="00306051">
              <w:rPr>
                <w:rFonts w:ascii="Times New Roman" w:eastAsia="Calibri" w:hAnsi="Times New Roman" w:cs="Times New Roman"/>
                <w:b/>
                <w:i/>
                <w:sz w:val="24"/>
                <w:szCs w:val="24"/>
                <w:lang w:val="kk-KZ"/>
              </w:rPr>
              <w:t>ЯҒА ҚАРСЫ ПРЕПАРАТТАР</w:t>
            </w:r>
          </w:p>
        </w:tc>
      </w:tr>
      <w:tr w:rsidR="00B22B57" w:rsidRPr="00306051" w14:paraId="5DBFDCE9" w14:textId="77777777" w:rsidTr="00681378">
        <w:tblPrEx>
          <w:tblCellMar>
            <w:left w:w="0" w:type="dxa"/>
            <w:right w:w="0" w:type="dxa"/>
          </w:tblCellMar>
        </w:tblPrEx>
        <w:tc>
          <w:tcPr>
            <w:tcW w:w="9230" w:type="dxa"/>
            <w:gridSpan w:val="3"/>
            <w:shd w:val="clear" w:color="auto" w:fill="auto"/>
          </w:tcPr>
          <w:p w14:paraId="38F658F7" w14:textId="77777777" w:rsidR="00B22B57" w:rsidRPr="00306051" w:rsidRDefault="00B22B57">
            <w:pPr>
              <w:snapToGrid w:val="0"/>
            </w:pPr>
            <w:r w:rsidRPr="00306051">
              <w:rPr>
                <w:rFonts w:ascii="Times New Roman" w:eastAsia="Calibri" w:hAnsi="Times New Roman" w:cs="Times New Roman"/>
                <w:b/>
                <w:sz w:val="24"/>
                <w:szCs w:val="24"/>
              </w:rPr>
              <w:t>В гепатит</w:t>
            </w:r>
            <w:r w:rsidRPr="00306051">
              <w:rPr>
                <w:rFonts w:ascii="Times New Roman" w:eastAsia="Calibri" w:hAnsi="Times New Roman" w:cs="Times New Roman"/>
                <w:b/>
                <w:sz w:val="24"/>
                <w:szCs w:val="24"/>
                <w:lang w:val="kk-KZ"/>
              </w:rPr>
              <w:t>і</w:t>
            </w:r>
            <w:r w:rsidRPr="00306051">
              <w:rPr>
                <w:rFonts w:ascii="Times New Roman" w:eastAsia="Calibri" w:hAnsi="Times New Roman" w:cs="Times New Roman"/>
                <w:b/>
                <w:sz w:val="24"/>
                <w:szCs w:val="24"/>
              </w:rPr>
              <w:t xml:space="preserve"> вирус</w:t>
            </w:r>
            <w:r w:rsidRPr="00306051">
              <w:rPr>
                <w:rFonts w:ascii="Times New Roman" w:eastAsia="Calibri" w:hAnsi="Times New Roman" w:cs="Times New Roman"/>
                <w:b/>
                <w:sz w:val="24"/>
                <w:szCs w:val="24"/>
                <w:lang w:val="kk-KZ"/>
              </w:rPr>
              <w:t xml:space="preserve">ына </w:t>
            </w:r>
            <w:r w:rsidRPr="00306051">
              <w:rPr>
                <w:rFonts w:ascii="Times New Roman" w:eastAsia="Calibri" w:hAnsi="Times New Roman" w:cs="Times New Roman"/>
                <w:b/>
                <w:sz w:val="24"/>
                <w:szCs w:val="24"/>
              </w:rPr>
              <w:t>(ВГВ)</w:t>
            </w:r>
            <w:r w:rsidRPr="00306051">
              <w:rPr>
                <w:rFonts w:ascii="Times New Roman" w:eastAsia="Calibri" w:hAnsi="Times New Roman" w:cs="Times New Roman"/>
                <w:b/>
                <w:sz w:val="24"/>
                <w:szCs w:val="24"/>
                <w:lang w:val="kk-KZ"/>
              </w:rPr>
              <w:t xml:space="preserve"> әсер ететін дәрілер</w:t>
            </w:r>
          </w:p>
        </w:tc>
      </w:tr>
      <w:tr w:rsidR="00607595" w:rsidRPr="007A5E44" w14:paraId="36176B97" w14:textId="77777777" w:rsidTr="00B22B57">
        <w:tc>
          <w:tcPr>
            <w:tcW w:w="3073" w:type="dxa"/>
            <w:shd w:val="clear" w:color="auto" w:fill="auto"/>
          </w:tcPr>
          <w:p w14:paraId="248AC70A"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Адефовир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дипивоксил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tc>
        <w:tc>
          <w:tcPr>
            <w:tcW w:w="3073" w:type="dxa"/>
            <w:shd w:val="clear" w:color="auto" w:fill="auto"/>
          </w:tcPr>
          <w:p w14:paraId="7B028FCA"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 xml:space="preserve">Адефовир дипивоксил: </w:t>
            </w:r>
          </w:p>
          <w:p w14:paraId="2C532B53" w14:textId="77777777" w:rsidR="00607595" w:rsidRPr="00306051" w:rsidRDefault="00607595" w:rsidP="00D52051">
            <w:pPr>
              <w:spacing w:after="0" w:line="100" w:lineRule="atLeast"/>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11 % (↓ 14–↓ 7)</w:t>
            </w:r>
          </w:p>
          <w:p w14:paraId="0DB1DB35" w14:textId="77777777" w:rsidR="00607595" w:rsidRPr="00306051" w:rsidRDefault="00607595" w:rsidP="00D52051">
            <w:pPr>
              <w:spacing w:after="0" w:line="100" w:lineRule="atLeast"/>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7 % (↓ 13–↓ 0)</w:t>
            </w:r>
          </w:p>
          <w:p w14:paraId="7B3341BD" w14:textId="77777777" w:rsidR="00607595" w:rsidRPr="00306051" w:rsidRDefault="00607595" w:rsidP="00D52051">
            <w:pPr>
              <w:spacing w:after="0" w:line="100" w:lineRule="atLeast"/>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АЖ</w:t>
            </w:r>
          </w:p>
          <w:p w14:paraId="786DE66B"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2B2D935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Тенофовир:</w:t>
            </w:r>
          </w:p>
          <w:p w14:paraId="0E79CC1E"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2 % (↓ 5–↑ 0)</w:t>
            </w:r>
          </w:p>
          <w:p w14:paraId="7198632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1 % (↓ 7–↑ 6)</w:t>
            </w:r>
          </w:p>
          <w:p w14:paraId="7E1FC6B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АЖ</w:t>
            </w:r>
          </w:p>
        </w:tc>
        <w:tc>
          <w:tcPr>
            <w:tcW w:w="3084" w:type="dxa"/>
            <w:shd w:val="clear" w:color="auto" w:fill="auto"/>
          </w:tcPr>
          <w:p w14:paraId="24178A0A" w14:textId="77777777" w:rsidR="00607595" w:rsidRPr="00306051" w:rsidRDefault="00607595">
            <w:pPr>
              <w:spacing w:after="0" w:line="100" w:lineRule="atLeast"/>
              <w:jc w:val="both"/>
              <w:rPr>
                <w:lang w:val="kk-KZ"/>
              </w:rPr>
            </w:pPr>
            <w:r w:rsidRPr="00306051">
              <w:rPr>
                <w:rFonts w:ascii="Times New Roman" w:eastAsia="Calibri" w:hAnsi="Times New Roman" w:cs="Times New Roman"/>
                <w:sz w:val="24"/>
                <w:szCs w:val="24"/>
                <w:lang w:val="kk-KZ"/>
              </w:rPr>
              <w:t>Адефовир дипивоксил мен Эмтрицитабин және тенофовир дизопроксил фумараты препаратын бір мезгілде енгізбеген дұрыс (4.4 бөлімін қараңыз)</w:t>
            </w:r>
          </w:p>
        </w:tc>
      </w:tr>
      <w:tr w:rsidR="00D52051" w:rsidRPr="007A5E44" w14:paraId="4E64230E" w14:textId="77777777" w:rsidTr="00233E2E">
        <w:tblPrEx>
          <w:tblCellMar>
            <w:left w:w="0" w:type="dxa"/>
            <w:right w:w="0" w:type="dxa"/>
          </w:tblCellMar>
        </w:tblPrEx>
        <w:tc>
          <w:tcPr>
            <w:tcW w:w="9230" w:type="dxa"/>
            <w:gridSpan w:val="3"/>
            <w:shd w:val="clear" w:color="auto" w:fill="auto"/>
          </w:tcPr>
          <w:p w14:paraId="3B873E0C" w14:textId="77777777" w:rsidR="00D52051" w:rsidRPr="00306051" w:rsidRDefault="00D52051" w:rsidP="00D52051">
            <w:pPr>
              <w:snapToGrid w:val="0"/>
              <w:spacing w:after="0" w:line="240" w:lineRule="auto"/>
              <w:rPr>
                <w:lang w:val="kk-KZ"/>
              </w:rPr>
            </w:pPr>
            <w:r w:rsidRPr="00306051">
              <w:rPr>
                <w:rFonts w:ascii="Times New Roman" w:eastAsia="Calibri" w:hAnsi="Times New Roman" w:cs="Times New Roman"/>
                <w:b/>
                <w:sz w:val="24"/>
                <w:szCs w:val="24"/>
                <w:lang w:val="kk-KZ"/>
              </w:rPr>
              <w:t>С гепатиті вирусына (СГВ) әсер ететін дәрілер</w:t>
            </w:r>
          </w:p>
        </w:tc>
      </w:tr>
      <w:tr w:rsidR="00607595" w:rsidRPr="007A5E44" w14:paraId="420AB292" w14:textId="77777777" w:rsidTr="00B22B57">
        <w:tc>
          <w:tcPr>
            <w:tcW w:w="3073" w:type="dxa"/>
            <w:shd w:val="clear" w:color="auto" w:fill="auto"/>
          </w:tcPr>
          <w:p w14:paraId="72A1C1F9"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Ледипасвир/Софосбувир</w:t>
            </w:r>
          </w:p>
          <w:p w14:paraId="429B7142"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(90 мг/400 мг q.d.) +</w:t>
            </w:r>
          </w:p>
          <w:p w14:paraId="6054B7EF"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Атазанавир/Ритонавир</w:t>
            </w:r>
          </w:p>
          <w:p w14:paraId="2D21263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(300 мг q.d./100 мг q.d.) +</w:t>
            </w:r>
          </w:p>
          <w:p w14:paraId="6BC2DB86"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Эмтрицитабин/Тенофовир дизопроксил фумараты</w:t>
            </w:r>
          </w:p>
          <w:p w14:paraId="2D6C8696" w14:textId="18E5CB65"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(200 мг/</w:t>
            </w:r>
            <w:r w:rsidR="004271D7">
              <w:rPr>
                <w:rFonts w:ascii="Times New Roman" w:eastAsia="Calibri" w:hAnsi="Times New Roman" w:cs="Times New Roman"/>
                <w:sz w:val="24"/>
                <w:szCs w:val="24"/>
                <w:lang w:val="kk-KZ"/>
              </w:rPr>
              <w:t>300</w:t>
            </w:r>
            <w:r w:rsidRPr="00306051">
              <w:rPr>
                <w:rFonts w:ascii="Times New Roman" w:eastAsia="Calibri" w:hAnsi="Times New Roman" w:cs="Times New Roman"/>
                <w:sz w:val="24"/>
                <w:szCs w:val="24"/>
                <w:lang w:val="kk-KZ"/>
              </w:rPr>
              <w:t> мг q.d.)</w:t>
            </w:r>
            <w:r w:rsidRPr="00306051">
              <w:rPr>
                <w:rFonts w:ascii="Times New Roman" w:eastAsia="Calibri" w:hAnsi="Times New Roman" w:cs="Times New Roman"/>
                <w:sz w:val="24"/>
                <w:szCs w:val="24"/>
                <w:vertAlign w:val="superscript"/>
                <w:lang w:val="kk-KZ"/>
              </w:rPr>
              <w:t>1</w:t>
            </w:r>
          </w:p>
        </w:tc>
        <w:tc>
          <w:tcPr>
            <w:tcW w:w="3073" w:type="dxa"/>
            <w:shd w:val="clear" w:color="auto" w:fill="auto"/>
          </w:tcPr>
          <w:p w14:paraId="3773F95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Ледипасвир:</w:t>
            </w:r>
          </w:p>
          <w:p w14:paraId="77315811"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96 % (↑ 74–↑ 121)</w:t>
            </w:r>
          </w:p>
          <w:p w14:paraId="3B0C7FBC"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68 % (↑ 54–↑ 84)</w:t>
            </w:r>
          </w:p>
          <w:p w14:paraId="698D1700"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 118 % (↑ 91–↑ 150)</w:t>
            </w:r>
          </w:p>
          <w:p w14:paraId="64B854AE"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0E9596D1"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Софосбувир:</w:t>
            </w:r>
          </w:p>
          <w:p w14:paraId="1BC7903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51F461F9"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275F7F0D"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1599D74A"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GS</w:t>
            </w:r>
            <w:r w:rsidRPr="00306051">
              <w:rPr>
                <w:rFonts w:ascii="Times New Roman" w:eastAsia="Calibri" w:hAnsi="Times New Roman" w:cs="Times New Roman"/>
                <w:sz w:val="24"/>
                <w:szCs w:val="24"/>
                <w:lang w:val="kk-KZ"/>
              </w:rPr>
              <w:noBreakHyphen/>
              <w:t>331007</w:t>
            </w:r>
            <w:r w:rsidRPr="00306051">
              <w:rPr>
                <w:rFonts w:ascii="Times New Roman" w:eastAsia="Calibri" w:hAnsi="Times New Roman" w:cs="Times New Roman"/>
                <w:sz w:val="24"/>
                <w:szCs w:val="24"/>
                <w:vertAlign w:val="superscript"/>
                <w:lang w:val="kk-KZ"/>
              </w:rPr>
              <w:t>2</w:t>
            </w:r>
            <w:r w:rsidRPr="00306051">
              <w:rPr>
                <w:rFonts w:ascii="Times New Roman" w:eastAsia="Calibri" w:hAnsi="Times New Roman" w:cs="Times New Roman"/>
                <w:sz w:val="24"/>
                <w:szCs w:val="24"/>
                <w:lang w:val="kk-KZ"/>
              </w:rPr>
              <w:t>:</w:t>
            </w:r>
          </w:p>
          <w:p w14:paraId="49E4E2E3"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6CE0F05C"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0C71E7B8"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 42 % (↑ 34–↑ 49)</w:t>
            </w:r>
          </w:p>
          <w:p w14:paraId="08D33FB6"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2B3FCFA2"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Атазанавир:</w:t>
            </w:r>
          </w:p>
          <w:p w14:paraId="4A0D3B4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78A76921"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4979177D"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 63 % (↑ 45–↑ 84)</w:t>
            </w:r>
          </w:p>
          <w:p w14:paraId="45870408"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67B276C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Ритонавир:</w:t>
            </w:r>
          </w:p>
          <w:p w14:paraId="4483A242"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08F4A262"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2C064C5D"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 45 % (↑ 27–↑ 64)</w:t>
            </w:r>
          </w:p>
          <w:p w14:paraId="08AC5F8F"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57DAA745"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Эмтрицитабин:</w:t>
            </w:r>
          </w:p>
          <w:p w14:paraId="7A4FF65A"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68AAD74D"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7D128181"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49FF3E94"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60109266"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Тенофовир:</w:t>
            </w:r>
          </w:p>
          <w:p w14:paraId="76CD3CB3"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3A9EA393"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47 % (↑ 37–↑ 58)</w:t>
            </w:r>
          </w:p>
          <w:p w14:paraId="72F624AD"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47 % (↑ 38–↑ 57)</w:t>
            </w:r>
          </w:p>
        </w:tc>
        <w:tc>
          <w:tcPr>
            <w:tcW w:w="3084" w:type="dxa"/>
            <w:shd w:val="clear" w:color="auto" w:fill="auto"/>
          </w:tcPr>
          <w:p w14:paraId="67E9FEBA"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lastRenderedPageBreak/>
              <w:t>Тенофовир дизопроксил фумаратын, ледипасвирді</w:t>
            </w:r>
            <w:r w:rsidR="00AB3E3E" w:rsidRPr="00306051">
              <w:rPr>
                <w:rFonts w:ascii="Times New Roman" w:eastAsia="Calibri" w:hAnsi="Times New Roman" w:cs="Times New Roman"/>
                <w:sz w:val="24"/>
                <w:szCs w:val="24"/>
                <w:lang w:val="kk-KZ"/>
              </w:rPr>
              <w:t>/софос</w:t>
            </w:r>
            <w:r w:rsidRPr="00306051">
              <w:rPr>
                <w:rFonts w:ascii="Times New Roman" w:eastAsia="Calibri" w:hAnsi="Times New Roman" w:cs="Times New Roman"/>
                <w:sz w:val="24"/>
                <w:szCs w:val="24"/>
                <w:lang w:val="kk-KZ"/>
              </w:rPr>
              <w:t>бувир мен атазанавирді/</w:t>
            </w:r>
          </w:p>
          <w:p w14:paraId="16DE056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 xml:space="preserve">ритонавирді бірге енгізгенде тенофовирдің плазмадағы концентрациясының </w:t>
            </w:r>
            <w:r w:rsidRPr="00306051">
              <w:rPr>
                <w:rFonts w:ascii="Times New Roman" w:eastAsia="Calibri" w:hAnsi="Times New Roman" w:cs="Times New Roman"/>
                <w:sz w:val="24"/>
                <w:szCs w:val="24"/>
                <w:lang w:val="kk-KZ"/>
              </w:rPr>
              <w:lastRenderedPageBreak/>
              <w:t>жоғарылауы тенофовир дизопроксил фумаратына жағымсыз реакцияларды, соның ішінде бүйрек бұзылуларын күшейтуі мүмкін. Тенофовир дизопроксил фумаратын ледипасвирмен/софос-бувирмен және фармакокинетикалық күшейткішпен (мысалы, ритонавирмен немесе кобицистатпен) бірге қолданылғандағы қауіпсіздігі анықталмаған.</w:t>
            </w:r>
          </w:p>
          <w:p w14:paraId="5E822678" w14:textId="77777777" w:rsidR="00607595" w:rsidRPr="00306051" w:rsidRDefault="00607595">
            <w:pPr>
              <w:spacing w:after="0" w:line="100" w:lineRule="atLeast"/>
              <w:jc w:val="both"/>
              <w:rPr>
                <w:lang w:val="kk-KZ"/>
              </w:rPr>
            </w:pPr>
            <w:r w:rsidRPr="00306051">
              <w:rPr>
                <w:rFonts w:ascii="Times New Roman" w:eastAsia="Calibri" w:hAnsi="Times New Roman" w:cs="Times New Roman"/>
                <w:sz w:val="24"/>
                <w:szCs w:val="24"/>
                <w:lang w:val="kk-KZ"/>
              </w:rPr>
              <w:t>Егер емдеуді басқа нұсқалары болмаса, бұл біріктірілімді бүйрек функциясын жиі бақылай отырып сақтықпен пайдалану керек (4.4 бөлімін қараңыз).</w:t>
            </w:r>
          </w:p>
        </w:tc>
      </w:tr>
      <w:tr w:rsidR="00607595" w:rsidRPr="007A5E44" w14:paraId="1450F1A3" w14:textId="77777777" w:rsidTr="00B22B57">
        <w:trPr>
          <w:trHeight w:val="1407"/>
        </w:trPr>
        <w:tc>
          <w:tcPr>
            <w:tcW w:w="3073" w:type="dxa"/>
            <w:shd w:val="clear" w:color="auto" w:fill="auto"/>
          </w:tcPr>
          <w:p w14:paraId="2F7150E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lastRenderedPageBreak/>
              <w:t>Ледипасвир/Софосбувир</w:t>
            </w:r>
          </w:p>
          <w:p w14:paraId="29385FF1"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(90 мг/400 мг q.d.) +</w:t>
            </w:r>
          </w:p>
          <w:p w14:paraId="72C56DB9" w14:textId="77777777" w:rsidR="00607595" w:rsidRPr="00306051" w:rsidRDefault="00607595">
            <w:pPr>
              <w:tabs>
                <w:tab w:val="left" w:pos="914"/>
              </w:tabs>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Дарунавир/Ритонавир</w:t>
            </w:r>
          </w:p>
          <w:p w14:paraId="1B0F55DC" w14:textId="77777777" w:rsidR="00607595" w:rsidRPr="00306051" w:rsidRDefault="00607595">
            <w:pPr>
              <w:tabs>
                <w:tab w:val="left" w:pos="914"/>
              </w:tabs>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(800 мг q.d./100 мг q.d.) +</w:t>
            </w:r>
          </w:p>
          <w:p w14:paraId="365D91F1" w14:textId="77777777" w:rsidR="00607595" w:rsidRPr="00306051" w:rsidRDefault="00607595">
            <w:pPr>
              <w:tabs>
                <w:tab w:val="left" w:pos="914"/>
              </w:tabs>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Эмтрицитабин/ Тенофовир дизопроксил фумараты</w:t>
            </w:r>
          </w:p>
          <w:p w14:paraId="3EB4AD28" w14:textId="6FBDDF77" w:rsidR="00607595" w:rsidRPr="00306051" w:rsidRDefault="00607595">
            <w:pPr>
              <w:tabs>
                <w:tab w:val="left" w:pos="914"/>
              </w:tabs>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(200 мг/</w:t>
            </w:r>
            <w:r w:rsidR="004271D7">
              <w:rPr>
                <w:rFonts w:ascii="Times New Roman" w:eastAsia="Calibri" w:hAnsi="Times New Roman" w:cs="Times New Roman"/>
                <w:sz w:val="24"/>
                <w:szCs w:val="24"/>
                <w:lang w:val="kk-KZ"/>
              </w:rPr>
              <w:t>300</w:t>
            </w:r>
            <w:r w:rsidRPr="00306051">
              <w:rPr>
                <w:rFonts w:ascii="Times New Roman" w:eastAsia="Calibri" w:hAnsi="Times New Roman" w:cs="Times New Roman"/>
                <w:sz w:val="24"/>
                <w:szCs w:val="24"/>
                <w:lang w:val="kk-KZ"/>
              </w:rPr>
              <w:t> мг q.d.)</w:t>
            </w:r>
            <w:r w:rsidRPr="00306051">
              <w:rPr>
                <w:rFonts w:ascii="Times New Roman" w:eastAsia="Calibri" w:hAnsi="Times New Roman" w:cs="Times New Roman"/>
                <w:sz w:val="24"/>
                <w:szCs w:val="24"/>
                <w:vertAlign w:val="superscript"/>
                <w:lang w:val="kk-KZ"/>
              </w:rPr>
              <w:t>1</w:t>
            </w:r>
          </w:p>
        </w:tc>
        <w:tc>
          <w:tcPr>
            <w:tcW w:w="3073" w:type="dxa"/>
            <w:shd w:val="clear" w:color="auto" w:fill="auto"/>
          </w:tcPr>
          <w:p w14:paraId="3463B2DF"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Ледипасвир:</w:t>
            </w:r>
          </w:p>
          <w:p w14:paraId="6FD1D89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606F3946"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25F52E96"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4A090982"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Софосбувир:</w:t>
            </w:r>
          </w:p>
          <w:p w14:paraId="57BE91F9"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27 % (↓ 35–↓ 18)</w:t>
            </w:r>
          </w:p>
          <w:p w14:paraId="44F2DDD1"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37 % (↓ 48–↓ 25)</w:t>
            </w:r>
          </w:p>
          <w:p w14:paraId="3434650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GS</w:t>
            </w:r>
            <w:r w:rsidRPr="00306051">
              <w:rPr>
                <w:rFonts w:ascii="Times New Roman" w:eastAsia="Calibri" w:hAnsi="Times New Roman" w:cs="Times New Roman"/>
                <w:sz w:val="24"/>
                <w:szCs w:val="24"/>
                <w:lang w:val="kk-KZ"/>
              </w:rPr>
              <w:noBreakHyphen/>
              <w:t>331007</w:t>
            </w:r>
            <w:r w:rsidRPr="00306051">
              <w:rPr>
                <w:rFonts w:ascii="Times New Roman" w:eastAsia="Calibri" w:hAnsi="Times New Roman" w:cs="Times New Roman"/>
                <w:sz w:val="24"/>
                <w:szCs w:val="24"/>
                <w:vertAlign w:val="superscript"/>
                <w:lang w:val="kk-KZ"/>
              </w:rPr>
              <w:t>2</w:t>
            </w:r>
            <w:r w:rsidRPr="00306051">
              <w:rPr>
                <w:rFonts w:ascii="Times New Roman" w:eastAsia="Calibri" w:hAnsi="Times New Roman" w:cs="Times New Roman"/>
                <w:sz w:val="24"/>
                <w:szCs w:val="24"/>
                <w:lang w:val="kk-KZ"/>
              </w:rPr>
              <w:t>:</w:t>
            </w:r>
          </w:p>
          <w:p w14:paraId="5914B00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09B211B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0F5ED8DA"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44B1D339"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75011C1A"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Дарунавир:</w:t>
            </w:r>
          </w:p>
          <w:p w14:paraId="46A00EF3"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056A63B6"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5D7FF20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1074667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Ритонавир:</w:t>
            </w:r>
          </w:p>
          <w:p w14:paraId="5C8A882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4995A26C"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0C84DECE"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 48 % (↑ 34–↑ 63)</w:t>
            </w:r>
          </w:p>
          <w:p w14:paraId="606448F2"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024F4A0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Эмтрицитабин:</w:t>
            </w:r>
          </w:p>
          <w:p w14:paraId="36D7A76A"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0A3E622F"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164952EF"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15FF5499"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7F5D26C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Тенофовир:</w:t>
            </w:r>
          </w:p>
          <w:p w14:paraId="33A59F26"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lastRenderedPageBreak/>
              <w:t>AUC: ↑ 50 % (↑ 42–↑ 59)</w:t>
            </w:r>
          </w:p>
          <w:p w14:paraId="73D73C3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64 % (↑ 54–↑ 74)</w:t>
            </w:r>
          </w:p>
          <w:p w14:paraId="232DC16E"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59 % (↑ 49–↑ 70)</w:t>
            </w:r>
          </w:p>
        </w:tc>
        <w:tc>
          <w:tcPr>
            <w:tcW w:w="3084" w:type="dxa"/>
            <w:shd w:val="clear" w:color="auto" w:fill="auto"/>
          </w:tcPr>
          <w:p w14:paraId="2D625C53"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lastRenderedPageBreak/>
              <w:t>Тенофовир дизопроксил фумаратын, ледипасвирді/софосбувирді және дарунавирді/ритонавирді бірге енгізгенде тенофовирдің плазмадағы концентрациясының жоғарылауы тенофовир дизопроксил фумаратына жағымсыз реакцияларды, соның ішінде бүйрек бұзылуларын күшейтуі мүмкін. Тенофовир дизопроксил фумаратының ледипас-вирмен/софосбувирмен және фармакокинетикалық күшейткішпен (мысалы, ритонавирмен немесе кобицистатпен) бірге қолданылғандағы қауіпсіздігі анықталмаған.</w:t>
            </w:r>
          </w:p>
          <w:p w14:paraId="317C9AF2" w14:textId="77777777" w:rsidR="00607595" w:rsidRPr="00306051" w:rsidRDefault="00607595">
            <w:pPr>
              <w:spacing w:after="0" w:line="100" w:lineRule="atLeast"/>
              <w:jc w:val="both"/>
              <w:rPr>
                <w:lang w:val="kk-KZ"/>
              </w:rPr>
            </w:pPr>
            <w:r w:rsidRPr="00306051">
              <w:rPr>
                <w:rFonts w:ascii="Times New Roman" w:eastAsia="Calibri" w:hAnsi="Times New Roman" w:cs="Times New Roman"/>
                <w:sz w:val="24"/>
                <w:szCs w:val="24"/>
                <w:lang w:val="kk-KZ"/>
              </w:rPr>
              <w:t xml:space="preserve">Егер емдеуді басқа нұсқалары болмаса, бұл біріктірілімді бүйрек функциясын жиі бақылай </w:t>
            </w:r>
            <w:r w:rsidRPr="00306051">
              <w:rPr>
                <w:rFonts w:ascii="Times New Roman" w:eastAsia="Calibri" w:hAnsi="Times New Roman" w:cs="Times New Roman"/>
                <w:sz w:val="24"/>
                <w:szCs w:val="24"/>
                <w:lang w:val="kk-KZ"/>
              </w:rPr>
              <w:lastRenderedPageBreak/>
              <w:t>отырып сақтықпен пайдалану керек (4.4 бөлімін қараңыз).</w:t>
            </w:r>
          </w:p>
        </w:tc>
      </w:tr>
      <w:tr w:rsidR="00607595" w:rsidRPr="00306051" w14:paraId="0DE85E67" w14:textId="77777777" w:rsidTr="00B22B57">
        <w:tc>
          <w:tcPr>
            <w:tcW w:w="3073" w:type="dxa"/>
            <w:shd w:val="clear" w:color="auto" w:fill="auto"/>
          </w:tcPr>
          <w:p w14:paraId="0052A4C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lastRenderedPageBreak/>
              <w:t>Ледипасвир/Софосбувир</w:t>
            </w:r>
          </w:p>
          <w:p w14:paraId="7D88205C"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(90 мг/400 мг q.d.) +</w:t>
            </w:r>
          </w:p>
          <w:p w14:paraId="6A4E60D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Эфавиренз/Эмтрицитабин/ Тенофовир дизопроксил фумараты</w:t>
            </w:r>
          </w:p>
          <w:p w14:paraId="5BE6AE50" w14:textId="25187A76"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(600 мг/200 мг/</w:t>
            </w:r>
            <w:r w:rsidR="004271D7">
              <w:rPr>
                <w:rFonts w:ascii="Times New Roman" w:eastAsia="Calibri" w:hAnsi="Times New Roman" w:cs="Times New Roman"/>
                <w:sz w:val="24"/>
                <w:szCs w:val="24"/>
                <w:lang w:val="kk-KZ"/>
              </w:rPr>
              <w:t>300</w:t>
            </w:r>
            <w:r w:rsidRPr="00306051">
              <w:rPr>
                <w:rFonts w:ascii="Times New Roman" w:eastAsia="Calibri" w:hAnsi="Times New Roman" w:cs="Times New Roman"/>
                <w:sz w:val="24"/>
                <w:szCs w:val="24"/>
                <w:lang w:val="kk-KZ"/>
              </w:rPr>
              <w:t> мг q.d.)</w:t>
            </w:r>
          </w:p>
        </w:tc>
        <w:tc>
          <w:tcPr>
            <w:tcW w:w="3073" w:type="dxa"/>
            <w:shd w:val="clear" w:color="auto" w:fill="auto"/>
          </w:tcPr>
          <w:p w14:paraId="3BBA1D76"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Ледипасвир:</w:t>
            </w:r>
          </w:p>
          <w:p w14:paraId="6E090F02"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34 % (↓ 41–↓ 25)</w:t>
            </w:r>
          </w:p>
          <w:p w14:paraId="6C91A31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34 % (↓ 41–↑ 25)</w:t>
            </w:r>
          </w:p>
          <w:p w14:paraId="2A2A3113"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 34 % (↓ 43–↑ 24)</w:t>
            </w:r>
          </w:p>
          <w:p w14:paraId="2FA974A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Софосбувир:</w:t>
            </w:r>
          </w:p>
          <w:p w14:paraId="12ED00D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2945E73D"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79C4CC4C"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GS</w:t>
            </w:r>
            <w:r w:rsidRPr="00306051">
              <w:rPr>
                <w:rFonts w:ascii="Times New Roman" w:eastAsia="Calibri" w:hAnsi="Times New Roman" w:cs="Times New Roman"/>
                <w:sz w:val="24"/>
                <w:szCs w:val="24"/>
                <w:lang w:val="kk-KZ"/>
              </w:rPr>
              <w:noBreakHyphen/>
              <w:t>331007</w:t>
            </w:r>
            <w:r w:rsidRPr="00306051">
              <w:rPr>
                <w:rFonts w:ascii="Times New Roman" w:eastAsia="Calibri" w:hAnsi="Times New Roman" w:cs="Times New Roman"/>
                <w:sz w:val="24"/>
                <w:szCs w:val="24"/>
                <w:vertAlign w:val="superscript"/>
                <w:lang w:val="kk-KZ"/>
              </w:rPr>
              <w:t>2</w:t>
            </w:r>
            <w:r w:rsidRPr="00306051">
              <w:rPr>
                <w:rFonts w:ascii="Times New Roman" w:eastAsia="Calibri" w:hAnsi="Times New Roman" w:cs="Times New Roman"/>
                <w:sz w:val="24"/>
                <w:szCs w:val="24"/>
                <w:lang w:val="kk-KZ"/>
              </w:rPr>
              <w:t>:</w:t>
            </w:r>
          </w:p>
          <w:p w14:paraId="0DDE8835"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2D1C11D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28E4AAD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6779BB43"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Эфавиренз:</w:t>
            </w:r>
          </w:p>
          <w:p w14:paraId="4411E10A"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7CF3257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16F0D7C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30924129"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Эмтрицитабин:</w:t>
            </w:r>
          </w:p>
          <w:p w14:paraId="75DA9C41"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5EA96C1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24A384C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302A379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Тенофовир:</w:t>
            </w:r>
          </w:p>
          <w:p w14:paraId="5EA264A7"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98 % (↑ 77–↑ 123)</w:t>
            </w:r>
          </w:p>
          <w:p w14:paraId="16FC569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79 % (↑ 56–↑ 104)</w:t>
            </w:r>
          </w:p>
          <w:p w14:paraId="6993160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163 % (↑ 137–↑ 197)</w:t>
            </w:r>
          </w:p>
        </w:tc>
        <w:tc>
          <w:tcPr>
            <w:tcW w:w="3084" w:type="dxa"/>
            <w:shd w:val="clear" w:color="auto" w:fill="auto"/>
          </w:tcPr>
          <w:p w14:paraId="4AC1F532" w14:textId="77777777" w:rsidR="00607595" w:rsidRPr="00306051" w:rsidRDefault="00607595">
            <w:pPr>
              <w:spacing w:after="0" w:line="100" w:lineRule="atLeast"/>
              <w:jc w:val="both"/>
            </w:pPr>
            <w:proofErr w:type="spellStart"/>
            <w:r w:rsidRPr="00306051">
              <w:rPr>
                <w:rFonts w:ascii="Times New Roman" w:eastAsia="Calibri" w:hAnsi="Times New Roman" w:cs="Times New Roman"/>
                <w:sz w:val="24"/>
                <w:szCs w:val="24"/>
              </w:rPr>
              <w:t>Дозасын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түзету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қажет</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емес</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Т</w:t>
            </w:r>
            <w:proofErr w:type="spellStart"/>
            <w:r w:rsidRPr="00306051">
              <w:rPr>
                <w:rFonts w:ascii="Times New Roman" w:eastAsia="Calibri" w:hAnsi="Times New Roman" w:cs="Times New Roman"/>
                <w:sz w:val="24"/>
                <w:szCs w:val="24"/>
              </w:rPr>
              <w:t>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экспозици</w:t>
            </w:r>
            <w:proofErr w:type="spellEnd"/>
            <w:r w:rsidRPr="00306051">
              <w:rPr>
                <w:rFonts w:ascii="Times New Roman" w:eastAsia="Calibri" w:hAnsi="Times New Roman" w:cs="Times New Roman"/>
                <w:sz w:val="24"/>
                <w:szCs w:val="24"/>
                <w:lang w:val="kk-KZ"/>
              </w:rPr>
              <w:t>ясының жоғарылауы</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ына жағымсыз</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реакци</w:t>
            </w:r>
            <w:proofErr w:type="spellEnd"/>
            <w:r w:rsidRPr="00306051">
              <w:rPr>
                <w:rFonts w:ascii="Times New Roman" w:eastAsia="Calibri" w:hAnsi="Times New Roman" w:cs="Times New Roman"/>
                <w:sz w:val="24"/>
                <w:szCs w:val="24"/>
                <w:lang w:val="kk-KZ"/>
              </w:rPr>
              <w:t>яларды, соның ішінде бүйрек бұзылуларын күшейтуі мүмкін</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Бүйрек</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функциясын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мұқият</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қадағалау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керек</w:t>
            </w:r>
            <w:proofErr w:type="spellEnd"/>
            <w:r w:rsidRPr="00306051">
              <w:rPr>
                <w:rFonts w:ascii="Times New Roman" w:eastAsia="Calibri" w:hAnsi="Times New Roman" w:cs="Times New Roman"/>
                <w:sz w:val="24"/>
                <w:szCs w:val="24"/>
              </w:rPr>
              <w:t xml:space="preserve"> (4.4 </w:t>
            </w:r>
            <w:proofErr w:type="spellStart"/>
            <w:r w:rsidRPr="00306051">
              <w:rPr>
                <w:rFonts w:ascii="Times New Roman" w:eastAsia="Calibri" w:hAnsi="Times New Roman" w:cs="Times New Roman"/>
                <w:sz w:val="24"/>
                <w:szCs w:val="24"/>
              </w:rPr>
              <w:t>бөлімін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қараңыз</w:t>
            </w:r>
            <w:proofErr w:type="spellEnd"/>
            <w:r w:rsidRPr="00306051">
              <w:rPr>
                <w:rFonts w:ascii="Times New Roman" w:eastAsia="Calibri" w:hAnsi="Times New Roman" w:cs="Times New Roman"/>
                <w:sz w:val="24"/>
                <w:szCs w:val="24"/>
              </w:rPr>
              <w:t>).</w:t>
            </w:r>
          </w:p>
        </w:tc>
      </w:tr>
      <w:tr w:rsidR="00607595" w:rsidRPr="00306051" w14:paraId="0376E003" w14:textId="77777777" w:rsidTr="00B22B57">
        <w:tc>
          <w:tcPr>
            <w:tcW w:w="3073" w:type="dxa"/>
            <w:shd w:val="clear" w:color="auto" w:fill="auto"/>
          </w:tcPr>
          <w:p w14:paraId="267A43B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Ледипасвир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Софосбувир</w:t>
            </w:r>
            <w:proofErr w:type="spellEnd"/>
          </w:p>
          <w:p w14:paraId="3B84F3CA"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 xml:space="preserve">(90 мг/400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 +</w:t>
            </w:r>
          </w:p>
          <w:p w14:paraId="76894F37"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Рилпивирин</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p w14:paraId="0CB0F216" w14:textId="59A9AABD"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(200 мг/25 мг/</w:t>
            </w:r>
            <w:r w:rsidR="004271D7">
              <w:rPr>
                <w:rFonts w:ascii="Times New Roman" w:eastAsia="Calibri" w:hAnsi="Times New Roman" w:cs="Times New Roman"/>
                <w:sz w:val="24"/>
                <w:szCs w:val="24"/>
              </w:rPr>
              <w:t>300</w:t>
            </w:r>
            <w:r w:rsidRPr="00306051">
              <w:rPr>
                <w:rFonts w:ascii="Times New Roman" w:eastAsia="Calibri" w:hAnsi="Times New Roman" w:cs="Times New Roman"/>
                <w:sz w:val="24"/>
                <w:szCs w:val="24"/>
              </w:rPr>
              <w:t xml:space="preserve">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p>
        </w:tc>
        <w:tc>
          <w:tcPr>
            <w:tcW w:w="3073" w:type="dxa"/>
            <w:shd w:val="clear" w:color="auto" w:fill="auto"/>
          </w:tcPr>
          <w:p w14:paraId="7B43E844"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Ледипасвир</w:t>
            </w:r>
            <w:proofErr w:type="spellEnd"/>
            <w:r w:rsidRPr="00306051">
              <w:rPr>
                <w:rFonts w:ascii="Times New Roman" w:eastAsia="Calibri" w:hAnsi="Times New Roman" w:cs="Times New Roman"/>
                <w:sz w:val="24"/>
                <w:szCs w:val="24"/>
              </w:rPr>
              <w:t>:</w:t>
            </w:r>
          </w:p>
          <w:p w14:paraId="77327455"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65A5D5FD"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260F478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33376F6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Софосбувир</w:t>
            </w:r>
            <w:proofErr w:type="spellEnd"/>
            <w:r w:rsidRPr="00306051">
              <w:rPr>
                <w:rFonts w:ascii="Times New Roman" w:eastAsia="Calibri" w:hAnsi="Times New Roman" w:cs="Times New Roman"/>
                <w:sz w:val="24"/>
                <w:szCs w:val="24"/>
              </w:rPr>
              <w:t>:</w:t>
            </w:r>
          </w:p>
          <w:p w14:paraId="70BA14E4"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2DC0516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4600EAA9"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GS</w:t>
            </w:r>
            <w:r w:rsidRPr="00306051">
              <w:rPr>
                <w:rFonts w:ascii="Times New Roman" w:eastAsia="Calibri" w:hAnsi="Times New Roman" w:cs="Times New Roman"/>
                <w:sz w:val="24"/>
                <w:szCs w:val="24"/>
              </w:rPr>
              <w:noBreakHyphen/>
              <w:t>331007</w:t>
            </w:r>
            <w:r w:rsidRPr="00306051">
              <w:rPr>
                <w:rFonts w:ascii="Times New Roman" w:eastAsia="Calibri" w:hAnsi="Times New Roman" w:cs="Times New Roman"/>
                <w:sz w:val="24"/>
                <w:szCs w:val="24"/>
                <w:vertAlign w:val="superscript"/>
              </w:rPr>
              <w:t>2</w:t>
            </w:r>
            <w:r w:rsidRPr="00306051">
              <w:rPr>
                <w:rFonts w:ascii="Times New Roman" w:eastAsia="Calibri" w:hAnsi="Times New Roman" w:cs="Times New Roman"/>
                <w:sz w:val="24"/>
                <w:szCs w:val="24"/>
              </w:rPr>
              <w:t>:</w:t>
            </w:r>
          </w:p>
          <w:p w14:paraId="2C373F58"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5E85E6A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51EEDD7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53B3635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
          <w:p w14:paraId="23F7E305"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77CCF06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0C30C651"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4634CBC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Рилпивирин</w:t>
            </w:r>
            <w:proofErr w:type="spellEnd"/>
            <w:r w:rsidRPr="00306051">
              <w:rPr>
                <w:rFonts w:ascii="Times New Roman" w:eastAsia="Calibri" w:hAnsi="Times New Roman" w:cs="Times New Roman"/>
                <w:sz w:val="24"/>
                <w:szCs w:val="24"/>
              </w:rPr>
              <w:t>:</w:t>
            </w:r>
          </w:p>
          <w:p w14:paraId="727B17B0"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7748BF2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3CDB5ED8"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46D2462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w:t>
            </w:r>
          </w:p>
          <w:p w14:paraId="0BDB3804"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40 % (↑ 31–↑ 50)</w:t>
            </w:r>
          </w:p>
          <w:p w14:paraId="7400BB1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5B16E9D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91 % (↑ 74–↑ 110)</w:t>
            </w:r>
          </w:p>
        </w:tc>
        <w:tc>
          <w:tcPr>
            <w:tcW w:w="3084" w:type="dxa"/>
            <w:shd w:val="clear" w:color="auto" w:fill="auto"/>
          </w:tcPr>
          <w:p w14:paraId="19163188" w14:textId="77777777" w:rsidR="00607595" w:rsidRPr="00306051" w:rsidRDefault="00607595">
            <w:pPr>
              <w:spacing w:after="0" w:line="100" w:lineRule="atLeast"/>
              <w:jc w:val="both"/>
            </w:pPr>
            <w:proofErr w:type="spellStart"/>
            <w:r w:rsidRPr="00306051">
              <w:rPr>
                <w:rFonts w:ascii="Times New Roman" w:eastAsia="Calibri" w:hAnsi="Times New Roman" w:cs="Times New Roman"/>
                <w:sz w:val="24"/>
                <w:szCs w:val="24"/>
              </w:rPr>
              <w:t>Дозасын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түзету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ұсынылмайды</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Т</w:t>
            </w:r>
            <w:proofErr w:type="spellStart"/>
            <w:r w:rsidRPr="00306051">
              <w:rPr>
                <w:rFonts w:ascii="Times New Roman" w:eastAsia="Calibri" w:hAnsi="Times New Roman" w:cs="Times New Roman"/>
                <w:sz w:val="24"/>
                <w:szCs w:val="24"/>
              </w:rPr>
              <w:t>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экспозици</w:t>
            </w:r>
            <w:proofErr w:type="spellEnd"/>
            <w:r w:rsidRPr="00306051">
              <w:rPr>
                <w:rFonts w:ascii="Times New Roman" w:eastAsia="Calibri" w:hAnsi="Times New Roman" w:cs="Times New Roman"/>
                <w:sz w:val="24"/>
                <w:szCs w:val="24"/>
                <w:lang w:val="kk-KZ"/>
              </w:rPr>
              <w:t>ясының жоғарылауы</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ына жағымсыз</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реакци</w:t>
            </w:r>
            <w:proofErr w:type="spellEnd"/>
            <w:r w:rsidRPr="00306051">
              <w:rPr>
                <w:rFonts w:ascii="Times New Roman" w:eastAsia="Calibri" w:hAnsi="Times New Roman" w:cs="Times New Roman"/>
                <w:sz w:val="24"/>
                <w:szCs w:val="24"/>
                <w:lang w:val="kk-KZ"/>
              </w:rPr>
              <w:t>яларды, соның ішінде бүйрек бұзылуларын күшейтуі мүмкін</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Бүйрек</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функциясын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мұқият</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қадағалау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керек</w:t>
            </w:r>
            <w:proofErr w:type="spellEnd"/>
            <w:r w:rsidRPr="00306051">
              <w:rPr>
                <w:rFonts w:ascii="Times New Roman" w:eastAsia="Calibri" w:hAnsi="Times New Roman" w:cs="Times New Roman"/>
                <w:sz w:val="24"/>
                <w:szCs w:val="24"/>
              </w:rPr>
              <w:t xml:space="preserve"> (4.4 </w:t>
            </w:r>
            <w:proofErr w:type="spellStart"/>
            <w:r w:rsidRPr="00306051">
              <w:rPr>
                <w:rFonts w:ascii="Times New Roman" w:eastAsia="Calibri" w:hAnsi="Times New Roman" w:cs="Times New Roman"/>
                <w:sz w:val="24"/>
                <w:szCs w:val="24"/>
              </w:rPr>
              <w:t>бөлімін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қараңыз</w:t>
            </w:r>
            <w:proofErr w:type="spellEnd"/>
            <w:r w:rsidRPr="00306051">
              <w:rPr>
                <w:rFonts w:ascii="Times New Roman" w:eastAsia="Calibri" w:hAnsi="Times New Roman" w:cs="Times New Roman"/>
                <w:sz w:val="24"/>
                <w:szCs w:val="24"/>
              </w:rPr>
              <w:t>).</w:t>
            </w:r>
          </w:p>
        </w:tc>
      </w:tr>
      <w:tr w:rsidR="00607595" w:rsidRPr="00306051" w14:paraId="68B4BBEA" w14:textId="77777777" w:rsidTr="00B22B57">
        <w:tc>
          <w:tcPr>
            <w:tcW w:w="3073" w:type="dxa"/>
            <w:shd w:val="clear" w:color="auto" w:fill="auto"/>
          </w:tcPr>
          <w:p w14:paraId="027C9003"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lastRenderedPageBreak/>
              <w:t>Ледипасвир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Софосбувир</w:t>
            </w:r>
            <w:proofErr w:type="spellEnd"/>
          </w:p>
          <w:p w14:paraId="7FAD6A0D" w14:textId="6B1D03B6"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 xml:space="preserve">(90 мг/400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 xml:space="preserve">.) + </w:t>
            </w:r>
            <w:proofErr w:type="spellStart"/>
            <w:r w:rsidRPr="00306051">
              <w:rPr>
                <w:rFonts w:ascii="Times New Roman" w:eastAsia="Calibri" w:hAnsi="Times New Roman" w:cs="Times New Roman"/>
                <w:sz w:val="24"/>
                <w:szCs w:val="24"/>
              </w:rPr>
              <w:t>Долутегравир</w:t>
            </w:r>
            <w:proofErr w:type="spellEnd"/>
            <w:r w:rsidRPr="00306051">
              <w:rPr>
                <w:rFonts w:ascii="Times New Roman" w:eastAsia="Calibri" w:hAnsi="Times New Roman" w:cs="Times New Roman"/>
                <w:sz w:val="24"/>
                <w:szCs w:val="24"/>
              </w:rPr>
              <w:t xml:space="preserve"> (50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 xml:space="preserve">.) + </w:t>
            </w: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r w:rsidRPr="00306051">
              <w:rPr>
                <w:rFonts w:ascii="Times New Roman" w:eastAsia="Calibri" w:hAnsi="Times New Roman" w:cs="Times New Roman"/>
                <w:sz w:val="24"/>
                <w:szCs w:val="24"/>
              </w:rPr>
              <w:t xml:space="preserve"> (200 мг/</w:t>
            </w:r>
            <w:r w:rsidR="004271D7">
              <w:rPr>
                <w:rFonts w:ascii="Times New Roman" w:eastAsia="Calibri" w:hAnsi="Times New Roman" w:cs="Times New Roman"/>
                <w:sz w:val="24"/>
                <w:szCs w:val="24"/>
              </w:rPr>
              <w:t>300</w:t>
            </w:r>
            <w:r w:rsidRPr="00306051">
              <w:rPr>
                <w:rFonts w:ascii="Times New Roman" w:eastAsia="Calibri" w:hAnsi="Times New Roman" w:cs="Times New Roman"/>
                <w:sz w:val="24"/>
                <w:szCs w:val="24"/>
              </w:rPr>
              <w:t xml:space="preserve">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p>
        </w:tc>
        <w:tc>
          <w:tcPr>
            <w:tcW w:w="3073" w:type="dxa"/>
            <w:shd w:val="clear" w:color="auto" w:fill="auto"/>
          </w:tcPr>
          <w:p w14:paraId="3ACA5FF3"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Софосбувир</w:t>
            </w:r>
            <w:proofErr w:type="spellEnd"/>
            <w:r w:rsidRPr="00306051">
              <w:rPr>
                <w:rFonts w:ascii="Times New Roman" w:eastAsia="Calibri" w:hAnsi="Times New Roman" w:cs="Times New Roman"/>
                <w:sz w:val="24"/>
                <w:szCs w:val="24"/>
              </w:rPr>
              <w:t>:</w:t>
            </w:r>
          </w:p>
          <w:p w14:paraId="00CFB4FD"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3B5EFAD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45CAEFE4"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GS</w:t>
            </w:r>
            <w:r w:rsidRPr="00306051">
              <w:rPr>
                <w:rFonts w:ascii="Times New Roman" w:eastAsia="Calibri" w:hAnsi="Times New Roman" w:cs="Times New Roman"/>
                <w:sz w:val="24"/>
                <w:szCs w:val="24"/>
              </w:rPr>
              <w:noBreakHyphen/>
              <w:t>331007</w:t>
            </w:r>
            <w:r w:rsidRPr="00306051">
              <w:rPr>
                <w:rFonts w:ascii="Times New Roman" w:eastAsia="Calibri" w:hAnsi="Times New Roman" w:cs="Times New Roman"/>
                <w:sz w:val="24"/>
                <w:szCs w:val="24"/>
                <w:vertAlign w:val="superscript"/>
              </w:rPr>
              <w:t>2</w:t>
            </w:r>
          </w:p>
          <w:p w14:paraId="1561C995"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637F251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1FBF5DB1"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0B7A23D3"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Ледипасвир</w:t>
            </w:r>
            <w:proofErr w:type="spellEnd"/>
            <w:r w:rsidRPr="00306051">
              <w:rPr>
                <w:rFonts w:ascii="Times New Roman" w:eastAsia="Calibri" w:hAnsi="Times New Roman" w:cs="Times New Roman"/>
                <w:sz w:val="24"/>
                <w:szCs w:val="24"/>
              </w:rPr>
              <w:t>:</w:t>
            </w:r>
          </w:p>
          <w:p w14:paraId="67BD04EE"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59730FE7"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2E35EAE9"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6581A5E3"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Долутегравир</w:t>
            </w:r>
            <w:proofErr w:type="spellEnd"/>
            <w:r w:rsidRPr="00306051">
              <w:rPr>
                <w:rFonts w:ascii="Times New Roman" w:eastAsia="Calibri" w:hAnsi="Times New Roman" w:cs="Times New Roman"/>
                <w:sz w:val="24"/>
                <w:szCs w:val="24"/>
              </w:rPr>
              <w:t xml:space="preserve"> </w:t>
            </w:r>
          </w:p>
          <w:p w14:paraId="39C5ECFA"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792101C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024EB3D3"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2055487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
          <w:p w14:paraId="02CAF560"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3F34280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4EF1AC87"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2874A929"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w:t>
            </w:r>
          </w:p>
          <w:p w14:paraId="1E8A55E0"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65 % (↑ 59–↑ 71)</w:t>
            </w:r>
          </w:p>
          <w:p w14:paraId="3C0D2CE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61 % (↑ 51–↑ 72)</w:t>
            </w:r>
          </w:p>
          <w:p w14:paraId="608021B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115 % (↑ 105–↑ 126)</w:t>
            </w:r>
          </w:p>
        </w:tc>
        <w:tc>
          <w:tcPr>
            <w:tcW w:w="3084" w:type="dxa"/>
            <w:shd w:val="clear" w:color="auto" w:fill="auto"/>
          </w:tcPr>
          <w:p w14:paraId="2E9A18C3" w14:textId="77777777" w:rsidR="00607595" w:rsidRPr="00306051" w:rsidRDefault="00607595">
            <w:pPr>
              <w:spacing w:after="0" w:line="100" w:lineRule="atLeast"/>
              <w:jc w:val="both"/>
            </w:pPr>
            <w:proofErr w:type="spellStart"/>
            <w:r w:rsidRPr="00306051">
              <w:rPr>
                <w:rFonts w:ascii="Times New Roman" w:eastAsia="Calibri" w:hAnsi="Times New Roman" w:cs="Times New Roman"/>
                <w:sz w:val="24"/>
                <w:szCs w:val="24"/>
              </w:rPr>
              <w:t>Дозасын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түзету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қажет</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емес</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Т</w:t>
            </w:r>
            <w:proofErr w:type="spellStart"/>
            <w:r w:rsidRPr="00306051">
              <w:rPr>
                <w:rFonts w:ascii="Times New Roman" w:eastAsia="Calibri" w:hAnsi="Times New Roman" w:cs="Times New Roman"/>
                <w:sz w:val="24"/>
                <w:szCs w:val="24"/>
              </w:rPr>
              <w:t>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экспозици</w:t>
            </w:r>
            <w:proofErr w:type="spellEnd"/>
            <w:r w:rsidRPr="00306051">
              <w:rPr>
                <w:rFonts w:ascii="Times New Roman" w:eastAsia="Calibri" w:hAnsi="Times New Roman" w:cs="Times New Roman"/>
                <w:sz w:val="24"/>
                <w:szCs w:val="24"/>
                <w:lang w:val="kk-KZ"/>
              </w:rPr>
              <w:t>ясының жоғарылауы</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ына жағымсыз</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реакци</w:t>
            </w:r>
            <w:proofErr w:type="spellEnd"/>
            <w:r w:rsidRPr="00306051">
              <w:rPr>
                <w:rFonts w:ascii="Times New Roman" w:eastAsia="Calibri" w:hAnsi="Times New Roman" w:cs="Times New Roman"/>
                <w:sz w:val="24"/>
                <w:szCs w:val="24"/>
                <w:lang w:val="kk-KZ"/>
              </w:rPr>
              <w:t>яларды, соның ішінде бүйрек бұзылуларын күшейтуі мүмкін</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Бүйрек</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функциясын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мұқият</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қадағалау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керек</w:t>
            </w:r>
            <w:proofErr w:type="spellEnd"/>
            <w:r w:rsidRPr="00306051">
              <w:rPr>
                <w:rFonts w:ascii="Times New Roman" w:eastAsia="Calibri" w:hAnsi="Times New Roman" w:cs="Times New Roman"/>
                <w:sz w:val="24"/>
                <w:szCs w:val="24"/>
              </w:rPr>
              <w:t xml:space="preserve"> (4.4 </w:t>
            </w:r>
            <w:proofErr w:type="spellStart"/>
            <w:r w:rsidRPr="00306051">
              <w:rPr>
                <w:rFonts w:ascii="Times New Roman" w:eastAsia="Calibri" w:hAnsi="Times New Roman" w:cs="Times New Roman"/>
                <w:sz w:val="24"/>
                <w:szCs w:val="24"/>
              </w:rPr>
              <w:t>бөлімін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қараңыз</w:t>
            </w:r>
            <w:proofErr w:type="spellEnd"/>
            <w:r w:rsidRPr="00306051">
              <w:rPr>
                <w:rFonts w:ascii="Times New Roman" w:eastAsia="Calibri" w:hAnsi="Times New Roman" w:cs="Times New Roman"/>
                <w:sz w:val="24"/>
                <w:szCs w:val="24"/>
              </w:rPr>
              <w:t>)</w:t>
            </w:r>
          </w:p>
        </w:tc>
      </w:tr>
      <w:tr w:rsidR="00607595" w:rsidRPr="007A5E44" w14:paraId="51750DA0" w14:textId="77777777" w:rsidTr="00B22B57">
        <w:tc>
          <w:tcPr>
            <w:tcW w:w="3073" w:type="dxa"/>
            <w:shd w:val="clear" w:color="auto" w:fill="auto"/>
          </w:tcPr>
          <w:p w14:paraId="789A005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Софосбувир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Велпатасвир</w:t>
            </w:r>
            <w:proofErr w:type="spellEnd"/>
          </w:p>
          <w:p w14:paraId="470CA908"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 xml:space="preserve">(400 мг/100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 +</w:t>
            </w:r>
          </w:p>
          <w:p w14:paraId="4BBD690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Атазанавир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Ритонавир</w:t>
            </w:r>
            <w:proofErr w:type="spellEnd"/>
          </w:p>
          <w:p w14:paraId="3C740D10"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 xml:space="preserve">(300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 xml:space="preserve">./100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 +</w:t>
            </w:r>
          </w:p>
          <w:p w14:paraId="4B25E38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p w14:paraId="079654D0" w14:textId="41E740FC"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(200 мг/</w:t>
            </w:r>
            <w:r w:rsidR="004271D7">
              <w:rPr>
                <w:rFonts w:ascii="Times New Roman" w:eastAsia="Calibri" w:hAnsi="Times New Roman" w:cs="Times New Roman"/>
                <w:sz w:val="24"/>
                <w:szCs w:val="24"/>
              </w:rPr>
              <w:t>300</w:t>
            </w:r>
            <w:r w:rsidRPr="00306051">
              <w:rPr>
                <w:rFonts w:ascii="Times New Roman" w:eastAsia="Calibri" w:hAnsi="Times New Roman" w:cs="Times New Roman"/>
                <w:sz w:val="24"/>
                <w:szCs w:val="24"/>
              </w:rPr>
              <w:t xml:space="preserve">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p>
        </w:tc>
        <w:tc>
          <w:tcPr>
            <w:tcW w:w="3073" w:type="dxa"/>
            <w:shd w:val="clear" w:color="auto" w:fill="auto"/>
          </w:tcPr>
          <w:p w14:paraId="2D406DD4"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Софосбувир</w:t>
            </w:r>
            <w:proofErr w:type="spellEnd"/>
            <w:r w:rsidRPr="00306051">
              <w:rPr>
                <w:rFonts w:ascii="Times New Roman" w:eastAsia="Calibri" w:hAnsi="Times New Roman" w:cs="Times New Roman"/>
                <w:sz w:val="24"/>
                <w:szCs w:val="24"/>
              </w:rPr>
              <w:t>:</w:t>
            </w:r>
          </w:p>
          <w:p w14:paraId="1BC235AF"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w:t>
            </w:r>
          </w:p>
          <w:p w14:paraId="049241FC" w14:textId="77777777" w:rsidR="00607595" w:rsidRPr="00306051" w:rsidRDefault="00607595">
            <w:pPr>
              <w:spacing w:after="0" w:line="100" w:lineRule="atLeast"/>
              <w:jc w:val="both"/>
              <w:rPr>
                <w:rFonts w:ascii="Times New Roman" w:eastAsia="Calibri" w:hAnsi="Times New Roman" w:cs="Times New Roman"/>
                <w:b/>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w:t>
            </w:r>
          </w:p>
          <w:p w14:paraId="79FA17FE" w14:textId="77777777" w:rsidR="00607595" w:rsidRPr="00306051" w:rsidRDefault="00607595">
            <w:pPr>
              <w:spacing w:after="0" w:line="100" w:lineRule="atLeast"/>
              <w:jc w:val="both"/>
              <w:rPr>
                <w:rFonts w:ascii="Times New Roman" w:eastAsia="Calibri" w:hAnsi="Times New Roman" w:cs="Times New Roman"/>
                <w:b/>
                <w:sz w:val="24"/>
                <w:szCs w:val="24"/>
              </w:rPr>
            </w:pPr>
          </w:p>
          <w:p w14:paraId="0A775500"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GS</w:t>
            </w:r>
            <w:r w:rsidRPr="00306051">
              <w:rPr>
                <w:rFonts w:ascii="Times New Roman" w:eastAsia="Calibri" w:hAnsi="Times New Roman" w:cs="Times New Roman"/>
                <w:sz w:val="24"/>
                <w:szCs w:val="24"/>
              </w:rPr>
              <w:noBreakHyphen/>
              <w:t>331007</w:t>
            </w:r>
            <w:r w:rsidRPr="00306051">
              <w:rPr>
                <w:rFonts w:ascii="Times New Roman" w:eastAsia="Calibri" w:hAnsi="Times New Roman" w:cs="Times New Roman"/>
                <w:sz w:val="24"/>
                <w:szCs w:val="24"/>
                <w:vertAlign w:val="superscript"/>
              </w:rPr>
              <w:t>2</w:t>
            </w:r>
            <w:r w:rsidRPr="00306051">
              <w:rPr>
                <w:rFonts w:ascii="Times New Roman" w:eastAsia="Calibri" w:hAnsi="Times New Roman" w:cs="Times New Roman"/>
                <w:sz w:val="24"/>
                <w:szCs w:val="24"/>
              </w:rPr>
              <w:t>:</w:t>
            </w:r>
          </w:p>
          <w:p w14:paraId="1F049FDE"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0F75CA57"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34E0120B" w14:textId="77777777" w:rsidR="00607595" w:rsidRPr="00306051" w:rsidRDefault="00607595">
            <w:pPr>
              <w:spacing w:after="0" w:line="100" w:lineRule="atLeast"/>
              <w:jc w:val="both"/>
              <w:rPr>
                <w:rFonts w:ascii="Times New Roman" w:eastAsia="Calibri" w:hAnsi="Times New Roman" w:cs="Times New Roman"/>
                <w:b/>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42 % (↑ 37–↑ 49)</w:t>
            </w:r>
          </w:p>
          <w:p w14:paraId="132110CE" w14:textId="77777777" w:rsidR="00607595" w:rsidRPr="00306051" w:rsidRDefault="00607595">
            <w:pPr>
              <w:spacing w:after="0" w:line="100" w:lineRule="atLeast"/>
              <w:jc w:val="both"/>
              <w:rPr>
                <w:rFonts w:ascii="Times New Roman" w:eastAsia="Calibri" w:hAnsi="Times New Roman" w:cs="Times New Roman"/>
                <w:b/>
                <w:sz w:val="24"/>
                <w:szCs w:val="24"/>
              </w:rPr>
            </w:pPr>
          </w:p>
          <w:p w14:paraId="768E7C62"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Велпатасвир</w:t>
            </w:r>
            <w:proofErr w:type="spellEnd"/>
            <w:r w:rsidRPr="00306051">
              <w:rPr>
                <w:rFonts w:ascii="Times New Roman" w:eastAsia="Calibri" w:hAnsi="Times New Roman" w:cs="Times New Roman"/>
                <w:sz w:val="24"/>
                <w:szCs w:val="24"/>
              </w:rPr>
              <w:t>:</w:t>
            </w:r>
          </w:p>
          <w:p w14:paraId="5346BBBA"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142 % (↑ 123–↑ 164)</w:t>
            </w:r>
          </w:p>
          <w:p w14:paraId="5B9CBFC9"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55 % (↑ 41–↑ 71)</w:t>
            </w:r>
          </w:p>
          <w:p w14:paraId="27766D78" w14:textId="77777777" w:rsidR="00607595" w:rsidRPr="00306051" w:rsidRDefault="00607595">
            <w:pPr>
              <w:spacing w:after="0" w:line="100" w:lineRule="atLeast"/>
              <w:jc w:val="both"/>
              <w:rPr>
                <w:rFonts w:ascii="Times New Roman" w:eastAsia="Calibri" w:hAnsi="Times New Roman" w:cs="Times New Roman"/>
                <w:b/>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301 % (↑ 257–↑ 350)</w:t>
            </w:r>
          </w:p>
          <w:p w14:paraId="05525A35" w14:textId="77777777" w:rsidR="00607595" w:rsidRPr="00306051" w:rsidRDefault="00607595">
            <w:pPr>
              <w:spacing w:after="0" w:line="100" w:lineRule="atLeast"/>
              <w:jc w:val="both"/>
              <w:rPr>
                <w:rFonts w:ascii="Times New Roman" w:eastAsia="Calibri" w:hAnsi="Times New Roman" w:cs="Times New Roman"/>
                <w:b/>
                <w:sz w:val="24"/>
                <w:szCs w:val="24"/>
              </w:rPr>
            </w:pPr>
          </w:p>
          <w:p w14:paraId="435B4CE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Атазанавир</w:t>
            </w:r>
            <w:proofErr w:type="spellEnd"/>
            <w:r w:rsidRPr="00306051">
              <w:rPr>
                <w:rFonts w:ascii="Times New Roman" w:eastAsia="Calibri" w:hAnsi="Times New Roman" w:cs="Times New Roman"/>
                <w:sz w:val="24"/>
                <w:szCs w:val="24"/>
              </w:rPr>
              <w:t>:</w:t>
            </w:r>
          </w:p>
          <w:p w14:paraId="20A2868D"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16108506"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12CBFAB1" w14:textId="77777777" w:rsidR="00607595" w:rsidRPr="00306051" w:rsidRDefault="00607595">
            <w:pPr>
              <w:spacing w:after="0" w:line="100" w:lineRule="atLeast"/>
              <w:jc w:val="both"/>
              <w:rPr>
                <w:rFonts w:ascii="Times New Roman" w:eastAsia="Calibri" w:hAnsi="Times New Roman" w:cs="Times New Roman"/>
                <w:b/>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39 %  (↑ 20–↑ 61)</w:t>
            </w:r>
          </w:p>
          <w:p w14:paraId="365D2507" w14:textId="77777777" w:rsidR="00607595" w:rsidRPr="00306051" w:rsidRDefault="00607595">
            <w:pPr>
              <w:spacing w:after="0" w:line="100" w:lineRule="atLeast"/>
              <w:jc w:val="both"/>
              <w:rPr>
                <w:rFonts w:ascii="Times New Roman" w:eastAsia="Calibri" w:hAnsi="Times New Roman" w:cs="Times New Roman"/>
                <w:b/>
                <w:sz w:val="24"/>
                <w:szCs w:val="24"/>
              </w:rPr>
            </w:pPr>
          </w:p>
          <w:p w14:paraId="2E625762"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Ритонавир</w:t>
            </w:r>
            <w:proofErr w:type="spellEnd"/>
            <w:r w:rsidRPr="00306051">
              <w:rPr>
                <w:rFonts w:ascii="Times New Roman" w:eastAsia="Calibri" w:hAnsi="Times New Roman" w:cs="Times New Roman"/>
                <w:sz w:val="24"/>
                <w:szCs w:val="24"/>
              </w:rPr>
              <w:t>:</w:t>
            </w:r>
          </w:p>
          <w:p w14:paraId="0DBF1C47"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77AC82D1"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30238084"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29 % (↑ 15–↑ 44)</w:t>
            </w:r>
          </w:p>
          <w:p w14:paraId="5D0613B4"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
          <w:p w14:paraId="4D2ED2BB"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185730D2"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63F89671"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52B0690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w:t>
            </w:r>
          </w:p>
          <w:p w14:paraId="54BB2F87"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2C1B2809"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lastRenderedPageBreak/>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55 % (↑ 43–↑ 68)</w:t>
            </w:r>
          </w:p>
          <w:p w14:paraId="28DB9A84"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39 % (↑ 31–↑ 48)</w:t>
            </w:r>
          </w:p>
        </w:tc>
        <w:tc>
          <w:tcPr>
            <w:tcW w:w="3084" w:type="dxa"/>
            <w:shd w:val="clear" w:color="auto" w:fill="auto"/>
          </w:tcPr>
          <w:p w14:paraId="0BC38B1B" w14:textId="77777777" w:rsidR="00AB3E3E"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lastRenderedPageBreak/>
              <w:t>Тенофовир дизопроксил фумаратын, софосбувирді/</w:t>
            </w:r>
          </w:p>
          <w:p w14:paraId="67BC336B" w14:textId="77777777" w:rsidR="00AB3E3E"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велпатасвирді және атазанавирді/ритонавирді бірге енгізгенде, тенофовирдің плазмадағы концентрациясының жоғарылауы тенофовир дизопроксил фумаратына жағымсыз реакцияларды, соның ішінде, бүйрек бұзылуларын күшейтуі мүмкін. Тенофовир дизопроксил фумаратының софосбувирмен/</w:t>
            </w:r>
          </w:p>
          <w:p w14:paraId="3A0D7AF2"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велпатасвирмен және фармакокинетикалық күшейткішпен (мысалы, ритонавирмен немесе кобицистатпен) бірге қолданылғандағы қауіпсіздігі анықталмаған.</w:t>
            </w:r>
          </w:p>
          <w:p w14:paraId="32325F0C" w14:textId="77777777" w:rsidR="00607595" w:rsidRPr="00306051" w:rsidRDefault="00607595">
            <w:pPr>
              <w:spacing w:after="0" w:line="100" w:lineRule="atLeast"/>
              <w:jc w:val="both"/>
              <w:rPr>
                <w:lang w:val="kk-KZ"/>
              </w:rPr>
            </w:pPr>
            <w:r w:rsidRPr="00306051">
              <w:rPr>
                <w:rFonts w:ascii="Times New Roman" w:eastAsia="Calibri" w:hAnsi="Times New Roman" w:cs="Times New Roman"/>
                <w:sz w:val="24"/>
                <w:szCs w:val="24"/>
                <w:lang w:val="kk-KZ"/>
              </w:rPr>
              <w:t>Егер емдеуді басқа нұсқалары болмаса, бұл біріктірілімді бүйрек функциясын жиі бақылай отырып сақтықпен пайдалану керек (4.4 бөлімін қараңыз)</w:t>
            </w:r>
          </w:p>
        </w:tc>
      </w:tr>
      <w:tr w:rsidR="00607595" w:rsidRPr="007A5E44" w14:paraId="11A8858F" w14:textId="77777777" w:rsidTr="00B22B57">
        <w:tc>
          <w:tcPr>
            <w:tcW w:w="3073" w:type="dxa"/>
            <w:shd w:val="clear" w:color="auto" w:fill="auto"/>
          </w:tcPr>
          <w:p w14:paraId="12988AC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Софосбувир/Велпатасвир</w:t>
            </w:r>
          </w:p>
          <w:p w14:paraId="0111552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(400 мг/100 мг q.d.) +</w:t>
            </w:r>
          </w:p>
          <w:p w14:paraId="10FC96F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Дарунавир/Ритонавир</w:t>
            </w:r>
          </w:p>
          <w:p w14:paraId="4538DE8C"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(800 мг q.d./100 мг q.d.) +</w:t>
            </w:r>
          </w:p>
          <w:p w14:paraId="31BE6B2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Эмтрицитабин/Тенофовир дизопроксил фумараты</w:t>
            </w:r>
          </w:p>
          <w:p w14:paraId="7121817F"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(200 мг/300 мг q.d.)</w:t>
            </w:r>
          </w:p>
        </w:tc>
        <w:tc>
          <w:tcPr>
            <w:tcW w:w="3073" w:type="dxa"/>
            <w:shd w:val="clear" w:color="auto" w:fill="auto"/>
          </w:tcPr>
          <w:p w14:paraId="2D71C62C"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Софосбувир:</w:t>
            </w:r>
          </w:p>
          <w:p w14:paraId="00CC422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28 % (↓ 34–↓ 20)</w:t>
            </w:r>
          </w:p>
          <w:p w14:paraId="3712A68A"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38 % (↓ 46–↓ 29)</w:t>
            </w:r>
          </w:p>
          <w:p w14:paraId="618BC3D7"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49E4EDE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GS</w:t>
            </w:r>
            <w:r w:rsidRPr="00306051">
              <w:rPr>
                <w:rFonts w:ascii="Times New Roman" w:eastAsia="Calibri" w:hAnsi="Times New Roman" w:cs="Times New Roman"/>
                <w:sz w:val="24"/>
                <w:szCs w:val="24"/>
                <w:lang w:val="kk-KZ"/>
              </w:rPr>
              <w:noBreakHyphen/>
              <w:t>331007</w:t>
            </w:r>
            <w:r w:rsidRPr="00306051">
              <w:rPr>
                <w:rFonts w:ascii="Times New Roman" w:eastAsia="Calibri" w:hAnsi="Times New Roman" w:cs="Times New Roman"/>
                <w:sz w:val="24"/>
                <w:szCs w:val="24"/>
                <w:vertAlign w:val="superscript"/>
                <w:lang w:val="kk-KZ"/>
              </w:rPr>
              <w:t>2</w:t>
            </w:r>
            <w:r w:rsidRPr="00306051">
              <w:rPr>
                <w:rFonts w:ascii="Times New Roman" w:eastAsia="Calibri" w:hAnsi="Times New Roman" w:cs="Times New Roman"/>
                <w:sz w:val="24"/>
                <w:szCs w:val="24"/>
                <w:lang w:val="kk-KZ"/>
              </w:rPr>
              <w:t>:</w:t>
            </w:r>
          </w:p>
          <w:p w14:paraId="6E87150C"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4F3F69AA"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4EC585C9"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0AAA407F"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4078FEC2"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Велпатасвир:</w:t>
            </w:r>
          </w:p>
          <w:p w14:paraId="7CD24246"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2945638E"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24 % (↓ 35–↓ 11)</w:t>
            </w:r>
          </w:p>
          <w:p w14:paraId="6608F641"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00DC1A3F"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16E79551"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Дарунавир:</w:t>
            </w:r>
          </w:p>
          <w:p w14:paraId="4D580145"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443585ED"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545FACC3"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7573A29B"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7032187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Ритонавир:</w:t>
            </w:r>
          </w:p>
          <w:p w14:paraId="4CE2106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179C4B03"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61F674C6"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46EAC318"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374B508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Эмтрицитабин:</w:t>
            </w:r>
          </w:p>
          <w:p w14:paraId="5F5D189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118558FC"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43B3864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593222C2"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Тенофовир:</w:t>
            </w:r>
          </w:p>
          <w:p w14:paraId="736C60B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39 % (↑ 33–↑ 44)</w:t>
            </w:r>
          </w:p>
          <w:p w14:paraId="1FC63594"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55 % (↑ 45–↑ 66)</w:t>
            </w:r>
          </w:p>
          <w:p w14:paraId="12022923"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52 % (↑ 45–↑ 59)</w:t>
            </w:r>
          </w:p>
        </w:tc>
        <w:tc>
          <w:tcPr>
            <w:tcW w:w="3084" w:type="dxa"/>
            <w:shd w:val="clear" w:color="auto" w:fill="auto"/>
          </w:tcPr>
          <w:p w14:paraId="77F0EA4B" w14:textId="77777777" w:rsidR="00AB3E3E"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Тенофовир дизопроксил фумаратын, софосбувирді/</w:t>
            </w:r>
          </w:p>
          <w:p w14:paraId="7059437E" w14:textId="77777777" w:rsidR="00AB3E3E"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велпатасвирді және дарунавирді/ритонавирді бірге енгізгенде, тенофовирдің плазмадағы концентрациясының жоғарылауы тенофовир дизопроксил фумаратына жағымсыз реакцияларды, соның ішінде, бүйрек бұзылуларын күшейтуі мүмкін.   Тенофовир  дизопроксил фумаратының софосбувирмен/</w:t>
            </w:r>
          </w:p>
          <w:p w14:paraId="2B7F298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велпатасвирмен және фармакокинетикалық күшейткішпен (мысалы, ритонавирмен немесе кобицистатпен) бірге қолданылғандағы қауіпсіздігі анықталмаған.</w:t>
            </w:r>
          </w:p>
          <w:p w14:paraId="48697B35" w14:textId="77777777" w:rsidR="00607595" w:rsidRPr="00306051" w:rsidRDefault="00607595">
            <w:pPr>
              <w:spacing w:after="0" w:line="100" w:lineRule="atLeast"/>
              <w:jc w:val="both"/>
              <w:rPr>
                <w:lang w:val="kk-KZ"/>
              </w:rPr>
            </w:pPr>
            <w:r w:rsidRPr="00306051">
              <w:rPr>
                <w:rFonts w:ascii="Times New Roman" w:eastAsia="Calibri" w:hAnsi="Times New Roman" w:cs="Times New Roman"/>
                <w:sz w:val="24"/>
                <w:szCs w:val="24"/>
                <w:lang w:val="kk-KZ"/>
              </w:rPr>
              <w:t>Бұл біріктірілімді бүйрек функциясын жиі бақылай отырып сақтықпен пайдалану керек (4.4 бөлімін қараңыз)</w:t>
            </w:r>
          </w:p>
        </w:tc>
      </w:tr>
      <w:tr w:rsidR="00607595" w:rsidRPr="007A5E44" w14:paraId="014DC806" w14:textId="77777777" w:rsidTr="00B22B57">
        <w:tc>
          <w:tcPr>
            <w:tcW w:w="3073" w:type="dxa"/>
            <w:shd w:val="clear" w:color="auto" w:fill="auto"/>
          </w:tcPr>
          <w:p w14:paraId="0918889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Софосбувир/Велпатасвир</w:t>
            </w:r>
          </w:p>
          <w:p w14:paraId="0D3D6AFE"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(400 мг/100 мг q.d.) +</w:t>
            </w:r>
          </w:p>
          <w:p w14:paraId="083E4D19"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Lopinavir/Ритонавир</w:t>
            </w:r>
          </w:p>
          <w:p w14:paraId="59205BBF"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(800 мг/200 мг q.d.) +</w:t>
            </w:r>
          </w:p>
          <w:p w14:paraId="496C99E9"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Эмтрицитабин/Тенофовир дизопроксил фумараты</w:t>
            </w:r>
          </w:p>
          <w:p w14:paraId="66594C38" w14:textId="4D108148"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(200 мг/</w:t>
            </w:r>
            <w:r w:rsidR="004271D7">
              <w:rPr>
                <w:rFonts w:ascii="Times New Roman" w:eastAsia="Calibri" w:hAnsi="Times New Roman" w:cs="Times New Roman"/>
                <w:sz w:val="24"/>
                <w:szCs w:val="24"/>
                <w:lang w:val="kk-KZ"/>
              </w:rPr>
              <w:t>300</w:t>
            </w:r>
            <w:r w:rsidRPr="00306051">
              <w:rPr>
                <w:rFonts w:ascii="Times New Roman" w:eastAsia="Calibri" w:hAnsi="Times New Roman" w:cs="Times New Roman"/>
                <w:sz w:val="24"/>
                <w:szCs w:val="24"/>
                <w:lang w:val="kk-KZ"/>
              </w:rPr>
              <w:t> мг q.d.)</w:t>
            </w:r>
          </w:p>
        </w:tc>
        <w:tc>
          <w:tcPr>
            <w:tcW w:w="3073" w:type="dxa"/>
            <w:shd w:val="clear" w:color="auto" w:fill="auto"/>
          </w:tcPr>
          <w:p w14:paraId="0ACDF29D"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Софосбувир:</w:t>
            </w:r>
          </w:p>
          <w:p w14:paraId="19E1249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29 % (↓ 36–↓ 22)</w:t>
            </w:r>
          </w:p>
          <w:p w14:paraId="6D456721"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41 % (↓ 51–↓ 29)</w:t>
            </w:r>
          </w:p>
          <w:p w14:paraId="1A92589F"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7B5E9A82"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GS</w:t>
            </w:r>
            <w:r w:rsidRPr="00306051">
              <w:rPr>
                <w:rFonts w:ascii="Times New Roman" w:eastAsia="Calibri" w:hAnsi="Times New Roman" w:cs="Times New Roman"/>
                <w:sz w:val="24"/>
                <w:szCs w:val="24"/>
                <w:lang w:val="kk-KZ"/>
              </w:rPr>
              <w:noBreakHyphen/>
              <w:t>331007</w:t>
            </w:r>
            <w:r w:rsidRPr="00306051">
              <w:rPr>
                <w:rFonts w:ascii="Times New Roman" w:eastAsia="Calibri" w:hAnsi="Times New Roman" w:cs="Times New Roman"/>
                <w:sz w:val="24"/>
                <w:szCs w:val="24"/>
                <w:vertAlign w:val="superscript"/>
                <w:lang w:val="kk-KZ"/>
              </w:rPr>
              <w:t>2</w:t>
            </w:r>
            <w:r w:rsidRPr="00306051">
              <w:rPr>
                <w:rFonts w:ascii="Times New Roman" w:eastAsia="Calibri" w:hAnsi="Times New Roman" w:cs="Times New Roman"/>
                <w:sz w:val="24"/>
                <w:szCs w:val="24"/>
                <w:lang w:val="kk-KZ"/>
              </w:rPr>
              <w:t>:</w:t>
            </w:r>
          </w:p>
          <w:p w14:paraId="775A69C1"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62980D1E"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7E3C2969"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650DA877"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5804B8DE"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Велпатасвир:</w:t>
            </w:r>
          </w:p>
          <w:p w14:paraId="4834FC1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33B88162"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30 % (↓ 41–↓ 17)</w:t>
            </w:r>
          </w:p>
          <w:p w14:paraId="484863D1"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 63 % (↑ 43–↑ 85)</w:t>
            </w:r>
          </w:p>
          <w:p w14:paraId="1C2A3340"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19FCEE6D"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Lopinavir:</w:t>
            </w:r>
          </w:p>
          <w:p w14:paraId="17538CB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7B49F609"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5F70A1E4"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7EFF93F2"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2DDBAF3D"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Ритонавир:</w:t>
            </w:r>
          </w:p>
          <w:p w14:paraId="5FDE889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772B8D2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5CD3121E"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286AF9F8"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Эмтрицитабин:</w:t>
            </w:r>
          </w:p>
          <w:p w14:paraId="2B04563E"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606D565F"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w:t>
            </w:r>
          </w:p>
          <w:p w14:paraId="5D977026"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w:t>
            </w:r>
          </w:p>
          <w:p w14:paraId="15B6426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Тенофовир:</w:t>
            </w:r>
          </w:p>
          <w:p w14:paraId="0C1DAEFA"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w:t>
            </w:r>
          </w:p>
          <w:p w14:paraId="69CE6C9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42 % (↑ 27–↑ 57)</w:t>
            </w:r>
          </w:p>
          <w:p w14:paraId="2F288013"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tc>
        <w:tc>
          <w:tcPr>
            <w:tcW w:w="3084" w:type="dxa"/>
            <w:shd w:val="clear" w:color="auto" w:fill="auto"/>
          </w:tcPr>
          <w:p w14:paraId="3FC61A9D" w14:textId="77777777" w:rsidR="00AB3E3E"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lastRenderedPageBreak/>
              <w:t>Тенофовир дизопроксил фумаратын, софосбувирді/</w:t>
            </w:r>
          </w:p>
          <w:p w14:paraId="2DF7DE57"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 xml:space="preserve">велпатасвирді және лопинавирді/ритонавирді бірге енгізгенде, тенофовирдің плазмадағы концентрациясының жоғарылауы тенофовир дизопроксил фумаратына жағымсыз реакцияларды, соның ішінде, бүйрек бұзылуларын күшейтуі мүмкін. Тенофовир дизопроксил фумаратының  софосбувирмен/ велпатасвирмен және фармакокинетикалық күшейткішпен (мысалы, </w:t>
            </w:r>
            <w:r w:rsidRPr="00306051">
              <w:rPr>
                <w:rFonts w:ascii="Times New Roman" w:eastAsia="Calibri" w:hAnsi="Times New Roman" w:cs="Times New Roman"/>
                <w:sz w:val="24"/>
                <w:szCs w:val="24"/>
                <w:lang w:val="kk-KZ"/>
              </w:rPr>
              <w:lastRenderedPageBreak/>
              <w:t>ритонавирмен немесе кобицистатпен) бірге қолданылғандағы қауіпсіздігі анықталмаған.</w:t>
            </w:r>
          </w:p>
          <w:p w14:paraId="19197943" w14:textId="77777777" w:rsidR="00607595" w:rsidRPr="00306051" w:rsidRDefault="00607595">
            <w:pPr>
              <w:spacing w:after="0" w:line="100" w:lineRule="atLeast"/>
              <w:jc w:val="both"/>
              <w:rPr>
                <w:lang w:val="kk-KZ"/>
              </w:rPr>
            </w:pPr>
            <w:r w:rsidRPr="00306051">
              <w:rPr>
                <w:rFonts w:ascii="Times New Roman" w:eastAsia="Calibri" w:hAnsi="Times New Roman" w:cs="Times New Roman"/>
                <w:sz w:val="24"/>
                <w:szCs w:val="24"/>
                <w:lang w:val="kk-KZ"/>
              </w:rPr>
              <w:t>Бұл біріктірілімді бүйрек функциясын жиі бақылай отырып сақтықпен пайдалану керек (4.4 бөлімін қараңыз).</w:t>
            </w:r>
          </w:p>
        </w:tc>
      </w:tr>
      <w:tr w:rsidR="00607595" w:rsidRPr="00306051" w14:paraId="6F24AE40" w14:textId="77777777" w:rsidTr="00B22B57">
        <w:tc>
          <w:tcPr>
            <w:tcW w:w="3073" w:type="dxa"/>
            <w:shd w:val="clear" w:color="auto" w:fill="auto"/>
          </w:tcPr>
          <w:p w14:paraId="1FFF490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lastRenderedPageBreak/>
              <w:t>Софосбувир/Велпатасвир</w:t>
            </w:r>
          </w:p>
          <w:p w14:paraId="1FA04F08"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lang w:val="kk-KZ"/>
              </w:rPr>
              <w:t xml:space="preserve">(400 мг/100 мг q.d.) </w:t>
            </w:r>
            <w:r w:rsidRPr="00306051">
              <w:rPr>
                <w:rFonts w:ascii="Times New Roman" w:eastAsia="Calibri" w:hAnsi="Times New Roman" w:cs="Times New Roman"/>
                <w:sz w:val="24"/>
                <w:szCs w:val="24"/>
              </w:rPr>
              <w:t>+</w:t>
            </w:r>
          </w:p>
          <w:p w14:paraId="6404B691"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Ралтегравир</w:t>
            </w:r>
            <w:proofErr w:type="spellEnd"/>
          </w:p>
          <w:p w14:paraId="23DCB3E7"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 xml:space="preserve">(400 мг </w:t>
            </w:r>
            <w:proofErr w:type="spellStart"/>
            <w:r w:rsidRPr="00306051">
              <w:rPr>
                <w:rFonts w:ascii="Times New Roman" w:eastAsia="Calibri" w:hAnsi="Times New Roman" w:cs="Times New Roman"/>
                <w:sz w:val="24"/>
                <w:szCs w:val="24"/>
              </w:rPr>
              <w:t>b.i.d</w:t>
            </w:r>
            <w:proofErr w:type="spellEnd"/>
            <w:r w:rsidRPr="00306051">
              <w:rPr>
                <w:rFonts w:ascii="Times New Roman" w:eastAsia="Calibri" w:hAnsi="Times New Roman" w:cs="Times New Roman"/>
                <w:sz w:val="24"/>
                <w:szCs w:val="24"/>
              </w:rPr>
              <w:t>) +</w:t>
            </w:r>
          </w:p>
          <w:p w14:paraId="64EE7131"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p w14:paraId="2A79618F" w14:textId="1E2300A8"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(200 мг/</w:t>
            </w:r>
            <w:r w:rsidR="004271D7">
              <w:rPr>
                <w:rFonts w:ascii="Times New Roman" w:eastAsia="Calibri" w:hAnsi="Times New Roman" w:cs="Times New Roman"/>
                <w:sz w:val="24"/>
                <w:szCs w:val="24"/>
              </w:rPr>
              <w:t>300</w:t>
            </w:r>
            <w:r w:rsidRPr="00306051">
              <w:rPr>
                <w:rFonts w:ascii="Times New Roman" w:eastAsia="Calibri" w:hAnsi="Times New Roman" w:cs="Times New Roman"/>
                <w:sz w:val="24"/>
                <w:szCs w:val="24"/>
              </w:rPr>
              <w:t xml:space="preserve">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p>
        </w:tc>
        <w:tc>
          <w:tcPr>
            <w:tcW w:w="3073" w:type="dxa"/>
            <w:shd w:val="clear" w:color="auto" w:fill="auto"/>
          </w:tcPr>
          <w:p w14:paraId="0DA06EFD"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Софосбувир</w:t>
            </w:r>
            <w:proofErr w:type="spellEnd"/>
            <w:r w:rsidRPr="00306051">
              <w:rPr>
                <w:rFonts w:ascii="Times New Roman" w:eastAsia="Calibri" w:hAnsi="Times New Roman" w:cs="Times New Roman"/>
                <w:sz w:val="24"/>
                <w:szCs w:val="24"/>
              </w:rPr>
              <w:t>:</w:t>
            </w:r>
          </w:p>
          <w:p w14:paraId="5ECE90B0"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3591934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2CCC788B"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GS</w:t>
            </w:r>
            <w:r w:rsidRPr="00306051">
              <w:rPr>
                <w:rFonts w:ascii="Times New Roman" w:eastAsia="Calibri" w:hAnsi="Times New Roman" w:cs="Times New Roman"/>
                <w:sz w:val="24"/>
                <w:szCs w:val="24"/>
              </w:rPr>
              <w:noBreakHyphen/>
              <w:t>331007</w:t>
            </w:r>
            <w:r w:rsidRPr="00306051">
              <w:rPr>
                <w:rFonts w:ascii="Times New Roman" w:eastAsia="Calibri" w:hAnsi="Times New Roman" w:cs="Times New Roman"/>
                <w:sz w:val="24"/>
                <w:szCs w:val="24"/>
                <w:vertAlign w:val="superscript"/>
              </w:rPr>
              <w:t>2</w:t>
            </w:r>
            <w:r w:rsidRPr="00306051">
              <w:rPr>
                <w:rFonts w:ascii="Times New Roman" w:eastAsia="Calibri" w:hAnsi="Times New Roman" w:cs="Times New Roman"/>
                <w:sz w:val="24"/>
                <w:szCs w:val="24"/>
              </w:rPr>
              <w:t>:</w:t>
            </w:r>
          </w:p>
          <w:p w14:paraId="3B392D3C"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1B892E3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78BFB306"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6D43D75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Велпатасвир</w:t>
            </w:r>
            <w:proofErr w:type="spellEnd"/>
            <w:r w:rsidRPr="00306051">
              <w:rPr>
                <w:rFonts w:ascii="Times New Roman" w:eastAsia="Calibri" w:hAnsi="Times New Roman" w:cs="Times New Roman"/>
                <w:sz w:val="24"/>
                <w:szCs w:val="24"/>
              </w:rPr>
              <w:t>:</w:t>
            </w:r>
          </w:p>
          <w:p w14:paraId="5EA9805E"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27AE8CE9"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6E609CA9"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0B66ED51"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Ралтегравир</w:t>
            </w:r>
            <w:proofErr w:type="spellEnd"/>
            <w:r w:rsidRPr="00306051">
              <w:rPr>
                <w:rFonts w:ascii="Times New Roman" w:eastAsia="Calibri" w:hAnsi="Times New Roman" w:cs="Times New Roman"/>
                <w:sz w:val="24"/>
                <w:szCs w:val="24"/>
              </w:rPr>
              <w:t>:</w:t>
            </w:r>
          </w:p>
          <w:p w14:paraId="06AB01E3"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6974238D"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2784BA02"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21 % (↓ 58–↑ 48)</w:t>
            </w:r>
          </w:p>
          <w:p w14:paraId="29E093C7"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
          <w:p w14:paraId="279203D9"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27AA6B68"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4FE74AE0"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773041E6"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w:t>
            </w:r>
          </w:p>
          <w:p w14:paraId="115CFC2F"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40 % (↑ 34–↑ 45)</w:t>
            </w:r>
          </w:p>
          <w:p w14:paraId="374352A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46 % (↑ 39–↑ 54)</w:t>
            </w:r>
          </w:p>
          <w:p w14:paraId="2CC646E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70 % (↑ 61–↑ 79)</w:t>
            </w:r>
          </w:p>
        </w:tc>
        <w:tc>
          <w:tcPr>
            <w:tcW w:w="3084" w:type="dxa"/>
            <w:shd w:val="clear" w:color="auto" w:fill="auto"/>
          </w:tcPr>
          <w:p w14:paraId="4D9BDAC6" w14:textId="77777777" w:rsidR="00607595" w:rsidRPr="00306051" w:rsidRDefault="00607595">
            <w:pPr>
              <w:spacing w:after="0" w:line="100" w:lineRule="atLeast"/>
              <w:jc w:val="both"/>
            </w:pPr>
            <w:proofErr w:type="spellStart"/>
            <w:r w:rsidRPr="00306051">
              <w:rPr>
                <w:rFonts w:ascii="Times New Roman" w:eastAsia="Calibri" w:hAnsi="Times New Roman" w:cs="Times New Roman"/>
                <w:sz w:val="24"/>
                <w:szCs w:val="24"/>
              </w:rPr>
              <w:t>Дозасын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түзету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ұсынылмайды</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Т</w:t>
            </w:r>
            <w:proofErr w:type="spellStart"/>
            <w:r w:rsidRPr="00306051">
              <w:rPr>
                <w:rFonts w:ascii="Times New Roman" w:eastAsia="Calibri" w:hAnsi="Times New Roman" w:cs="Times New Roman"/>
                <w:sz w:val="24"/>
                <w:szCs w:val="24"/>
              </w:rPr>
              <w:t>енофовир</w:t>
            </w:r>
            <w:proofErr w:type="spellEnd"/>
            <w:r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экспозици</w:t>
            </w:r>
            <w:proofErr w:type="spellEnd"/>
            <w:r w:rsidRPr="00306051">
              <w:rPr>
                <w:rFonts w:ascii="Times New Roman" w:eastAsia="Calibri" w:hAnsi="Times New Roman" w:cs="Times New Roman"/>
                <w:sz w:val="24"/>
                <w:szCs w:val="24"/>
                <w:lang w:val="kk-KZ"/>
              </w:rPr>
              <w:t>ясының жоғарылауы</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ына жағымсыз</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реакци</w:t>
            </w:r>
            <w:proofErr w:type="spellEnd"/>
            <w:r w:rsidRPr="00306051">
              <w:rPr>
                <w:rFonts w:ascii="Times New Roman" w:eastAsia="Calibri" w:hAnsi="Times New Roman" w:cs="Times New Roman"/>
                <w:sz w:val="24"/>
                <w:szCs w:val="24"/>
                <w:lang w:val="kk-KZ"/>
              </w:rPr>
              <w:t>яларды, соның ішінде, бүйрек бұзылуларын күшейтуі мүмкін</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Бүйрек</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функциясын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мұқият</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қадағалау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керек</w:t>
            </w:r>
            <w:proofErr w:type="spellEnd"/>
            <w:r w:rsidRPr="00306051">
              <w:rPr>
                <w:rFonts w:ascii="Times New Roman" w:eastAsia="Calibri" w:hAnsi="Times New Roman" w:cs="Times New Roman"/>
                <w:sz w:val="24"/>
                <w:szCs w:val="24"/>
              </w:rPr>
              <w:t xml:space="preserve"> (4.4 </w:t>
            </w:r>
            <w:proofErr w:type="spellStart"/>
            <w:r w:rsidRPr="00306051">
              <w:rPr>
                <w:rFonts w:ascii="Times New Roman" w:eastAsia="Calibri" w:hAnsi="Times New Roman" w:cs="Times New Roman"/>
                <w:sz w:val="24"/>
                <w:szCs w:val="24"/>
              </w:rPr>
              <w:t>бөлімін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қараңыз</w:t>
            </w:r>
            <w:proofErr w:type="spellEnd"/>
            <w:r w:rsidRPr="00306051">
              <w:rPr>
                <w:rFonts w:ascii="Times New Roman" w:eastAsia="Calibri" w:hAnsi="Times New Roman" w:cs="Times New Roman"/>
                <w:sz w:val="24"/>
                <w:szCs w:val="24"/>
              </w:rPr>
              <w:t>).</w:t>
            </w:r>
          </w:p>
        </w:tc>
      </w:tr>
      <w:tr w:rsidR="00607595" w:rsidRPr="00306051" w14:paraId="272B2DB7" w14:textId="77777777" w:rsidTr="00B22B57">
        <w:tc>
          <w:tcPr>
            <w:tcW w:w="3073" w:type="dxa"/>
            <w:shd w:val="clear" w:color="auto" w:fill="auto"/>
          </w:tcPr>
          <w:p w14:paraId="6D3DC2A9"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Софосбувир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Велпатасвир</w:t>
            </w:r>
            <w:proofErr w:type="spellEnd"/>
          </w:p>
          <w:p w14:paraId="7561BF82"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 xml:space="preserve">(400 мг/100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 +</w:t>
            </w:r>
          </w:p>
          <w:p w14:paraId="41FCD0A4"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Эфавиренз</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p w14:paraId="1ADD0B82" w14:textId="58FBBE65"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(600 мг/200 мг/</w:t>
            </w:r>
            <w:r w:rsidR="004271D7">
              <w:rPr>
                <w:rFonts w:ascii="Times New Roman" w:eastAsia="Calibri" w:hAnsi="Times New Roman" w:cs="Times New Roman"/>
                <w:sz w:val="24"/>
                <w:szCs w:val="24"/>
              </w:rPr>
              <w:t>300</w:t>
            </w:r>
            <w:r w:rsidRPr="00306051">
              <w:rPr>
                <w:rFonts w:ascii="Times New Roman" w:eastAsia="Calibri" w:hAnsi="Times New Roman" w:cs="Times New Roman"/>
                <w:sz w:val="24"/>
                <w:szCs w:val="24"/>
              </w:rPr>
              <w:t xml:space="preserve">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p>
        </w:tc>
        <w:tc>
          <w:tcPr>
            <w:tcW w:w="3073" w:type="dxa"/>
            <w:shd w:val="clear" w:color="auto" w:fill="auto"/>
          </w:tcPr>
          <w:p w14:paraId="2D0F2B3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Софосбувир</w:t>
            </w:r>
            <w:proofErr w:type="spellEnd"/>
            <w:r w:rsidRPr="00306051">
              <w:rPr>
                <w:rFonts w:ascii="Times New Roman" w:eastAsia="Calibri" w:hAnsi="Times New Roman" w:cs="Times New Roman"/>
                <w:sz w:val="24"/>
                <w:szCs w:val="24"/>
              </w:rPr>
              <w:t>:</w:t>
            </w:r>
          </w:p>
          <w:p w14:paraId="39FA4855"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51B5ACC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38 % (↑ 14–↑ 67)</w:t>
            </w:r>
          </w:p>
          <w:p w14:paraId="41B3696D"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GS</w:t>
            </w:r>
            <w:r w:rsidRPr="00306051">
              <w:rPr>
                <w:rFonts w:ascii="Times New Roman" w:eastAsia="Calibri" w:hAnsi="Times New Roman" w:cs="Times New Roman"/>
                <w:sz w:val="24"/>
                <w:szCs w:val="24"/>
              </w:rPr>
              <w:noBreakHyphen/>
              <w:t>331007</w:t>
            </w:r>
            <w:r w:rsidRPr="00306051">
              <w:rPr>
                <w:rFonts w:ascii="Times New Roman" w:eastAsia="Calibri" w:hAnsi="Times New Roman" w:cs="Times New Roman"/>
                <w:sz w:val="24"/>
                <w:szCs w:val="24"/>
                <w:vertAlign w:val="superscript"/>
              </w:rPr>
              <w:t>2</w:t>
            </w:r>
            <w:r w:rsidRPr="00306051">
              <w:rPr>
                <w:rFonts w:ascii="Times New Roman" w:eastAsia="Calibri" w:hAnsi="Times New Roman" w:cs="Times New Roman"/>
                <w:sz w:val="24"/>
                <w:szCs w:val="24"/>
              </w:rPr>
              <w:t>:</w:t>
            </w:r>
          </w:p>
          <w:p w14:paraId="1AE0477A"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2922D4BC"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3847F9B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3C442EB6"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Велпатасвир</w:t>
            </w:r>
            <w:proofErr w:type="spellEnd"/>
            <w:r w:rsidRPr="00306051">
              <w:rPr>
                <w:rFonts w:ascii="Times New Roman" w:eastAsia="Calibri" w:hAnsi="Times New Roman" w:cs="Times New Roman"/>
                <w:sz w:val="24"/>
                <w:szCs w:val="24"/>
              </w:rPr>
              <w:t>:</w:t>
            </w:r>
          </w:p>
          <w:p w14:paraId="1EC0C34D"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53 % (↓ 61–↓ 43)</w:t>
            </w:r>
          </w:p>
          <w:p w14:paraId="641129E0"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47 % (↓ 57–↓ 36)</w:t>
            </w:r>
          </w:p>
          <w:p w14:paraId="01806C77"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57 % (↓ 64–↓ 48)</w:t>
            </w:r>
          </w:p>
          <w:p w14:paraId="36CDCEE6"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Эфавиренз</w:t>
            </w:r>
            <w:proofErr w:type="spellEnd"/>
            <w:r w:rsidRPr="00306051">
              <w:rPr>
                <w:rFonts w:ascii="Times New Roman" w:eastAsia="Calibri" w:hAnsi="Times New Roman" w:cs="Times New Roman"/>
                <w:sz w:val="24"/>
                <w:szCs w:val="24"/>
              </w:rPr>
              <w:t>:</w:t>
            </w:r>
          </w:p>
          <w:p w14:paraId="108713D8"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2910EC9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0950E2E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7F1E6CE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
          <w:p w14:paraId="4D4576DF"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lastRenderedPageBreak/>
              <w:t>AUC: ↔</w:t>
            </w:r>
          </w:p>
          <w:p w14:paraId="7CEE1A7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5579E55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4060886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w:t>
            </w:r>
          </w:p>
          <w:p w14:paraId="525EE2E3"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81 % (↑ 68–↑ 94)</w:t>
            </w:r>
          </w:p>
          <w:p w14:paraId="1D331321"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77 % (↑ 53–↑ 104)</w:t>
            </w:r>
          </w:p>
          <w:p w14:paraId="4B71ABB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121 % (↑ 100–↑ 143)</w:t>
            </w:r>
          </w:p>
        </w:tc>
        <w:tc>
          <w:tcPr>
            <w:tcW w:w="3084" w:type="dxa"/>
            <w:shd w:val="clear" w:color="auto" w:fill="auto"/>
          </w:tcPr>
          <w:p w14:paraId="62D52CF9" w14:textId="77777777" w:rsidR="00607595" w:rsidRPr="00306051" w:rsidRDefault="00607595">
            <w:pPr>
              <w:spacing w:after="0" w:line="100" w:lineRule="atLeast"/>
              <w:jc w:val="both"/>
            </w:pPr>
            <w:proofErr w:type="spellStart"/>
            <w:r w:rsidRPr="00306051">
              <w:rPr>
                <w:rFonts w:ascii="Times New Roman" w:eastAsia="Calibri" w:hAnsi="Times New Roman" w:cs="Times New Roman"/>
                <w:sz w:val="24"/>
                <w:szCs w:val="24"/>
              </w:rPr>
              <w:lastRenderedPageBreak/>
              <w:t>Софосбувир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велпатасвир</w:t>
            </w:r>
            <w:proofErr w:type="spellEnd"/>
            <w:r w:rsidRPr="00306051">
              <w:rPr>
                <w:rFonts w:ascii="Times New Roman" w:eastAsia="Calibri" w:hAnsi="Times New Roman" w:cs="Times New Roman"/>
                <w:sz w:val="24"/>
                <w:szCs w:val="24"/>
                <w:lang w:val="kk-KZ"/>
              </w:rPr>
              <w:t xml:space="preserve"> және</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эфавиренз</w:t>
            </w:r>
            <w:proofErr w:type="spellEnd"/>
            <w:r w:rsidRPr="00306051">
              <w:rPr>
                <w:rFonts w:ascii="Times New Roman" w:eastAsia="Calibri" w:hAnsi="Times New Roman" w:cs="Times New Roman"/>
                <w:sz w:val="24"/>
                <w:szCs w:val="24"/>
                <w:lang w:val="kk-KZ"/>
              </w:rPr>
              <w:t>ді бірге қолдану</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велпатасвир</w:t>
            </w:r>
            <w:proofErr w:type="spellEnd"/>
            <w:r w:rsidRPr="00306051">
              <w:rPr>
                <w:rFonts w:ascii="Times New Roman" w:eastAsia="Calibri" w:hAnsi="Times New Roman" w:cs="Times New Roman"/>
                <w:sz w:val="24"/>
                <w:szCs w:val="24"/>
                <w:lang w:val="kk-KZ"/>
              </w:rPr>
              <w:t>дің</w:t>
            </w:r>
            <w:r w:rsidRPr="00306051">
              <w:rPr>
                <w:rFonts w:ascii="Times New Roman" w:eastAsia="Calibri" w:hAnsi="Times New Roman" w:cs="Times New Roman"/>
                <w:sz w:val="24"/>
                <w:szCs w:val="24"/>
              </w:rPr>
              <w:t xml:space="preserve"> плазм</w:t>
            </w:r>
            <w:r w:rsidRPr="00306051">
              <w:rPr>
                <w:rFonts w:ascii="Times New Roman" w:eastAsia="Calibri" w:hAnsi="Times New Roman" w:cs="Times New Roman"/>
                <w:sz w:val="24"/>
                <w:szCs w:val="24"/>
                <w:lang w:val="kk-KZ"/>
              </w:rPr>
              <w:t xml:space="preserve">адағы </w:t>
            </w:r>
            <w:proofErr w:type="spellStart"/>
            <w:r w:rsidRPr="00306051">
              <w:rPr>
                <w:rFonts w:ascii="Times New Roman" w:eastAsia="Calibri" w:hAnsi="Times New Roman" w:cs="Times New Roman"/>
                <w:sz w:val="24"/>
                <w:szCs w:val="24"/>
              </w:rPr>
              <w:t>концентраци</w:t>
            </w:r>
            <w:proofErr w:type="spellEnd"/>
            <w:r w:rsidRPr="00306051">
              <w:rPr>
                <w:rFonts w:ascii="Times New Roman" w:eastAsia="Calibri" w:hAnsi="Times New Roman" w:cs="Times New Roman"/>
                <w:sz w:val="24"/>
                <w:szCs w:val="24"/>
                <w:lang w:val="kk-KZ"/>
              </w:rPr>
              <w:t>ясын төмендетуі мүмкін</w:t>
            </w:r>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С</w:t>
            </w:r>
            <w:proofErr w:type="spellStart"/>
            <w:r w:rsidRPr="00306051">
              <w:rPr>
                <w:rFonts w:ascii="Times New Roman" w:eastAsia="Calibri" w:hAnsi="Times New Roman" w:cs="Times New Roman"/>
                <w:sz w:val="24"/>
                <w:szCs w:val="24"/>
              </w:rPr>
              <w:t>офосбувир</w:t>
            </w:r>
            <w:proofErr w:type="spellEnd"/>
            <w:r w:rsidRPr="00306051">
              <w:rPr>
                <w:rFonts w:ascii="Times New Roman" w:eastAsia="Calibri" w:hAnsi="Times New Roman" w:cs="Times New Roman"/>
                <w:sz w:val="24"/>
                <w:szCs w:val="24"/>
                <w:lang w:val="kk-KZ"/>
              </w:rPr>
              <w:t>ді</w:t>
            </w:r>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велпатасвир</w:t>
            </w:r>
            <w:proofErr w:type="spellEnd"/>
            <w:r w:rsidRPr="00306051">
              <w:rPr>
                <w:rFonts w:ascii="Times New Roman" w:eastAsia="Calibri" w:hAnsi="Times New Roman" w:cs="Times New Roman"/>
                <w:sz w:val="24"/>
                <w:szCs w:val="24"/>
                <w:lang w:val="kk-KZ"/>
              </w:rPr>
              <w:t>ді және құрамында</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эфавиренз</w:t>
            </w:r>
            <w:proofErr w:type="spellEnd"/>
            <w:r w:rsidRPr="00306051">
              <w:rPr>
                <w:rFonts w:ascii="Times New Roman" w:eastAsia="Calibri" w:hAnsi="Times New Roman" w:cs="Times New Roman"/>
                <w:sz w:val="24"/>
                <w:szCs w:val="24"/>
                <w:lang w:val="kk-KZ"/>
              </w:rPr>
              <w:t xml:space="preserve"> бар кестелерді</w:t>
            </w:r>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бірге қолдану ұсынылмайды</w:t>
            </w:r>
            <w:r w:rsidRPr="00306051">
              <w:rPr>
                <w:rFonts w:ascii="Times New Roman" w:eastAsia="Calibri" w:hAnsi="Times New Roman" w:cs="Times New Roman"/>
                <w:sz w:val="24"/>
                <w:szCs w:val="24"/>
              </w:rPr>
              <w:t>.</w:t>
            </w:r>
          </w:p>
        </w:tc>
      </w:tr>
      <w:tr w:rsidR="00607595" w:rsidRPr="00306051" w14:paraId="46B9FA64" w14:textId="77777777" w:rsidTr="00B22B57">
        <w:tc>
          <w:tcPr>
            <w:tcW w:w="3073" w:type="dxa"/>
            <w:shd w:val="clear" w:color="auto" w:fill="auto"/>
          </w:tcPr>
          <w:p w14:paraId="3E85967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Софосбувир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Велпатасвир</w:t>
            </w:r>
            <w:proofErr w:type="spellEnd"/>
          </w:p>
          <w:p w14:paraId="25EAADB9"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 xml:space="preserve">(400 мг/100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 +</w:t>
            </w:r>
          </w:p>
          <w:p w14:paraId="37175F29"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Рилпивирин</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p w14:paraId="16AA7047" w14:textId="1BE979C5"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(200 мг/25 мг/</w:t>
            </w:r>
            <w:r w:rsidR="004271D7">
              <w:rPr>
                <w:rFonts w:ascii="Times New Roman" w:eastAsia="Calibri" w:hAnsi="Times New Roman" w:cs="Times New Roman"/>
                <w:sz w:val="24"/>
                <w:szCs w:val="24"/>
              </w:rPr>
              <w:t>300</w:t>
            </w:r>
            <w:r w:rsidRPr="00306051">
              <w:rPr>
                <w:rFonts w:ascii="Times New Roman" w:eastAsia="Calibri" w:hAnsi="Times New Roman" w:cs="Times New Roman"/>
                <w:sz w:val="24"/>
                <w:szCs w:val="24"/>
              </w:rPr>
              <w:t xml:space="preserve">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p>
        </w:tc>
        <w:tc>
          <w:tcPr>
            <w:tcW w:w="3073" w:type="dxa"/>
            <w:shd w:val="clear" w:color="auto" w:fill="auto"/>
          </w:tcPr>
          <w:p w14:paraId="23A2191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Софосбувир</w:t>
            </w:r>
            <w:proofErr w:type="spellEnd"/>
            <w:r w:rsidRPr="00306051">
              <w:rPr>
                <w:rFonts w:ascii="Times New Roman" w:eastAsia="Calibri" w:hAnsi="Times New Roman" w:cs="Times New Roman"/>
                <w:sz w:val="24"/>
                <w:szCs w:val="24"/>
              </w:rPr>
              <w:t>:</w:t>
            </w:r>
          </w:p>
          <w:p w14:paraId="1CA9D4F6"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3A5BA507"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68D6D834"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GS</w:t>
            </w:r>
            <w:r w:rsidRPr="00306051">
              <w:rPr>
                <w:rFonts w:ascii="Times New Roman" w:eastAsia="Calibri" w:hAnsi="Times New Roman" w:cs="Times New Roman"/>
                <w:sz w:val="24"/>
                <w:szCs w:val="24"/>
              </w:rPr>
              <w:noBreakHyphen/>
              <w:t>331007</w:t>
            </w:r>
            <w:r w:rsidRPr="00306051">
              <w:rPr>
                <w:rFonts w:ascii="Times New Roman" w:eastAsia="Calibri" w:hAnsi="Times New Roman" w:cs="Times New Roman"/>
                <w:sz w:val="24"/>
                <w:szCs w:val="24"/>
                <w:vertAlign w:val="superscript"/>
              </w:rPr>
              <w:t>2</w:t>
            </w:r>
            <w:r w:rsidRPr="00306051">
              <w:rPr>
                <w:rFonts w:ascii="Times New Roman" w:eastAsia="Calibri" w:hAnsi="Times New Roman" w:cs="Times New Roman"/>
                <w:sz w:val="24"/>
                <w:szCs w:val="24"/>
              </w:rPr>
              <w:t>:</w:t>
            </w:r>
          </w:p>
          <w:p w14:paraId="15313ADB"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1CAB8F9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7CB172B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3E8BD4C4"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Велпатасвир</w:t>
            </w:r>
            <w:proofErr w:type="spellEnd"/>
            <w:r w:rsidRPr="00306051">
              <w:rPr>
                <w:rFonts w:ascii="Times New Roman" w:eastAsia="Calibri" w:hAnsi="Times New Roman" w:cs="Times New Roman"/>
                <w:sz w:val="24"/>
                <w:szCs w:val="24"/>
              </w:rPr>
              <w:t>:</w:t>
            </w:r>
          </w:p>
          <w:p w14:paraId="156E32DB"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3FA1B242"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39405862"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748B693C"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
          <w:p w14:paraId="2351277F"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7B6500FC"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6CE3B92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774420C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Рилпивирин</w:t>
            </w:r>
            <w:proofErr w:type="spellEnd"/>
            <w:r w:rsidRPr="00306051">
              <w:rPr>
                <w:rFonts w:ascii="Times New Roman" w:eastAsia="Calibri" w:hAnsi="Times New Roman" w:cs="Times New Roman"/>
                <w:sz w:val="24"/>
                <w:szCs w:val="24"/>
              </w:rPr>
              <w:t>:</w:t>
            </w:r>
          </w:p>
          <w:p w14:paraId="0BAB6BDC"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4A55957D"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5054A996"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5AFABCC7"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w:t>
            </w:r>
          </w:p>
          <w:p w14:paraId="6028FD9A"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40 % (↑ 34–↑ 46)</w:t>
            </w:r>
          </w:p>
          <w:p w14:paraId="1F95D896"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44 % (↑ 33–↑ 55)</w:t>
            </w:r>
          </w:p>
          <w:p w14:paraId="52A2AB96"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84 % (↑ 76–↑ 92)</w:t>
            </w:r>
          </w:p>
        </w:tc>
        <w:tc>
          <w:tcPr>
            <w:tcW w:w="3084" w:type="dxa"/>
            <w:shd w:val="clear" w:color="auto" w:fill="auto"/>
          </w:tcPr>
          <w:p w14:paraId="459D8311" w14:textId="77777777" w:rsidR="00607595" w:rsidRPr="00306051" w:rsidRDefault="00607595">
            <w:pPr>
              <w:spacing w:after="0" w:line="100" w:lineRule="atLeast"/>
              <w:jc w:val="both"/>
            </w:pPr>
            <w:proofErr w:type="spellStart"/>
            <w:r w:rsidRPr="00306051">
              <w:rPr>
                <w:rFonts w:ascii="Times New Roman" w:eastAsia="Calibri" w:hAnsi="Times New Roman" w:cs="Times New Roman"/>
                <w:sz w:val="24"/>
                <w:szCs w:val="24"/>
              </w:rPr>
              <w:t>Дозасын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түзету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ұсынылмайды</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Т</w:t>
            </w:r>
            <w:proofErr w:type="spellStart"/>
            <w:r w:rsidRPr="00306051">
              <w:rPr>
                <w:rFonts w:ascii="Times New Roman" w:eastAsia="Calibri" w:hAnsi="Times New Roman" w:cs="Times New Roman"/>
                <w:sz w:val="24"/>
                <w:szCs w:val="24"/>
              </w:rPr>
              <w:t>енофовир</w:t>
            </w:r>
            <w:proofErr w:type="spellEnd"/>
            <w:r w:rsidRPr="00306051">
              <w:rPr>
                <w:rFonts w:ascii="Times New Roman" w:eastAsia="Calibri" w:hAnsi="Times New Roman" w:cs="Times New Roman"/>
                <w:sz w:val="24"/>
                <w:szCs w:val="24"/>
                <w:lang w:val="kk-KZ"/>
              </w:rPr>
              <w:t xml:space="preserve"> </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экспозици</w:t>
            </w:r>
            <w:proofErr w:type="spellEnd"/>
            <w:r w:rsidRPr="00306051">
              <w:rPr>
                <w:rFonts w:ascii="Times New Roman" w:eastAsia="Calibri" w:hAnsi="Times New Roman" w:cs="Times New Roman"/>
                <w:sz w:val="24"/>
                <w:szCs w:val="24"/>
                <w:lang w:val="kk-KZ"/>
              </w:rPr>
              <w:t>ясының жоғарылауы</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ына жағымсыз</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реакци</w:t>
            </w:r>
            <w:proofErr w:type="spellEnd"/>
            <w:r w:rsidRPr="00306051">
              <w:rPr>
                <w:rFonts w:ascii="Times New Roman" w:eastAsia="Calibri" w:hAnsi="Times New Roman" w:cs="Times New Roman"/>
                <w:sz w:val="24"/>
                <w:szCs w:val="24"/>
                <w:lang w:val="kk-KZ"/>
              </w:rPr>
              <w:t>яларды, соның ішінде, бүйрек бұзылуларын күшейтуі мүмкін</w:t>
            </w:r>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Бүйрек</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функциясын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мұқият</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қадағалау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керек</w:t>
            </w:r>
            <w:proofErr w:type="spellEnd"/>
            <w:r w:rsidRPr="00306051">
              <w:rPr>
                <w:rFonts w:ascii="Times New Roman" w:eastAsia="Calibri" w:hAnsi="Times New Roman" w:cs="Times New Roman"/>
                <w:sz w:val="24"/>
                <w:szCs w:val="24"/>
              </w:rPr>
              <w:t xml:space="preserve"> (4.4 </w:t>
            </w:r>
            <w:proofErr w:type="spellStart"/>
            <w:r w:rsidRPr="00306051">
              <w:rPr>
                <w:rFonts w:ascii="Times New Roman" w:eastAsia="Calibri" w:hAnsi="Times New Roman" w:cs="Times New Roman"/>
                <w:sz w:val="24"/>
                <w:szCs w:val="24"/>
              </w:rPr>
              <w:t>бөлімін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қараңыз</w:t>
            </w:r>
            <w:proofErr w:type="spellEnd"/>
            <w:r w:rsidRPr="00306051">
              <w:rPr>
                <w:rFonts w:ascii="Times New Roman" w:eastAsia="Calibri" w:hAnsi="Times New Roman" w:cs="Times New Roman"/>
                <w:sz w:val="24"/>
                <w:szCs w:val="24"/>
              </w:rPr>
              <w:t>).</w:t>
            </w:r>
          </w:p>
        </w:tc>
      </w:tr>
      <w:tr w:rsidR="00607595" w:rsidRPr="007A5E44" w14:paraId="645DAE04" w14:textId="77777777" w:rsidTr="00B22B57">
        <w:tc>
          <w:tcPr>
            <w:tcW w:w="3073" w:type="dxa"/>
            <w:shd w:val="clear" w:color="auto" w:fill="auto"/>
          </w:tcPr>
          <w:p w14:paraId="67C7B8A6" w14:textId="77777777" w:rsidR="00607595" w:rsidRPr="00306051" w:rsidRDefault="00607595">
            <w:pPr>
              <w:spacing w:after="0" w:line="100" w:lineRule="atLeast"/>
              <w:jc w:val="both"/>
              <w:rPr>
                <w:rFonts w:ascii="Times New Roman" w:hAnsi="Times New Roman" w:cs="Times New Roman"/>
                <w:sz w:val="24"/>
                <w:szCs w:val="24"/>
              </w:rPr>
            </w:pPr>
            <w:proofErr w:type="spellStart"/>
            <w:r w:rsidRPr="00306051">
              <w:rPr>
                <w:rFonts w:ascii="Times New Roman" w:eastAsia="Calibri" w:hAnsi="Times New Roman" w:cs="Times New Roman"/>
                <w:sz w:val="24"/>
                <w:szCs w:val="24"/>
              </w:rPr>
              <w:t>Софосбувир</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Велпатасвир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Воксилапревир</w:t>
            </w:r>
            <w:proofErr w:type="spellEnd"/>
            <w:r w:rsidRPr="00306051">
              <w:rPr>
                <w:rFonts w:ascii="Times New Roman" w:eastAsia="Calibri" w:hAnsi="Times New Roman" w:cs="Times New Roman"/>
                <w:sz w:val="24"/>
                <w:szCs w:val="24"/>
              </w:rPr>
              <w:t xml:space="preserve"> (400 мг/100 мг/ 100 мг+100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r w:rsidRPr="00306051">
              <w:rPr>
                <w:rFonts w:ascii="Times New Roman" w:eastAsia="Calibri" w:hAnsi="Times New Roman" w:cs="Times New Roman"/>
                <w:sz w:val="24"/>
                <w:szCs w:val="24"/>
                <w:vertAlign w:val="superscript"/>
              </w:rPr>
              <w:t>3</w:t>
            </w:r>
            <w:r w:rsidRPr="00306051">
              <w:rPr>
                <w:rFonts w:ascii="Times New Roman" w:eastAsia="Calibri" w:hAnsi="Times New Roman" w:cs="Times New Roman"/>
                <w:sz w:val="24"/>
                <w:szCs w:val="24"/>
              </w:rPr>
              <w:t xml:space="preserve"> + </w:t>
            </w:r>
            <w:proofErr w:type="spellStart"/>
            <w:r w:rsidRPr="00306051">
              <w:rPr>
                <w:rFonts w:ascii="Times New Roman" w:eastAsia="Calibri" w:hAnsi="Times New Roman" w:cs="Times New Roman"/>
                <w:sz w:val="24"/>
                <w:szCs w:val="24"/>
              </w:rPr>
              <w:t>Дарунавир</w:t>
            </w:r>
            <w:proofErr w:type="spellEnd"/>
            <w:r w:rsidRPr="00306051">
              <w:rPr>
                <w:rFonts w:ascii="Times New Roman" w:eastAsia="Calibri" w:hAnsi="Times New Roman" w:cs="Times New Roman"/>
                <w:sz w:val="24"/>
                <w:szCs w:val="24"/>
              </w:rPr>
              <w:t xml:space="preserve"> (800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 xml:space="preserve">.) + </w:t>
            </w:r>
            <w:proofErr w:type="spellStart"/>
            <w:r w:rsidRPr="00306051">
              <w:rPr>
                <w:rFonts w:ascii="Times New Roman" w:eastAsia="Calibri" w:hAnsi="Times New Roman" w:cs="Times New Roman"/>
                <w:sz w:val="24"/>
                <w:szCs w:val="24"/>
              </w:rPr>
              <w:t>Ритонавир</w:t>
            </w:r>
            <w:proofErr w:type="spellEnd"/>
            <w:r w:rsidRPr="00306051">
              <w:rPr>
                <w:rFonts w:ascii="Times New Roman" w:eastAsia="Calibri" w:hAnsi="Times New Roman" w:cs="Times New Roman"/>
                <w:sz w:val="24"/>
                <w:szCs w:val="24"/>
              </w:rPr>
              <w:t xml:space="preserve"> (100 мг </w:t>
            </w:r>
            <w:r w:rsidRPr="00306051">
              <w:rPr>
                <w:rFonts w:ascii="Times New Roman" w:eastAsia="Calibri" w:hAnsi="Times New Roman" w:cs="Times New Roman"/>
                <w:sz w:val="24"/>
                <w:szCs w:val="24"/>
                <w:lang w:val="en-US"/>
              </w:rPr>
              <w:t>q</w:t>
            </w:r>
            <w:r w:rsidRPr="00306051">
              <w:rPr>
                <w:rFonts w:ascii="Times New Roman" w:eastAsia="Calibri" w:hAnsi="Times New Roman" w:cs="Times New Roman"/>
                <w:sz w:val="24"/>
                <w:szCs w:val="24"/>
              </w:rPr>
              <w:t>.</w:t>
            </w:r>
            <w:r w:rsidRPr="00306051">
              <w:rPr>
                <w:rFonts w:ascii="Times New Roman" w:eastAsia="Calibri" w:hAnsi="Times New Roman" w:cs="Times New Roman"/>
                <w:sz w:val="24"/>
                <w:szCs w:val="24"/>
                <w:lang w:val="en-US"/>
              </w:rPr>
              <w:t>d</w:t>
            </w:r>
            <w:r w:rsidRPr="00306051">
              <w:rPr>
                <w:rFonts w:ascii="Times New Roman" w:eastAsia="Calibri" w:hAnsi="Times New Roman" w:cs="Times New Roman"/>
                <w:sz w:val="24"/>
                <w:szCs w:val="24"/>
              </w:rPr>
              <w:t xml:space="preserve">.) + </w:t>
            </w: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r w:rsidRPr="00306051">
              <w:rPr>
                <w:rFonts w:ascii="Times New Roman" w:eastAsia="Calibri" w:hAnsi="Times New Roman" w:cs="Times New Roman"/>
                <w:sz w:val="24"/>
                <w:szCs w:val="24"/>
              </w:rPr>
              <w:t xml:space="preserve"> (200 мг/300 мг </w:t>
            </w:r>
            <w:r w:rsidRPr="00306051">
              <w:rPr>
                <w:rFonts w:ascii="Times New Roman" w:eastAsia="Calibri" w:hAnsi="Times New Roman" w:cs="Times New Roman"/>
                <w:sz w:val="24"/>
                <w:szCs w:val="24"/>
                <w:lang w:val="en-US"/>
              </w:rPr>
              <w:t>q</w:t>
            </w:r>
            <w:r w:rsidRPr="00306051">
              <w:rPr>
                <w:rFonts w:ascii="Times New Roman" w:eastAsia="Calibri" w:hAnsi="Times New Roman" w:cs="Times New Roman"/>
                <w:sz w:val="24"/>
                <w:szCs w:val="24"/>
              </w:rPr>
              <w:t>.</w:t>
            </w:r>
            <w:r w:rsidRPr="00306051">
              <w:rPr>
                <w:rFonts w:ascii="Times New Roman" w:eastAsia="Calibri" w:hAnsi="Times New Roman" w:cs="Times New Roman"/>
                <w:sz w:val="24"/>
                <w:szCs w:val="24"/>
                <w:lang w:val="en-US"/>
              </w:rPr>
              <w:t>d</w:t>
            </w:r>
            <w:r w:rsidRPr="00306051">
              <w:rPr>
                <w:rFonts w:ascii="Times New Roman" w:eastAsia="Calibri" w:hAnsi="Times New Roman" w:cs="Times New Roman"/>
                <w:sz w:val="24"/>
                <w:szCs w:val="24"/>
              </w:rPr>
              <w:t>.)</w:t>
            </w:r>
          </w:p>
        </w:tc>
        <w:tc>
          <w:tcPr>
            <w:tcW w:w="3073" w:type="dxa"/>
            <w:shd w:val="clear" w:color="auto" w:fill="auto"/>
          </w:tcPr>
          <w:p w14:paraId="7403AED7" w14:textId="77777777" w:rsidR="00607595" w:rsidRPr="00306051" w:rsidRDefault="00607595">
            <w:pPr>
              <w:shd w:val="clear" w:color="auto" w:fill="FFFFFF"/>
              <w:spacing w:after="0" w:line="100" w:lineRule="atLeast"/>
              <w:rPr>
                <w:rFonts w:ascii="Times New Roman" w:hAnsi="Times New Roman" w:cs="Times New Roman"/>
                <w:sz w:val="24"/>
                <w:szCs w:val="24"/>
              </w:rPr>
            </w:pPr>
            <w:proofErr w:type="spellStart"/>
            <w:r w:rsidRPr="00306051">
              <w:rPr>
                <w:rFonts w:ascii="Times New Roman" w:hAnsi="Times New Roman" w:cs="Times New Roman"/>
                <w:sz w:val="24"/>
                <w:szCs w:val="24"/>
              </w:rPr>
              <w:t>Софосбувир</w:t>
            </w:r>
            <w:proofErr w:type="spellEnd"/>
            <w:r w:rsidRPr="00306051">
              <w:rPr>
                <w:rFonts w:ascii="Times New Roman" w:hAnsi="Times New Roman" w:cs="Times New Roman"/>
                <w:sz w:val="24"/>
                <w:szCs w:val="24"/>
              </w:rPr>
              <w:t>:</w:t>
            </w:r>
          </w:p>
          <w:p w14:paraId="4C575595" w14:textId="77777777" w:rsidR="00607595" w:rsidRPr="00306051" w:rsidRDefault="00607595">
            <w:pPr>
              <w:shd w:val="clear" w:color="auto" w:fill="FFFFFF"/>
              <w:spacing w:after="0" w:line="100" w:lineRule="atLeast"/>
              <w:rPr>
                <w:rFonts w:ascii="Times New Roman" w:hAnsi="Times New Roman" w:cs="Times New Roman"/>
                <w:sz w:val="24"/>
                <w:szCs w:val="24"/>
              </w:rPr>
            </w:pPr>
            <w:r w:rsidRPr="00306051">
              <w:rPr>
                <w:rFonts w:ascii="Times New Roman" w:hAnsi="Times New Roman" w:cs="Times New Roman"/>
                <w:sz w:val="24"/>
                <w:szCs w:val="24"/>
                <w:lang w:val="en-US"/>
              </w:rPr>
              <w:t>AUC</w:t>
            </w:r>
            <w:r w:rsidRPr="00306051">
              <w:rPr>
                <w:rFonts w:ascii="Times New Roman" w:hAnsi="Times New Roman" w:cs="Times New Roman"/>
                <w:sz w:val="24"/>
                <w:szCs w:val="24"/>
              </w:rPr>
              <w:t>: ↔</w:t>
            </w:r>
          </w:p>
          <w:p w14:paraId="4D7B091F" w14:textId="77777777" w:rsidR="00607595" w:rsidRPr="00306051" w:rsidRDefault="00607595">
            <w:pPr>
              <w:shd w:val="clear" w:color="auto" w:fill="FFFFFF"/>
              <w:spacing w:after="0" w:line="100" w:lineRule="atLeast"/>
              <w:rPr>
                <w:rFonts w:ascii="Times New Roman" w:hAnsi="Times New Roman" w:cs="Times New Roman"/>
                <w:sz w:val="24"/>
                <w:szCs w:val="24"/>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max</w:t>
            </w:r>
            <w:proofErr w:type="spellEnd"/>
            <w:r w:rsidRPr="00306051">
              <w:rPr>
                <w:rFonts w:ascii="Times New Roman" w:hAnsi="Times New Roman" w:cs="Times New Roman"/>
                <w:sz w:val="24"/>
                <w:szCs w:val="24"/>
              </w:rPr>
              <w:t>: ↓ 30%</w:t>
            </w:r>
          </w:p>
          <w:p w14:paraId="0419DBDB" w14:textId="77777777" w:rsidR="00607595" w:rsidRPr="00306051" w:rsidRDefault="00607595">
            <w:pPr>
              <w:shd w:val="clear" w:color="auto" w:fill="FFFFFF"/>
              <w:spacing w:after="0" w:line="100" w:lineRule="atLeast"/>
              <w:rPr>
                <w:rFonts w:ascii="Times New Roman" w:hAnsi="Times New Roman" w:cs="Times New Roman"/>
                <w:sz w:val="24"/>
                <w:szCs w:val="24"/>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min</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en-US"/>
              </w:rPr>
              <w:t>N</w:t>
            </w:r>
            <w:r w:rsidRPr="00306051">
              <w:rPr>
                <w:rFonts w:ascii="Times New Roman" w:hAnsi="Times New Roman" w:cs="Times New Roman"/>
                <w:sz w:val="24"/>
                <w:szCs w:val="24"/>
              </w:rPr>
              <w:t>/</w:t>
            </w:r>
            <w:r w:rsidRPr="00306051">
              <w:rPr>
                <w:rFonts w:ascii="Times New Roman" w:hAnsi="Times New Roman" w:cs="Times New Roman"/>
                <w:sz w:val="24"/>
                <w:szCs w:val="24"/>
                <w:lang w:val="en-US"/>
              </w:rPr>
              <w:t>A</w:t>
            </w:r>
          </w:p>
          <w:p w14:paraId="6F14221E"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r w:rsidRPr="00306051">
              <w:rPr>
                <w:rFonts w:ascii="Times New Roman" w:hAnsi="Times New Roman" w:cs="Times New Roman"/>
                <w:sz w:val="24"/>
                <w:szCs w:val="24"/>
                <w:lang w:val="en-US"/>
              </w:rPr>
              <w:t>GS-331007</w:t>
            </w:r>
            <w:r w:rsidRPr="00306051">
              <w:rPr>
                <w:rFonts w:ascii="Times New Roman" w:hAnsi="Times New Roman" w:cs="Times New Roman"/>
                <w:sz w:val="24"/>
                <w:szCs w:val="24"/>
                <w:vertAlign w:val="superscript"/>
                <w:lang w:val="en-US"/>
              </w:rPr>
              <w:t>2</w:t>
            </w:r>
            <w:r w:rsidRPr="00306051">
              <w:rPr>
                <w:rFonts w:ascii="Times New Roman" w:hAnsi="Times New Roman" w:cs="Times New Roman"/>
                <w:sz w:val="24"/>
                <w:szCs w:val="24"/>
                <w:lang w:val="en-US"/>
              </w:rPr>
              <w:t>:</w:t>
            </w:r>
          </w:p>
          <w:p w14:paraId="726DD6A0"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r w:rsidRPr="00306051">
              <w:rPr>
                <w:rFonts w:ascii="Times New Roman" w:hAnsi="Times New Roman" w:cs="Times New Roman"/>
                <w:sz w:val="24"/>
                <w:szCs w:val="24"/>
                <w:lang w:val="en-US"/>
              </w:rPr>
              <w:t>AUC: ↔</w:t>
            </w:r>
          </w:p>
          <w:p w14:paraId="7ACFB088"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max</w:t>
            </w:r>
            <w:proofErr w:type="spellEnd"/>
            <w:r w:rsidRPr="00306051">
              <w:rPr>
                <w:rFonts w:ascii="Times New Roman" w:hAnsi="Times New Roman" w:cs="Times New Roman"/>
                <w:sz w:val="24"/>
                <w:szCs w:val="24"/>
                <w:lang w:val="en-US"/>
              </w:rPr>
              <w:t>:↔</w:t>
            </w:r>
          </w:p>
          <w:p w14:paraId="0CB44DB7"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min</w:t>
            </w:r>
            <w:proofErr w:type="spellEnd"/>
            <w:r w:rsidRPr="00306051">
              <w:rPr>
                <w:rFonts w:ascii="Times New Roman" w:hAnsi="Times New Roman" w:cs="Times New Roman"/>
                <w:sz w:val="24"/>
                <w:szCs w:val="24"/>
                <w:lang w:val="en-US"/>
              </w:rPr>
              <w:t>: N/A</w:t>
            </w:r>
          </w:p>
          <w:p w14:paraId="7C162624"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rPr>
              <w:t>Велпатасвир</w:t>
            </w:r>
            <w:proofErr w:type="spellEnd"/>
            <w:r w:rsidRPr="00306051">
              <w:rPr>
                <w:rFonts w:ascii="Times New Roman" w:hAnsi="Times New Roman" w:cs="Times New Roman"/>
                <w:sz w:val="24"/>
                <w:szCs w:val="24"/>
                <w:lang w:val="en-US"/>
              </w:rPr>
              <w:t>:</w:t>
            </w:r>
          </w:p>
          <w:p w14:paraId="78C229E9"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r w:rsidRPr="00306051">
              <w:rPr>
                <w:rFonts w:ascii="Times New Roman" w:hAnsi="Times New Roman" w:cs="Times New Roman"/>
                <w:sz w:val="24"/>
                <w:szCs w:val="24"/>
                <w:lang w:val="en-US"/>
              </w:rPr>
              <w:t>AUC: ↔</w:t>
            </w:r>
          </w:p>
          <w:p w14:paraId="4BCED325"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max</w:t>
            </w:r>
            <w:proofErr w:type="spellEnd"/>
            <w:r w:rsidRPr="00306051">
              <w:rPr>
                <w:rFonts w:ascii="Times New Roman" w:hAnsi="Times New Roman" w:cs="Times New Roman"/>
                <w:sz w:val="24"/>
                <w:szCs w:val="24"/>
                <w:lang w:val="en-US"/>
              </w:rPr>
              <w:t>: ↔</w:t>
            </w:r>
          </w:p>
          <w:p w14:paraId="588703E3"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min</w:t>
            </w:r>
            <w:proofErr w:type="spellEnd"/>
            <w:r w:rsidRPr="00306051">
              <w:rPr>
                <w:rFonts w:ascii="Times New Roman" w:hAnsi="Times New Roman" w:cs="Times New Roman"/>
                <w:sz w:val="24"/>
                <w:szCs w:val="24"/>
                <w:lang w:val="en-US"/>
              </w:rPr>
              <w:t>: ↔</w:t>
            </w:r>
          </w:p>
          <w:p w14:paraId="4EAD0650"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rPr>
              <w:t>Воксилапревир</w:t>
            </w:r>
            <w:proofErr w:type="spellEnd"/>
            <w:r w:rsidRPr="00306051">
              <w:rPr>
                <w:rFonts w:ascii="Times New Roman" w:hAnsi="Times New Roman" w:cs="Times New Roman"/>
                <w:sz w:val="24"/>
                <w:szCs w:val="24"/>
                <w:lang w:val="en-US"/>
              </w:rPr>
              <w:t>:</w:t>
            </w:r>
          </w:p>
          <w:p w14:paraId="5ED805A6"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r w:rsidRPr="00306051">
              <w:rPr>
                <w:rFonts w:ascii="Times New Roman" w:hAnsi="Times New Roman" w:cs="Times New Roman"/>
                <w:sz w:val="24"/>
                <w:szCs w:val="24"/>
                <w:lang w:val="en-US"/>
              </w:rPr>
              <w:t>AUC: ↑ 143%</w:t>
            </w:r>
          </w:p>
          <w:p w14:paraId="205DA24C"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max</w:t>
            </w:r>
            <w:proofErr w:type="spellEnd"/>
            <w:r w:rsidRPr="00306051">
              <w:rPr>
                <w:rFonts w:ascii="Times New Roman" w:hAnsi="Times New Roman" w:cs="Times New Roman"/>
                <w:sz w:val="24"/>
                <w:szCs w:val="24"/>
                <w:lang w:val="en-US"/>
              </w:rPr>
              <w:t>:↑ 72%</w:t>
            </w:r>
          </w:p>
          <w:p w14:paraId="43281427"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min</w:t>
            </w:r>
            <w:proofErr w:type="spellEnd"/>
            <w:r w:rsidRPr="00306051">
              <w:rPr>
                <w:rFonts w:ascii="Times New Roman" w:hAnsi="Times New Roman" w:cs="Times New Roman"/>
                <w:sz w:val="24"/>
                <w:szCs w:val="24"/>
                <w:lang w:val="en-US"/>
              </w:rPr>
              <w:t>: ↑ 300%</w:t>
            </w:r>
          </w:p>
          <w:p w14:paraId="7399EE23"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rPr>
              <w:t>Дарунавир</w:t>
            </w:r>
            <w:proofErr w:type="spellEnd"/>
            <w:r w:rsidRPr="00306051">
              <w:rPr>
                <w:rFonts w:ascii="Times New Roman" w:hAnsi="Times New Roman" w:cs="Times New Roman"/>
                <w:sz w:val="24"/>
                <w:szCs w:val="24"/>
                <w:lang w:val="en-US"/>
              </w:rPr>
              <w:t>:</w:t>
            </w:r>
          </w:p>
          <w:p w14:paraId="7351A9FA"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r w:rsidRPr="00306051">
              <w:rPr>
                <w:rFonts w:ascii="Times New Roman" w:hAnsi="Times New Roman" w:cs="Times New Roman"/>
                <w:sz w:val="24"/>
                <w:szCs w:val="24"/>
                <w:lang w:val="en-US"/>
              </w:rPr>
              <w:t>AUC: ↔</w:t>
            </w:r>
          </w:p>
          <w:p w14:paraId="1EF2C000"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max</w:t>
            </w:r>
            <w:proofErr w:type="spellEnd"/>
            <w:r w:rsidRPr="00306051">
              <w:rPr>
                <w:rFonts w:ascii="Times New Roman" w:hAnsi="Times New Roman" w:cs="Times New Roman"/>
                <w:sz w:val="24"/>
                <w:szCs w:val="24"/>
                <w:lang w:val="en-US"/>
              </w:rPr>
              <w:t>: ↔</w:t>
            </w:r>
          </w:p>
          <w:p w14:paraId="61BC944B"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min</w:t>
            </w:r>
            <w:proofErr w:type="spellEnd"/>
            <w:r w:rsidRPr="00306051">
              <w:rPr>
                <w:rFonts w:ascii="Times New Roman" w:hAnsi="Times New Roman" w:cs="Times New Roman"/>
                <w:sz w:val="24"/>
                <w:szCs w:val="24"/>
                <w:lang w:val="en-US"/>
              </w:rPr>
              <w:t>: ↓ 34%</w:t>
            </w:r>
          </w:p>
          <w:p w14:paraId="1A91E85A"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rPr>
              <w:t>Ритонавир</w:t>
            </w:r>
            <w:proofErr w:type="spellEnd"/>
            <w:r w:rsidRPr="00306051">
              <w:rPr>
                <w:rFonts w:ascii="Times New Roman" w:hAnsi="Times New Roman" w:cs="Times New Roman"/>
                <w:sz w:val="24"/>
                <w:szCs w:val="24"/>
                <w:lang w:val="en-US"/>
              </w:rPr>
              <w:t>:</w:t>
            </w:r>
          </w:p>
          <w:p w14:paraId="6A8B75C5"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r w:rsidRPr="00306051">
              <w:rPr>
                <w:rFonts w:ascii="Times New Roman" w:hAnsi="Times New Roman" w:cs="Times New Roman"/>
                <w:sz w:val="24"/>
                <w:szCs w:val="24"/>
                <w:lang w:val="en-US"/>
              </w:rPr>
              <w:t>AUC: ↑ 45%</w:t>
            </w:r>
          </w:p>
          <w:p w14:paraId="033205CC"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lang w:val="en-US"/>
              </w:rPr>
              <w:lastRenderedPageBreak/>
              <w:t>C</w:t>
            </w:r>
            <w:r w:rsidRPr="00306051">
              <w:rPr>
                <w:rFonts w:ascii="Times New Roman" w:hAnsi="Times New Roman" w:cs="Times New Roman"/>
                <w:sz w:val="24"/>
                <w:szCs w:val="24"/>
                <w:vertAlign w:val="subscript"/>
                <w:lang w:val="en-US"/>
              </w:rPr>
              <w:t>max</w:t>
            </w:r>
            <w:proofErr w:type="spellEnd"/>
            <w:r w:rsidRPr="00306051">
              <w:rPr>
                <w:rFonts w:ascii="Times New Roman" w:hAnsi="Times New Roman" w:cs="Times New Roman"/>
                <w:sz w:val="24"/>
                <w:szCs w:val="24"/>
                <w:lang w:val="en-US"/>
              </w:rPr>
              <w:t>: ↑ 60%</w:t>
            </w:r>
          </w:p>
          <w:p w14:paraId="311526EC"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min</w:t>
            </w:r>
            <w:proofErr w:type="spellEnd"/>
            <w:r w:rsidRPr="00306051">
              <w:rPr>
                <w:rFonts w:ascii="Times New Roman" w:hAnsi="Times New Roman" w:cs="Times New Roman"/>
                <w:sz w:val="24"/>
                <w:szCs w:val="24"/>
                <w:lang w:val="en-US"/>
              </w:rPr>
              <w:t>: ↔</w:t>
            </w:r>
          </w:p>
          <w:p w14:paraId="1382EDFA"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rPr>
              <w:t>Эмтрицитабин</w:t>
            </w:r>
            <w:proofErr w:type="spellEnd"/>
            <w:r w:rsidRPr="00306051">
              <w:rPr>
                <w:rFonts w:ascii="Times New Roman" w:hAnsi="Times New Roman" w:cs="Times New Roman"/>
                <w:sz w:val="24"/>
                <w:szCs w:val="24"/>
                <w:lang w:val="en-US"/>
              </w:rPr>
              <w:t>:</w:t>
            </w:r>
          </w:p>
          <w:p w14:paraId="20F049D1"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r w:rsidRPr="00306051">
              <w:rPr>
                <w:rFonts w:ascii="Times New Roman" w:hAnsi="Times New Roman" w:cs="Times New Roman"/>
                <w:sz w:val="24"/>
                <w:szCs w:val="24"/>
                <w:lang w:val="en-US"/>
              </w:rPr>
              <w:t>AUC: ↔</w:t>
            </w:r>
          </w:p>
          <w:p w14:paraId="3D4CA108"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max</w:t>
            </w:r>
            <w:proofErr w:type="spellEnd"/>
            <w:r w:rsidRPr="00306051">
              <w:rPr>
                <w:rFonts w:ascii="Times New Roman" w:hAnsi="Times New Roman" w:cs="Times New Roman"/>
                <w:sz w:val="24"/>
                <w:szCs w:val="24"/>
                <w:lang w:val="en-US"/>
              </w:rPr>
              <w:t>: ↔</w:t>
            </w:r>
          </w:p>
          <w:p w14:paraId="3FCA7C09" w14:textId="77777777" w:rsidR="00607595" w:rsidRPr="00306051" w:rsidRDefault="00607595">
            <w:pPr>
              <w:shd w:val="clear" w:color="auto" w:fill="FFFFFF"/>
              <w:spacing w:after="0" w:line="100" w:lineRule="atLeast"/>
              <w:rPr>
                <w:rFonts w:ascii="Times New Roman" w:hAnsi="Times New Roman" w:cs="Times New Roman"/>
                <w:sz w:val="24"/>
                <w:szCs w:val="24"/>
                <w:lang w:val="en-US"/>
              </w:rPr>
            </w:pPr>
            <w:proofErr w:type="spellStart"/>
            <w:r w:rsidRPr="00306051">
              <w:rPr>
                <w:rFonts w:ascii="Times New Roman" w:hAnsi="Times New Roman" w:cs="Times New Roman"/>
                <w:sz w:val="24"/>
                <w:szCs w:val="24"/>
                <w:lang w:val="en-US"/>
              </w:rPr>
              <w:t>C</w:t>
            </w:r>
            <w:r w:rsidRPr="00306051">
              <w:rPr>
                <w:rFonts w:ascii="Times New Roman" w:hAnsi="Times New Roman" w:cs="Times New Roman"/>
                <w:sz w:val="24"/>
                <w:szCs w:val="24"/>
                <w:vertAlign w:val="subscript"/>
                <w:lang w:val="en-US"/>
              </w:rPr>
              <w:t>min</w:t>
            </w:r>
            <w:proofErr w:type="spellEnd"/>
            <w:r w:rsidRPr="00306051">
              <w:rPr>
                <w:rFonts w:ascii="Times New Roman" w:hAnsi="Times New Roman" w:cs="Times New Roman"/>
                <w:sz w:val="24"/>
                <w:szCs w:val="24"/>
                <w:lang w:val="en-US"/>
              </w:rPr>
              <w:t>: ↔</w:t>
            </w:r>
          </w:p>
          <w:p w14:paraId="56052DB9" w14:textId="77777777" w:rsidR="00607595" w:rsidRPr="00306051" w:rsidRDefault="00607595">
            <w:pPr>
              <w:shd w:val="clear" w:color="auto" w:fill="FFFFFF"/>
              <w:spacing w:after="0" w:line="100" w:lineRule="atLeast"/>
              <w:rPr>
                <w:rFonts w:ascii="Times New Roman" w:hAnsi="Times New Roman" w:cs="Times New Roman"/>
                <w:sz w:val="24"/>
                <w:szCs w:val="24"/>
              </w:rPr>
            </w:pP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w:t>
            </w:r>
          </w:p>
          <w:p w14:paraId="1FB804DA" w14:textId="77777777" w:rsidR="00607595" w:rsidRPr="00306051" w:rsidRDefault="00607595">
            <w:pPr>
              <w:shd w:val="clear" w:color="auto" w:fill="FFFFFF"/>
              <w:spacing w:after="0" w:line="100" w:lineRule="atLeast"/>
              <w:rPr>
                <w:rFonts w:ascii="Times New Roman" w:hAnsi="Times New Roman" w:cs="Times New Roman"/>
                <w:sz w:val="24"/>
                <w:szCs w:val="24"/>
              </w:rPr>
            </w:pPr>
            <w:r w:rsidRPr="00306051">
              <w:rPr>
                <w:rFonts w:ascii="Times New Roman" w:hAnsi="Times New Roman" w:cs="Times New Roman"/>
                <w:sz w:val="24"/>
                <w:szCs w:val="24"/>
              </w:rPr>
              <w:t>AUC: ↑ 39%</w:t>
            </w:r>
          </w:p>
          <w:p w14:paraId="719ECF39" w14:textId="77777777" w:rsidR="00607595" w:rsidRPr="00306051" w:rsidRDefault="00607595">
            <w:pPr>
              <w:shd w:val="clear" w:color="auto" w:fill="FFFFFF"/>
              <w:spacing w:after="0" w:line="100" w:lineRule="atLeast"/>
              <w:rPr>
                <w:rFonts w:ascii="Times New Roman" w:hAnsi="Times New Roman" w:cs="Times New Roman"/>
                <w:sz w:val="24"/>
                <w:szCs w:val="24"/>
              </w:rPr>
            </w:pPr>
            <w:proofErr w:type="spellStart"/>
            <w:r w:rsidRPr="00306051">
              <w:rPr>
                <w:rFonts w:ascii="Times New Roman" w:hAnsi="Times New Roman" w:cs="Times New Roman"/>
                <w:sz w:val="24"/>
                <w:szCs w:val="24"/>
              </w:rPr>
              <w:t>C</w:t>
            </w:r>
            <w:r w:rsidRPr="00306051">
              <w:rPr>
                <w:rFonts w:ascii="Times New Roman" w:hAnsi="Times New Roman" w:cs="Times New Roman"/>
                <w:sz w:val="24"/>
                <w:szCs w:val="24"/>
                <w:vertAlign w:val="subscript"/>
              </w:rPr>
              <w:t>max</w:t>
            </w:r>
            <w:proofErr w:type="spellEnd"/>
            <w:r w:rsidRPr="00306051">
              <w:rPr>
                <w:rFonts w:ascii="Times New Roman" w:hAnsi="Times New Roman" w:cs="Times New Roman"/>
                <w:sz w:val="24"/>
                <w:szCs w:val="24"/>
              </w:rPr>
              <w:t>: ↑ 48%</w:t>
            </w:r>
          </w:p>
          <w:p w14:paraId="7480A81A" w14:textId="77777777" w:rsidR="00607595" w:rsidRPr="00306051" w:rsidRDefault="00607595">
            <w:pPr>
              <w:shd w:val="clear" w:color="auto" w:fill="FFFFFF"/>
              <w:spacing w:after="0" w:line="100" w:lineRule="atLeast"/>
              <w:rPr>
                <w:rFonts w:ascii="Times New Roman" w:eastAsia="Calibri" w:hAnsi="Times New Roman" w:cs="Times New Roman"/>
                <w:sz w:val="24"/>
                <w:szCs w:val="24"/>
                <w:lang w:val="kk-KZ"/>
              </w:rPr>
            </w:pPr>
            <w:proofErr w:type="spellStart"/>
            <w:r w:rsidRPr="00306051">
              <w:rPr>
                <w:rFonts w:ascii="Times New Roman" w:hAnsi="Times New Roman" w:cs="Times New Roman"/>
                <w:sz w:val="24"/>
                <w:szCs w:val="24"/>
              </w:rPr>
              <w:t>C</w:t>
            </w:r>
            <w:r w:rsidRPr="00306051">
              <w:rPr>
                <w:rFonts w:ascii="Times New Roman" w:hAnsi="Times New Roman" w:cs="Times New Roman"/>
                <w:sz w:val="24"/>
                <w:szCs w:val="24"/>
                <w:vertAlign w:val="subscript"/>
              </w:rPr>
              <w:t>min</w:t>
            </w:r>
            <w:proofErr w:type="spellEnd"/>
            <w:r w:rsidRPr="00306051">
              <w:rPr>
                <w:rFonts w:ascii="Times New Roman" w:hAnsi="Times New Roman" w:cs="Times New Roman"/>
                <w:sz w:val="24"/>
                <w:szCs w:val="24"/>
              </w:rPr>
              <w:t>: ↑ 47%</w:t>
            </w:r>
          </w:p>
        </w:tc>
        <w:tc>
          <w:tcPr>
            <w:tcW w:w="3084" w:type="dxa"/>
            <w:shd w:val="clear" w:color="auto" w:fill="auto"/>
          </w:tcPr>
          <w:p w14:paraId="06BDEAF4" w14:textId="77777777" w:rsidR="00607595" w:rsidRPr="00306051" w:rsidRDefault="00607595">
            <w:pPr>
              <w:shd w:val="clear" w:color="auto" w:fill="FFFFFF"/>
              <w:spacing w:after="0" w:line="100" w:lineRule="atLeast"/>
              <w:jc w:val="both"/>
              <w:rPr>
                <w:rFonts w:ascii="Times New Roman" w:hAnsi="Times New Roman" w:cs="Times New Roman"/>
                <w:sz w:val="24"/>
                <w:szCs w:val="24"/>
                <w:lang w:val="kk-KZ"/>
              </w:rPr>
            </w:pPr>
            <w:r w:rsidRPr="00306051">
              <w:rPr>
                <w:rFonts w:ascii="Times New Roman" w:eastAsia="Calibri" w:hAnsi="Times New Roman" w:cs="Times New Roman"/>
                <w:sz w:val="24"/>
                <w:szCs w:val="24"/>
                <w:lang w:val="kk-KZ"/>
              </w:rPr>
              <w:lastRenderedPageBreak/>
              <w:t xml:space="preserve">Тенофовир дизопроксил фумаратын, софосбувирді/велпатасвирді/ воксилапревирді және лопинавирді/ритонавирді бірге енгізгенде, тенофовирдің плазмадағы концентрациясының жоғарылауы тенофовир дизопроксил фумаратына жағымсыз реакцияларды, соның ішінде, бүйрек бұзылуларын күшейтуі мүмкін. Тенофовир дизопроксил фумаратының  софосбувирмен/ велпатасвирмен/воксилапревирмен және фармакокинетикалық күшейткішпен (мысалы, ритонавирмен немесе кобицистатпен) бірге </w:t>
            </w:r>
            <w:r w:rsidRPr="00306051">
              <w:rPr>
                <w:rFonts w:ascii="Times New Roman" w:eastAsia="Calibri" w:hAnsi="Times New Roman" w:cs="Times New Roman"/>
                <w:sz w:val="24"/>
                <w:szCs w:val="24"/>
                <w:lang w:val="kk-KZ"/>
              </w:rPr>
              <w:lastRenderedPageBreak/>
              <w:t>қолданылғандағы қауіпсіздігі анықталмаған</w:t>
            </w:r>
            <w:r w:rsidRPr="00306051">
              <w:rPr>
                <w:rFonts w:ascii="Times New Roman" w:hAnsi="Times New Roman" w:cs="Times New Roman"/>
                <w:sz w:val="24"/>
                <w:szCs w:val="24"/>
                <w:lang w:val="kk-KZ"/>
              </w:rPr>
              <w:t>.</w:t>
            </w:r>
          </w:p>
          <w:p w14:paraId="3EEB4FB5" w14:textId="77777777" w:rsidR="00607595" w:rsidRPr="00306051" w:rsidRDefault="00607595">
            <w:pPr>
              <w:spacing w:after="0" w:line="100" w:lineRule="atLeast"/>
              <w:jc w:val="both"/>
              <w:rPr>
                <w:lang w:val="kk-KZ"/>
              </w:rPr>
            </w:pPr>
            <w:r w:rsidRPr="00306051">
              <w:rPr>
                <w:rFonts w:ascii="Times New Roman" w:hAnsi="Times New Roman" w:cs="Times New Roman"/>
                <w:sz w:val="24"/>
                <w:szCs w:val="24"/>
                <w:lang w:val="kk-KZ"/>
              </w:rPr>
              <w:t>Бүйрек функциясын мұқият қадағалау керек (4.4 бөлімін қараңыз).</w:t>
            </w:r>
          </w:p>
        </w:tc>
      </w:tr>
      <w:tr w:rsidR="00607595" w:rsidRPr="00306051" w14:paraId="5C82D0AC" w14:textId="77777777" w:rsidTr="00B22B57">
        <w:tc>
          <w:tcPr>
            <w:tcW w:w="3073" w:type="dxa"/>
            <w:shd w:val="clear" w:color="auto" w:fill="auto"/>
          </w:tcPr>
          <w:p w14:paraId="78E9B26E"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lastRenderedPageBreak/>
              <w:t>Софосбувир</w:t>
            </w:r>
          </w:p>
          <w:p w14:paraId="386F242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(400 мг q.d.) +</w:t>
            </w:r>
          </w:p>
          <w:p w14:paraId="1ACA4E6D"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Эфавиренз/Эмтрицитабин/Тенофовир дизопроксил фумараты</w:t>
            </w:r>
          </w:p>
          <w:p w14:paraId="5E2F5ACD"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 xml:space="preserve">(600 мг/200 мг/300 мг </w:t>
            </w:r>
            <w:proofErr w:type="spellStart"/>
            <w:r w:rsidRPr="00306051">
              <w:rPr>
                <w:rFonts w:ascii="Times New Roman" w:eastAsia="Calibri" w:hAnsi="Times New Roman" w:cs="Times New Roman"/>
                <w:sz w:val="24"/>
                <w:szCs w:val="24"/>
              </w:rPr>
              <w:t>q.d</w:t>
            </w:r>
            <w:proofErr w:type="spellEnd"/>
            <w:r w:rsidRPr="00306051">
              <w:rPr>
                <w:rFonts w:ascii="Times New Roman" w:eastAsia="Calibri" w:hAnsi="Times New Roman" w:cs="Times New Roman"/>
                <w:sz w:val="24"/>
                <w:szCs w:val="24"/>
              </w:rPr>
              <w:t>.)</w:t>
            </w:r>
          </w:p>
        </w:tc>
        <w:tc>
          <w:tcPr>
            <w:tcW w:w="3073" w:type="dxa"/>
            <w:shd w:val="clear" w:color="auto" w:fill="auto"/>
          </w:tcPr>
          <w:p w14:paraId="59BB54F2"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Софосбувир</w:t>
            </w:r>
            <w:proofErr w:type="spellEnd"/>
            <w:r w:rsidRPr="00306051">
              <w:rPr>
                <w:rFonts w:ascii="Times New Roman" w:eastAsia="Calibri" w:hAnsi="Times New Roman" w:cs="Times New Roman"/>
                <w:sz w:val="24"/>
                <w:szCs w:val="24"/>
              </w:rPr>
              <w:t>:</w:t>
            </w:r>
          </w:p>
          <w:p w14:paraId="02B6A607"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340C136A"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19 % (↓ 40–↑ 10)</w:t>
            </w:r>
          </w:p>
          <w:p w14:paraId="4E519E2E"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GS</w:t>
            </w:r>
            <w:r w:rsidRPr="00306051">
              <w:rPr>
                <w:rFonts w:ascii="Times New Roman" w:eastAsia="Calibri" w:hAnsi="Times New Roman" w:cs="Times New Roman"/>
                <w:sz w:val="24"/>
                <w:szCs w:val="24"/>
              </w:rPr>
              <w:noBreakHyphen/>
              <w:t>331007</w:t>
            </w:r>
            <w:r w:rsidRPr="00306051">
              <w:rPr>
                <w:rFonts w:ascii="Times New Roman" w:eastAsia="Calibri" w:hAnsi="Times New Roman" w:cs="Times New Roman"/>
                <w:sz w:val="24"/>
                <w:szCs w:val="24"/>
                <w:vertAlign w:val="superscript"/>
              </w:rPr>
              <w:t>2</w:t>
            </w:r>
            <w:r w:rsidRPr="00306051">
              <w:rPr>
                <w:rFonts w:ascii="Times New Roman" w:eastAsia="Calibri" w:hAnsi="Times New Roman" w:cs="Times New Roman"/>
                <w:sz w:val="24"/>
                <w:szCs w:val="24"/>
              </w:rPr>
              <w:t>:</w:t>
            </w:r>
          </w:p>
          <w:p w14:paraId="2C2E1EEF"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00657099"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23 % (↓ 30–↑ 16)</w:t>
            </w:r>
          </w:p>
          <w:p w14:paraId="4E9D52C8"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Эфавиренз</w:t>
            </w:r>
            <w:proofErr w:type="spellEnd"/>
            <w:r w:rsidRPr="00306051">
              <w:rPr>
                <w:rFonts w:ascii="Times New Roman" w:eastAsia="Calibri" w:hAnsi="Times New Roman" w:cs="Times New Roman"/>
                <w:sz w:val="24"/>
                <w:szCs w:val="24"/>
              </w:rPr>
              <w:t>:</w:t>
            </w:r>
          </w:p>
          <w:p w14:paraId="047D9B27"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61B5D685"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17F3A4B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7903496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
          <w:p w14:paraId="0E252DAD"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4355ED2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w:t>
            </w:r>
          </w:p>
          <w:p w14:paraId="52790BC6"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p w14:paraId="08C593C2"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w:t>
            </w:r>
          </w:p>
          <w:p w14:paraId="1EC23160"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w:t>
            </w:r>
          </w:p>
          <w:p w14:paraId="1AECF6A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25 % (↑ 8–↑ 45)</w:t>
            </w:r>
          </w:p>
          <w:p w14:paraId="0FC06401"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w:t>
            </w:r>
          </w:p>
        </w:tc>
        <w:tc>
          <w:tcPr>
            <w:tcW w:w="3084" w:type="dxa"/>
            <w:shd w:val="clear" w:color="auto" w:fill="auto"/>
          </w:tcPr>
          <w:p w14:paraId="62C93854" w14:textId="77777777" w:rsidR="00607595" w:rsidRPr="00306051" w:rsidRDefault="00607595">
            <w:pPr>
              <w:spacing w:after="0" w:line="100" w:lineRule="atLeast"/>
              <w:jc w:val="both"/>
            </w:pPr>
            <w:proofErr w:type="spellStart"/>
            <w:r w:rsidRPr="00306051">
              <w:rPr>
                <w:rFonts w:ascii="Times New Roman" w:eastAsia="Calibri" w:hAnsi="Times New Roman" w:cs="Times New Roman"/>
                <w:sz w:val="24"/>
                <w:szCs w:val="24"/>
              </w:rPr>
              <w:t>Дозасын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түзету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қажет</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емес</w:t>
            </w:r>
            <w:proofErr w:type="spellEnd"/>
            <w:r w:rsidRPr="00306051">
              <w:rPr>
                <w:rFonts w:ascii="Times New Roman" w:eastAsia="Calibri" w:hAnsi="Times New Roman" w:cs="Times New Roman"/>
                <w:sz w:val="24"/>
                <w:szCs w:val="24"/>
              </w:rPr>
              <w:t>.</w:t>
            </w:r>
          </w:p>
        </w:tc>
      </w:tr>
      <w:tr w:rsidR="00607595" w:rsidRPr="00306051" w14:paraId="18CAAC56" w14:textId="77777777" w:rsidTr="00B22B57">
        <w:tc>
          <w:tcPr>
            <w:tcW w:w="3073" w:type="dxa"/>
            <w:shd w:val="clear" w:color="auto" w:fill="auto"/>
          </w:tcPr>
          <w:p w14:paraId="218C2E61"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Рибавирин</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tc>
        <w:tc>
          <w:tcPr>
            <w:tcW w:w="3073" w:type="dxa"/>
            <w:shd w:val="clear" w:color="auto" w:fill="auto"/>
          </w:tcPr>
          <w:p w14:paraId="19DBF53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Рибавирин:</w:t>
            </w:r>
          </w:p>
          <w:p w14:paraId="265A03E3"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26 % (↑ 20–↑ 32)</w:t>
            </w:r>
          </w:p>
          <w:p w14:paraId="6653DFF3"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5 % (↓ 11–↑ 1)</w:t>
            </w:r>
          </w:p>
          <w:p w14:paraId="3AC347DE"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АЖ</w:t>
            </w:r>
          </w:p>
        </w:tc>
        <w:tc>
          <w:tcPr>
            <w:tcW w:w="3084" w:type="dxa"/>
            <w:shd w:val="clear" w:color="auto" w:fill="auto"/>
          </w:tcPr>
          <w:p w14:paraId="70A8DA46" w14:textId="77777777" w:rsidR="00607595" w:rsidRPr="00306051" w:rsidRDefault="00607595">
            <w:pPr>
              <w:spacing w:after="0" w:line="100" w:lineRule="atLeast"/>
              <w:jc w:val="both"/>
            </w:pPr>
            <w:r w:rsidRPr="00306051">
              <w:rPr>
                <w:rFonts w:ascii="Times New Roman" w:eastAsia="Calibri" w:hAnsi="Times New Roman" w:cs="Times New Roman"/>
                <w:sz w:val="24"/>
                <w:szCs w:val="24"/>
                <w:lang w:val="kk-KZ"/>
              </w:rPr>
              <w:t>Р</w:t>
            </w:r>
            <w:proofErr w:type="spellStart"/>
            <w:r w:rsidRPr="00306051">
              <w:rPr>
                <w:rFonts w:ascii="Times New Roman" w:eastAsia="Calibri" w:hAnsi="Times New Roman" w:cs="Times New Roman"/>
                <w:sz w:val="24"/>
                <w:szCs w:val="24"/>
              </w:rPr>
              <w:t>ибавирин</w:t>
            </w:r>
            <w:proofErr w:type="spellEnd"/>
            <w:r w:rsidRPr="00306051">
              <w:rPr>
                <w:rFonts w:ascii="Times New Roman" w:eastAsia="Calibri" w:hAnsi="Times New Roman" w:cs="Times New Roman"/>
                <w:sz w:val="24"/>
                <w:szCs w:val="24"/>
                <w:lang w:val="kk-KZ"/>
              </w:rPr>
              <w:t>нің</w:t>
            </w:r>
            <w:r w:rsidRPr="00306051">
              <w:rPr>
                <w:rFonts w:ascii="Times New Roman" w:eastAsia="Calibri" w:hAnsi="Times New Roman" w:cs="Times New Roman"/>
                <w:sz w:val="24"/>
                <w:szCs w:val="24"/>
              </w:rPr>
              <w:t xml:space="preserve"> доз</w:t>
            </w:r>
            <w:r w:rsidRPr="00306051">
              <w:rPr>
                <w:rFonts w:ascii="Times New Roman" w:eastAsia="Calibri" w:hAnsi="Times New Roman" w:cs="Times New Roman"/>
                <w:sz w:val="24"/>
                <w:szCs w:val="24"/>
                <w:lang w:val="kk-KZ"/>
              </w:rPr>
              <w:t>ас</w:t>
            </w:r>
            <w:r w:rsidRPr="00306051">
              <w:rPr>
                <w:rFonts w:ascii="Times New Roman" w:eastAsia="Calibri" w:hAnsi="Times New Roman" w:cs="Times New Roman"/>
                <w:sz w:val="24"/>
                <w:szCs w:val="24"/>
              </w:rPr>
              <w:t>ы</w:t>
            </w:r>
            <w:r w:rsidRPr="00306051">
              <w:rPr>
                <w:rFonts w:ascii="Times New Roman" w:eastAsia="Calibri" w:hAnsi="Times New Roman" w:cs="Times New Roman"/>
                <w:sz w:val="24"/>
                <w:szCs w:val="24"/>
                <w:lang w:val="kk-KZ"/>
              </w:rPr>
              <w:t>н түзету қажет емес</w:t>
            </w:r>
            <w:r w:rsidRPr="00306051">
              <w:rPr>
                <w:rFonts w:ascii="Times New Roman" w:eastAsia="Calibri" w:hAnsi="Times New Roman" w:cs="Times New Roman"/>
                <w:sz w:val="24"/>
                <w:szCs w:val="24"/>
              </w:rPr>
              <w:t>.</w:t>
            </w:r>
          </w:p>
        </w:tc>
      </w:tr>
      <w:tr w:rsidR="00B22B57" w:rsidRPr="00306051" w14:paraId="3069B9C0" w14:textId="77777777" w:rsidTr="00681378">
        <w:tblPrEx>
          <w:tblCellMar>
            <w:left w:w="0" w:type="dxa"/>
            <w:right w:w="0" w:type="dxa"/>
          </w:tblCellMar>
        </w:tblPrEx>
        <w:tc>
          <w:tcPr>
            <w:tcW w:w="9230" w:type="dxa"/>
            <w:gridSpan w:val="3"/>
            <w:shd w:val="clear" w:color="auto" w:fill="auto"/>
          </w:tcPr>
          <w:p w14:paraId="3242314A" w14:textId="77777777" w:rsidR="00B22B57" w:rsidRPr="00306051" w:rsidRDefault="00B22B57" w:rsidP="00D52051">
            <w:pPr>
              <w:snapToGrid w:val="0"/>
              <w:spacing w:after="0" w:line="240" w:lineRule="auto"/>
            </w:pPr>
            <w:r w:rsidRPr="00306051">
              <w:rPr>
                <w:rFonts w:ascii="Times New Roman" w:eastAsia="Calibri" w:hAnsi="Times New Roman" w:cs="Times New Roman"/>
                <w:b/>
                <w:sz w:val="24"/>
                <w:szCs w:val="24"/>
                <w:lang w:val="kk-KZ"/>
              </w:rPr>
              <w:t>Г</w:t>
            </w:r>
            <w:proofErr w:type="spellStart"/>
            <w:r w:rsidRPr="00306051">
              <w:rPr>
                <w:rFonts w:ascii="Times New Roman" w:eastAsia="Calibri" w:hAnsi="Times New Roman" w:cs="Times New Roman"/>
                <w:b/>
                <w:sz w:val="24"/>
                <w:szCs w:val="24"/>
              </w:rPr>
              <w:t>ерпес</w:t>
            </w:r>
            <w:proofErr w:type="spellEnd"/>
            <w:r w:rsidRPr="00306051">
              <w:rPr>
                <w:rFonts w:ascii="Times New Roman" w:eastAsia="Calibri" w:hAnsi="Times New Roman" w:cs="Times New Roman"/>
                <w:b/>
                <w:sz w:val="24"/>
                <w:szCs w:val="24"/>
              </w:rPr>
              <w:t xml:space="preserve"> вирус</w:t>
            </w:r>
            <w:r w:rsidRPr="00306051">
              <w:rPr>
                <w:rFonts w:ascii="Times New Roman" w:eastAsia="Calibri" w:hAnsi="Times New Roman" w:cs="Times New Roman"/>
                <w:b/>
                <w:sz w:val="24"/>
                <w:szCs w:val="24"/>
                <w:lang w:val="kk-KZ"/>
              </w:rPr>
              <w:t>ына әсер ететін дәрілер</w:t>
            </w:r>
          </w:p>
        </w:tc>
      </w:tr>
      <w:tr w:rsidR="00607595" w:rsidRPr="007A5E44" w14:paraId="2110DE31" w14:textId="77777777" w:rsidTr="00B22B57">
        <w:tc>
          <w:tcPr>
            <w:tcW w:w="3073" w:type="dxa"/>
            <w:shd w:val="clear" w:color="auto" w:fill="auto"/>
          </w:tcPr>
          <w:p w14:paraId="6307DABB"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Фамцикловир/</w:t>
            </w:r>
            <w:proofErr w:type="spellStart"/>
            <w:r w:rsidRPr="00306051">
              <w:rPr>
                <w:rFonts w:ascii="Times New Roman" w:eastAsia="Calibri" w:hAnsi="Times New Roman" w:cs="Times New Roman"/>
                <w:sz w:val="24"/>
                <w:szCs w:val="24"/>
              </w:rPr>
              <w:t>Эмтрицитабин</w:t>
            </w:r>
            <w:proofErr w:type="spellEnd"/>
          </w:p>
        </w:tc>
        <w:tc>
          <w:tcPr>
            <w:tcW w:w="3073" w:type="dxa"/>
            <w:shd w:val="clear" w:color="auto" w:fill="auto"/>
          </w:tcPr>
          <w:p w14:paraId="3F5F2BEC"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Фамцикловир:</w:t>
            </w:r>
          </w:p>
          <w:p w14:paraId="4124DD78"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9 % (↓ 16–↓ 1)</w:t>
            </w:r>
          </w:p>
          <w:p w14:paraId="3E510B2D"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7 % (↓ 22–↑ 11)</w:t>
            </w:r>
          </w:p>
          <w:p w14:paraId="46269B3C" w14:textId="77777777" w:rsidR="00607595" w:rsidRPr="00306051" w:rsidRDefault="00607595">
            <w:pPr>
              <w:spacing w:after="0" w:line="100" w:lineRule="atLeast"/>
              <w:jc w:val="both"/>
              <w:rPr>
                <w:rFonts w:ascii="Times New Roman" w:eastAsia="Calibri" w:hAnsi="Times New Roman" w:cs="Times New Roman"/>
                <w:b/>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АЖ</w:t>
            </w:r>
          </w:p>
          <w:p w14:paraId="521E1720" w14:textId="77777777" w:rsidR="00607595" w:rsidRPr="00306051" w:rsidRDefault="00607595">
            <w:pPr>
              <w:spacing w:after="0" w:line="100" w:lineRule="atLeast"/>
              <w:jc w:val="both"/>
              <w:rPr>
                <w:rFonts w:ascii="Times New Roman" w:eastAsia="Calibri" w:hAnsi="Times New Roman" w:cs="Times New Roman"/>
                <w:b/>
                <w:sz w:val="24"/>
                <w:szCs w:val="24"/>
              </w:rPr>
            </w:pPr>
          </w:p>
          <w:p w14:paraId="676A07A8"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
          <w:p w14:paraId="69B49A7C"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7 % (↓ 13–↓ 1)</w:t>
            </w:r>
          </w:p>
          <w:p w14:paraId="50977AC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11 % (↓ 20–↑ 1)</w:t>
            </w:r>
          </w:p>
          <w:p w14:paraId="5E4F4963"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АЖ</w:t>
            </w:r>
          </w:p>
        </w:tc>
        <w:tc>
          <w:tcPr>
            <w:tcW w:w="3084" w:type="dxa"/>
            <w:shd w:val="clear" w:color="auto" w:fill="auto"/>
          </w:tcPr>
          <w:p w14:paraId="22BF5447" w14:textId="77777777" w:rsidR="00607595" w:rsidRPr="00306051" w:rsidRDefault="00607595">
            <w:pPr>
              <w:spacing w:after="0" w:line="100" w:lineRule="atLeast"/>
              <w:jc w:val="both"/>
              <w:rPr>
                <w:lang w:val="kk-KZ"/>
              </w:rPr>
            </w:pPr>
            <w:r w:rsidRPr="00306051">
              <w:rPr>
                <w:rFonts w:ascii="Times New Roman" w:eastAsia="Calibri" w:hAnsi="Times New Roman" w:cs="Times New Roman"/>
                <w:sz w:val="24"/>
                <w:szCs w:val="24"/>
                <w:lang w:val="kk-KZ"/>
              </w:rPr>
              <w:t>Фамцикловирдің дозасын түзету қажет емес.</w:t>
            </w:r>
          </w:p>
        </w:tc>
      </w:tr>
      <w:tr w:rsidR="00B22B57" w:rsidRPr="00306051" w14:paraId="7C27C8C8" w14:textId="77777777" w:rsidTr="00681378">
        <w:tblPrEx>
          <w:tblCellMar>
            <w:left w:w="0" w:type="dxa"/>
            <w:right w:w="0" w:type="dxa"/>
          </w:tblCellMar>
        </w:tblPrEx>
        <w:tc>
          <w:tcPr>
            <w:tcW w:w="9230" w:type="dxa"/>
            <w:gridSpan w:val="3"/>
            <w:shd w:val="clear" w:color="auto" w:fill="auto"/>
          </w:tcPr>
          <w:p w14:paraId="1F28D2B2" w14:textId="77777777" w:rsidR="00B22B57" w:rsidRPr="00306051" w:rsidRDefault="00B22B57" w:rsidP="00D52051">
            <w:pPr>
              <w:snapToGrid w:val="0"/>
              <w:spacing w:after="0" w:line="240" w:lineRule="auto"/>
            </w:pPr>
            <w:r w:rsidRPr="00306051">
              <w:rPr>
                <w:rFonts w:ascii="Times New Roman" w:eastAsia="Calibri" w:hAnsi="Times New Roman" w:cs="Times New Roman"/>
                <w:b/>
                <w:sz w:val="24"/>
                <w:szCs w:val="24"/>
                <w:lang w:val="kk-KZ"/>
              </w:rPr>
              <w:t>М</w:t>
            </w:r>
            <w:proofErr w:type="spellStart"/>
            <w:r w:rsidRPr="00306051">
              <w:rPr>
                <w:rFonts w:ascii="Times New Roman" w:eastAsia="Calibri" w:hAnsi="Times New Roman" w:cs="Times New Roman"/>
                <w:b/>
                <w:sz w:val="24"/>
                <w:szCs w:val="24"/>
              </w:rPr>
              <w:t>икобактери</w:t>
            </w:r>
            <w:proofErr w:type="spellEnd"/>
            <w:r w:rsidRPr="00306051">
              <w:rPr>
                <w:rFonts w:ascii="Times New Roman" w:eastAsia="Calibri" w:hAnsi="Times New Roman" w:cs="Times New Roman"/>
                <w:b/>
                <w:sz w:val="24"/>
                <w:szCs w:val="24"/>
                <w:lang w:val="kk-KZ"/>
              </w:rPr>
              <w:t>яғ</w:t>
            </w:r>
            <w:r w:rsidRPr="00306051">
              <w:rPr>
                <w:rFonts w:ascii="Times New Roman" w:eastAsia="Calibri" w:hAnsi="Times New Roman" w:cs="Times New Roman"/>
                <w:b/>
                <w:sz w:val="24"/>
                <w:szCs w:val="24"/>
              </w:rPr>
              <w:t>а</w:t>
            </w:r>
            <w:r w:rsidRPr="00306051">
              <w:rPr>
                <w:rFonts w:ascii="Times New Roman" w:eastAsia="Calibri" w:hAnsi="Times New Roman" w:cs="Times New Roman"/>
                <w:b/>
                <w:sz w:val="24"/>
                <w:szCs w:val="24"/>
                <w:lang w:val="kk-KZ"/>
              </w:rPr>
              <w:t xml:space="preserve"> қарсы препараттар</w:t>
            </w:r>
          </w:p>
        </w:tc>
      </w:tr>
      <w:tr w:rsidR="00607595" w:rsidRPr="00306051" w14:paraId="4602D11C" w14:textId="77777777" w:rsidTr="00B22B57">
        <w:tc>
          <w:tcPr>
            <w:tcW w:w="3073" w:type="dxa"/>
            <w:shd w:val="clear" w:color="auto" w:fill="auto"/>
          </w:tcPr>
          <w:p w14:paraId="1D4EA3DC"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Рифампицин</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tc>
        <w:tc>
          <w:tcPr>
            <w:tcW w:w="3073" w:type="dxa"/>
            <w:shd w:val="clear" w:color="auto" w:fill="auto"/>
          </w:tcPr>
          <w:p w14:paraId="6CF0E47E"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w:t>
            </w:r>
          </w:p>
          <w:p w14:paraId="707AB11A"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12 % (↓ 16–↓ 8)</w:t>
            </w:r>
          </w:p>
          <w:p w14:paraId="2DE9320D"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16 % (↓ 22–↓ 10)</w:t>
            </w:r>
          </w:p>
          <w:p w14:paraId="6631DD16"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15 % (↓ 12–↓ 9)</w:t>
            </w:r>
          </w:p>
        </w:tc>
        <w:tc>
          <w:tcPr>
            <w:tcW w:w="3084" w:type="dxa"/>
            <w:shd w:val="clear" w:color="auto" w:fill="auto"/>
          </w:tcPr>
          <w:p w14:paraId="21FB6FF5" w14:textId="77777777" w:rsidR="00607595" w:rsidRPr="00306051" w:rsidRDefault="00607595">
            <w:pPr>
              <w:spacing w:after="0" w:line="100" w:lineRule="atLeast"/>
              <w:jc w:val="both"/>
            </w:pPr>
            <w:proofErr w:type="spellStart"/>
            <w:r w:rsidRPr="00306051">
              <w:rPr>
                <w:rFonts w:ascii="Times New Roman" w:eastAsia="Calibri" w:hAnsi="Times New Roman" w:cs="Times New Roman"/>
                <w:sz w:val="24"/>
                <w:szCs w:val="24"/>
              </w:rPr>
              <w:t>Дозасын</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түзету</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қажет</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емес</w:t>
            </w:r>
            <w:proofErr w:type="spellEnd"/>
            <w:r w:rsidRPr="00306051">
              <w:rPr>
                <w:rFonts w:ascii="Times New Roman" w:eastAsia="Calibri" w:hAnsi="Times New Roman" w:cs="Times New Roman"/>
                <w:sz w:val="24"/>
                <w:szCs w:val="24"/>
              </w:rPr>
              <w:t>.</w:t>
            </w:r>
          </w:p>
        </w:tc>
      </w:tr>
      <w:tr w:rsidR="00B22B57" w:rsidRPr="00306051" w14:paraId="75B480CD" w14:textId="77777777" w:rsidTr="00681378">
        <w:tblPrEx>
          <w:tblCellMar>
            <w:left w:w="0" w:type="dxa"/>
            <w:right w:w="0" w:type="dxa"/>
          </w:tblCellMar>
        </w:tblPrEx>
        <w:tc>
          <w:tcPr>
            <w:tcW w:w="9230" w:type="dxa"/>
            <w:gridSpan w:val="3"/>
            <w:shd w:val="clear" w:color="auto" w:fill="auto"/>
          </w:tcPr>
          <w:p w14:paraId="751D0778" w14:textId="77777777" w:rsidR="00B22B57" w:rsidRPr="00306051" w:rsidRDefault="00B22B57" w:rsidP="00D52051">
            <w:pPr>
              <w:snapToGrid w:val="0"/>
              <w:spacing w:after="0" w:line="240" w:lineRule="auto"/>
            </w:pPr>
            <w:r w:rsidRPr="00306051">
              <w:rPr>
                <w:rFonts w:ascii="Times New Roman" w:eastAsia="Calibri" w:hAnsi="Times New Roman" w:cs="Times New Roman"/>
                <w:b/>
                <w:i/>
                <w:sz w:val="24"/>
                <w:szCs w:val="24"/>
              </w:rPr>
              <w:t>ПЕРОРАЛЬ</w:t>
            </w:r>
            <w:r w:rsidRPr="00306051">
              <w:rPr>
                <w:rFonts w:ascii="Times New Roman" w:eastAsia="Calibri" w:hAnsi="Times New Roman" w:cs="Times New Roman"/>
                <w:b/>
                <w:i/>
                <w:sz w:val="24"/>
                <w:szCs w:val="24"/>
                <w:lang w:val="kk-KZ"/>
              </w:rPr>
              <w:t>ДІ</w:t>
            </w:r>
            <w:r w:rsidRPr="00306051">
              <w:rPr>
                <w:rFonts w:ascii="Times New Roman" w:eastAsia="Calibri" w:hAnsi="Times New Roman" w:cs="Times New Roman"/>
                <w:b/>
                <w:i/>
                <w:sz w:val="24"/>
                <w:szCs w:val="24"/>
              </w:rPr>
              <w:t xml:space="preserve"> КОНТРАЦЕПТИВ</w:t>
            </w:r>
            <w:r w:rsidRPr="00306051">
              <w:rPr>
                <w:rFonts w:ascii="Times New Roman" w:eastAsia="Calibri" w:hAnsi="Times New Roman" w:cs="Times New Roman"/>
                <w:b/>
                <w:i/>
                <w:sz w:val="24"/>
                <w:szCs w:val="24"/>
                <w:lang w:val="kk-KZ"/>
              </w:rPr>
              <w:t>ТЕР</w:t>
            </w:r>
          </w:p>
        </w:tc>
      </w:tr>
      <w:tr w:rsidR="00607595" w:rsidRPr="007A5E44" w14:paraId="446496F8" w14:textId="77777777" w:rsidTr="00B22B57">
        <w:tc>
          <w:tcPr>
            <w:tcW w:w="3073" w:type="dxa"/>
            <w:shd w:val="clear" w:color="auto" w:fill="auto"/>
          </w:tcPr>
          <w:p w14:paraId="28BE1C34"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Норгестимат</w:t>
            </w:r>
            <w:proofErr w:type="spellEnd"/>
            <w:r w:rsidRPr="00306051">
              <w:rPr>
                <w:rFonts w:ascii="Times New Roman" w:eastAsia="Calibri" w:hAnsi="Times New Roman" w:cs="Times New Roman"/>
                <w:sz w:val="24"/>
                <w:szCs w:val="24"/>
              </w:rPr>
              <w:t>/Этинилэстрадиол/</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tc>
        <w:tc>
          <w:tcPr>
            <w:tcW w:w="3073" w:type="dxa"/>
            <w:shd w:val="clear" w:color="auto" w:fill="auto"/>
          </w:tcPr>
          <w:p w14:paraId="204CC7BE"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Норгестимат:</w:t>
            </w:r>
          </w:p>
          <w:p w14:paraId="3C977720"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4 % (↓ 32–↑ 34)</w:t>
            </w:r>
          </w:p>
          <w:p w14:paraId="19C1DBD2"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5 % (↓ 27–↑ 24)</w:t>
            </w:r>
          </w:p>
          <w:p w14:paraId="3D1ACEEC"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r w:rsidRPr="00306051">
              <w:rPr>
                <w:rFonts w:ascii="Times New Roman" w:eastAsia="Calibri" w:hAnsi="Times New Roman" w:cs="Times New Roman"/>
                <w:sz w:val="24"/>
                <w:szCs w:val="24"/>
                <w:lang w:val="kk-KZ"/>
              </w:rPr>
              <w:lastRenderedPageBreak/>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АЖ</w:t>
            </w:r>
          </w:p>
          <w:p w14:paraId="48810016" w14:textId="77777777" w:rsidR="00607595" w:rsidRPr="00306051" w:rsidRDefault="00607595">
            <w:pPr>
              <w:spacing w:after="0" w:line="100" w:lineRule="atLeast"/>
              <w:jc w:val="both"/>
              <w:rPr>
                <w:rFonts w:ascii="Times New Roman" w:eastAsia="Calibri" w:hAnsi="Times New Roman" w:cs="Times New Roman"/>
                <w:b/>
                <w:sz w:val="24"/>
                <w:szCs w:val="24"/>
                <w:lang w:val="kk-KZ"/>
              </w:rPr>
            </w:pPr>
          </w:p>
          <w:p w14:paraId="17ED295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Этинилэстрадиол:</w:t>
            </w:r>
          </w:p>
          <w:p w14:paraId="005847FA"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4 % (↓ 9–↑ 0)</w:t>
            </w:r>
          </w:p>
          <w:p w14:paraId="55CDF2F9"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6 % (↓ 13–↑ 0)</w:t>
            </w:r>
          </w:p>
          <w:p w14:paraId="58EF1A4A"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 2 % (↓ 9–↑ 6)</w:t>
            </w:r>
          </w:p>
        </w:tc>
        <w:tc>
          <w:tcPr>
            <w:tcW w:w="3084" w:type="dxa"/>
            <w:shd w:val="clear" w:color="auto" w:fill="auto"/>
          </w:tcPr>
          <w:p w14:paraId="67D07D52" w14:textId="77777777" w:rsidR="00607595" w:rsidRPr="00306051" w:rsidRDefault="00607595">
            <w:pPr>
              <w:spacing w:after="0" w:line="100" w:lineRule="atLeast"/>
              <w:jc w:val="both"/>
              <w:rPr>
                <w:lang w:val="kk-KZ"/>
              </w:rPr>
            </w:pPr>
            <w:r w:rsidRPr="00306051">
              <w:rPr>
                <w:rFonts w:ascii="Times New Roman" w:eastAsia="Calibri" w:hAnsi="Times New Roman" w:cs="Times New Roman"/>
                <w:sz w:val="24"/>
                <w:szCs w:val="24"/>
                <w:lang w:val="kk-KZ"/>
              </w:rPr>
              <w:lastRenderedPageBreak/>
              <w:t>Норгестиматтың/этинилэстрадиолдың дозасын түзету қажет емес.</w:t>
            </w:r>
          </w:p>
        </w:tc>
      </w:tr>
      <w:tr w:rsidR="00B22B57" w:rsidRPr="00306051" w14:paraId="47ADE932" w14:textId="77777777" w:rsidTr="00681378">
        <w:tblPrEx>
          <w:tblCellMar>
            <w:left w:w="0" w:type="dxa"/>
            <w:right w:w="0" w:type="dxa"/>
          </w:tblCellMar>
        </w:tblPrEx>
        <w:tc>
          <w:tcPr>
            <w:tcW w:w="9230" w:type="dxa"/>
            <w:gridSpan w:val="3"/>
            <w:shd w:val="clear" w:color="auto" w:fill="auto"/>
          </w:tcPr>
          <w:p w14:paraId="62007C50" w14:textId="77777777" w:rsidR="00B22B57" w:rsidRPr="00306051" w:rsidRDefault="00B22B57" w:rsidP="00D52051">
            <w:pPr>
              <w:snapToGrid w:val="0"/>
              <w:spacing w:after="0" w:line="240" w:lineRule="auto"/>
            </w:pPr>
            <w:r w:rsidRPr="00306051">
              <w:rPr>
                <w:rFonts w:ascii="Times New Roman" w:eastAsia="Calibri" w:hAnsi="Times New Roman" w:cs="Times New Roman"/>
                <w:b/>
                <w:i/>
                <w:sz w:val="24"/>
                <w:szCs w:val="24"/>
              </w:rPr>
              <w:t>ИММУНОДЕПРЕССАНТ</w:t>
            </w:r>
            <w:r w:rsidRPr="00306051">
              <w:rPr>
                <w:rFonts w:ascii="Times New Roman" w:eastAsia="Calibri" w:hAnsi="Times New Roman" w:cs="Times New Roman"/>
                <w:b/>
                <w:i/>
                <w:sz w:val="24"/>
                <w:szCs w:val="24"/>
                <w:lang w:val="kk-KZ"/>
              </w:rPr>
              <w:t>ТАР</w:t>
            </w:r>
          </w:p>
        </w:tc>
      </w:tr>
      <w:tr w:rsidR="00607595" w:rsidRPr="00306051" w14:paraId="351DB31C" w14:textId="77777777" w:rsidTr="00B22B57">
        <w:tc>
          <w:tcPr>
            <w:tcW w:w="3073" w:type="dxa"/>
            <w:shd w:val="clear" w:color="auto" w:fill="auto"/>
          </w:tcPr>
          <w:p w14:paraId="75D7FEB9"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Такролимус</w:t>
            </w:r>
            <w:proofErr w:type="spellEnd"/>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r w:rsidRPr="00306051">
              <w:rPr>
                <w:rFonts w:ascii="Times New Roman" w:eastAsia="Calibri" w:hAnsi="Times New Roman" w:cs="Times New Roman"/>
                <w:sz w:val="24"/>
                <w:szCs w:val="24"/>
              </w:rPr>
              <w:t>/</w:t>
            </w:r>
            <w:proofErr w:type="spellStart"/>
            <w:r w:rsidRPr="00306051">
              <w:rPr>
                <w:rFonts w:ascii="Times New Roman" w:eastAsia="Calibri" w:hAnsi="Times New Roman" w:cs="Times New Roman"/>
                <w:sz w:val="24"/>
                <w:szCs w:val="24"/>
              </w:rPr>
              <w:t>Эмтрицитабин</w:t>
            </w:r>
            <w:proofErr w:type="spellEnd"/>
          </w:p>
        </w:tc>
        <w:tc>
          <w:tcPr>
            <w:tcW w:w="3073" w:type="dxa"/>
            <w:shd w:val="clear" w:color="auto" w:fill="auto"/>
          </w:tcPr>
          <w:p w14:paraId="7A53FE0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Такролимус</w:t>
            </w:r>
            <w:proofErr w:type="spellEnd"/>
            <w:r w:rsidRPr="00306051">
              <w:rPr>
                <w:rFonts w:ascii="Times New Roman" w:eastAsia="Calibri" w:hAnsi="Times New Roman" w:cs="Times New Roman"/>
                <w:sz w:val="24"/>
                <w:szCs w:val="24"/>
              </w:rPr>
              <w:t>:</w:t>
            </w:r>
          </w:p>
          <w:p w14:paraId="03467339"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4 % (↓ 3–↑ 11)</w:t>
            </w:r>
          </w:p>
          <w:p w14:paraId="40BF093B"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3 % (↓ 3–↑ 9)</w:t>
            </w:r>
          </w:p>
          <w:p w14:paraId="7BD1E6C3"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АЖ</w:t>
            </w:r>
          </w:p>
          <w:p w14:paraId="3E8EBEE0"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Эмтрицитабин</w:t>
            </w:r>
            <w:proofErr w:type="spellEnd"/>
            <w:r w:rsidRPr="00306051">
              <w:rPr>
                <w:rFonts w:ascii="Times New Roman" w:eastAsia="Calibri" w:hAnsi="Times New Roman" w:cs="Times New Roman"/>
                <w:sz w:val="24"/>
                <w:szCs w:val="24"/>
              </w:rPr>
              <w:t>:</w:t>
            </w:r>
          </w:p>
          <w:p w14:paraId="053D70EB"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5 % (↓ 9–↓ 1)</w:t>
            </w:r>
          </w:p>
          <w:p w14:paraId="21219D2C"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 11 % (↓ 17–↓ 5)</w:t>
            </w:r>
          </w:p>
          <w:p w14:paraId="2197647F" w14:textId="77777777" w:rsidR="00607595" w:rsidRPr="00306051" w:rsidRDefault="00607595">
            <w:pPr>
              <w:spacing w:after="0" w:line="100" w:lineRule="atLeast"/>
              <w:jc w:val="both"/>
              <w:rPr>
                <w:rFonts w:ascii="Times New Roman" w:eastAsia="Calibri" w:hAnsi="Times New Roman" w:cs="Times New Roman"/>
                <w:b/>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АЖ</w:t>
            </w:r>
          </w:p>
          <w:p w14:paraId="47F728DD" w14:textId="77777777" w:rsidR="00607595" w:rsidRPr="00306051" w:rsidRDefault="00607595">
            <w:pPr>
              <w:spacing w:after="0" w:line="100" w:lineRule="atLeast"/>
              <w:jc w:val="both"/>
              <w:rPr>
                <w:rFonts w:ascii="Times New Roman" w:eastAsia="Calibri" w:hAnsi="Times New Roman" w:cs="Times New Roman"/>
                <w:b/>
                <w:sz w:val="24"/>
                <w:szCs w:val="24"/>
              </w:rPr>
            </w:pPr>
          </w:p>
          <w:p w14:paraId="6FE7801F"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w:t>
            </w:r>
          </w:p>
          <w:p w14:paraId="1F2B1D4D" w14:textId="77777777" w:rsidR="00607595" w:rsidRPr="00306051" w:rsidRDefault="00607595">
            <w:pPr>
              <w:spacing w:after="0" w:line="100" w:lineRule="atLeast"/>
              <w:jc w:val="both"/>
              <w:rPr>
                <w:rFonts w:ascii="Times New Roman" w:eastAsia="Calibri" w:hAnsi="Times New Roman" w:cs="Times New Roman"/>
                <w:sz w:val="24"/>
                <w:szCs w:val="24"/>
              </w:rPr>
            </w:pPr>
            <w:r w:rsidRPr="00306051">
              <w:rPr>
                <w:rFonts w:ascii="Times New Roman" w:eastAsia="Calibri" w:hAnsi="Times New Roman" w:cs="Times New Roman"/>
                <w:sz w:val="24"/>
                <w:szCs w:val="24"/>
              </w:rPr>
              <w:t>AUC: ↑ 6 % (↓ 1–↑ 13)</w:t>
            </w:r>
          </w:p>
          <w:p w14:paraId="540FC626" w14:textId="77777777" w:rsidR="00607595" w:rsidRPr="00306051" w:rsidRDefault="00607595">
            <w:pPr>
              <w:spacing w:after="0" w:line="100" w:lineRule="atLeast"/>
              <w:jc w:val="both"/>
              <w:rPr>
                <w:rFonts w:ascii="Times New Roman" w:eastAsia="Calibri" w:hAnsi="Times New Roman" w:cs="Times New Roman"/>
                <w:sz w:val="24"/>
                <w:szCs w:val="24"/>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max</w:t>
            </w:r>
            <w:proofErr w:type="spellEnd"/>
            <w:r w:rsidRPr="00306051">
              <w:rPr>
                <w:rFonts w:ascii="Times New Roman" w:eastAsia="Calibri" w:hAnsi="Times New Roman" w:cs="Times New Roman"/>
                <w:sz w:val="24"/>
                <w:szCs w:val="24"/>
              </w:rPr>
              <w:t>: ↑13 % (↑ 1–↑ 27)</w:t>
            </w:r>
          </w:p>
          <w:p w14:paraId="7C317BF7" w14:textId="77777777" w:rsidR="00607595" w:rsidRPr="00306051" w:rsidRDefault="00607595">
            <w:pPr>
              <w:spacing w:after="0" w:line="100" w:lineRule="atLeast"/>
              <w:jc w:val="both"/>
              <w:rPr>
                <w:rFonts w:ascii="Times New Roman" w:eastAsia="Calibri" w:hAnsi="Times New Roman" w:cs="Times New Roman"/>
                <w:sz w:val="24"/>
                <w:szCs w:val="24"/>
                <w:lang w:val="kk-KZ"/>
              </w:rPr>
            </w:pPr>
            <w:proofErr w:type="spellStart"/>
            <w:r w:rsidRPr="00306051">
              <w:rPr>
                <w:rFonts w:ascii="Times New Roman" w:eastAsia="Calibri" w:hAnsi="Times New Roman" w:cs="Times New Roman"/>
                <w:sz w:val="24"/>
                <w:szCs w:val="24"/>
              </w:rPr>
              <w:t>C</w:t>
            </w:r>
            <w:r w:rsidRPr="00306051">
              <w:rPr>
                <w:rFonts w:ascii="Times New Roman" w:eastAsia="Calibri" w:hAnsi="Times New Roman" w:cs="Times New Roman"/>
                <w:sz w:val="24"/>
                <w:szCs w:val="24"/>
                <w:vertAlign w:val="subscript"/>
              </w:rPr>
              <w:t>min</w:t>
            </w:r>
            <w:proofErr w:type="spellEnd"/>
            <w:r w:rsidRPr="00306051">
              <w:rPr>
                <w:rFonts w:ascii="Times New Roman" w:eastAsia="Calibri" w:hAnsi="Times New Roman" w:cs="Times New Roman"/>
                <w:sz w:val="24"/>
                <w:szCs w:val="24"/>
              </w:rPr>
              <w:t xml:space="preserve">: </w:t>
            </w:r>
            <w:r w:rsidRPr="00306051">
              <w:rPr>
                <w:rFonts w:ascii="Times New Roman" w:eastAsia="Calibri" w:hAnsi="Times New Roman" w:cs="Times New Roman"/>
                <w:sz w:val="24"/>
                <w:szCs w:val="24"/>
                <w:lang w:val="kk-KZ"/>
              </w:rPr>
              <w:t>АЖ</w:t>
            </w:r>
          </w:p>
        </w:tc>
        <w:tc>
          <w:tcPr>
            <w:tcW w:w="3084" w:type="dxa"/>
            <w:shd w:val="clear" w:color="auto" w:fill="auto"/>
          </w:tcPr>
          <w:p w14:paraId="116D9C9B" w14:textId="77777777" w:rsidR="00607595" w:rsidRPr="00306051" w:rsidRDefault="00607595">
            <w:pPr>
              <w:spacing w:after="0" w:line="100" w:lineRule="atLeast"/>
              <w:jc w:val="both"/>
            </w:pPr>
            <w:r w:rsidRPr="00306051">
              <w:rPr>
                <w:rFonts w:ascii="Times New Roman" w:eastAsia="Calibri" w:hAnsi="Times New Roman" w:cs="Times New Roman"/>
                <w:sz w:val="24"/>
                <w:szCs w:val="24"/>
                <w:lang w:val="kk-KZ"/>
              </w:rPr>
              <w:t>Т</w:t>
            </w:r>
            <w:proofErr w:type="spellStart"/>
            <w:r w:rsidRPr="00306051">
              <w:rPr>
                <w:rFonts w:ascii="Times New Roman" w:eastAsia="Calibri" w:hAnsi="Times New Roman" w:cs="Times New Roman"/>
                <w:sz w:val="24"/>
                <w:szCs w:val="24"/>
              </w:rPr>
              <w:t>акролимус</w:t>
            </w:r>
            <w:proofErr w:type="spellEnd"/>
            <w:r w:rsidRPr="00306051">
              <w:rPr>
                <w:rFonts w:ascii="Times New Roman" w:eastAsia="Calibri" w:hAnsi="Times New Roman" w:cs="Times New Roman"/>
                <w:sz w:val="24"/>
                <w:szCs w:val="24"/>
                <w:lang w:val="kk-KZ"/>
              </w:rPr>
              <w:t>тың</w:t>
            </w:r>
            <w:r w:rsidRPr="00306051">
              <w:rPr>
                <w:rFonts w:ascii="Times New Roman" w:eastAsia="Calibri" w:hAnsi="Times New Roman" w:cs="Times New Roman"/>
                <w:sz w:val="24"/>
                <w:szCs w:val="24"/>
              </w:rPr>
              <w:t xml:space="preserve"> доз</w:t>
            </w:r>
            <w:r w:rsidRPr="00306051">
              <w:rPr>
                <w:rFonts w:ascii="Times New Roman" w:eastAsia="Calibri" w:hAnsi="Times New Roman" w:cs="Times New Roman"/>
                <w:sz w:val="24"/>
                <w:szCs w:val="24"/>
                <w:lang w:val="kk-KZ"/>
              </w:rPr>
              <w:t>ас</w:t>
            </w:r>
            <w:r w:rsidRPr="00306051">
              <w:rPr>
                <w:rFonts w:ascii="Times New Roman" w:eastAsia="Calibri" w:hAnsi="Times New Roman" w:cs="Times New Roman"/>
                <w:sz w:val="24"/>
                <w:szCs w:val="24"/>
              </w:rPr>
              <w:t>ы</w:t>
            </w:r>
            <w:r w:rsidRPr="00306051">
              <w:rPr>
                <w:rFonts w:ascii="Times New Roman" w:eastAsia="Calibri" w:hAnsi="Times New Roman" w:cs="Times New Roman"/>
                <w:sz w:val="24"/>
                <w:szCs w:val="24"/>
                <w:lang w:val="kk-KZ"/>
              </w:rPr>
              <w:t>н түзету қажет емес</w:t>
            </w:r>
            <w:r w:rsidRPr="00306051">
              <w:rPr>
                <w:rFonts w:ascii="Times New Roman" w:eastAsia="Calibri" w:hAnsi="Times New Roman" w:cs="Times New Roman"/>
                <w:sz w:val="24"/>
                <w:szCs w:val="24"/>
              </w:rPr>
              <w:t>.</w:t>
            </w:r>
          </w:p>
        </w:tc>
      </w:tr>
      <w:tr w:rsidR="00B22B57" w:rsidRPr="00306051" w14:paraId="278A7FBC" w14:textId="77777777" w:rsidTr="00884782">
        <w:tblPrEx>
          <w:tblCellMar>
            <w:left w:w="0" w:type="dxa"/>
            <w:right w:w="0" w:type="dxa"/>
          </w:tblCellMar>
        </w:tblPrEx>
        <w:trPr>
          <w:trHeight w:val="203"/>
        </w:trPr>
        <w:tc>
          <w:tcPr>
            <w:tcW w:w="9230" w:type="dxa"/>
            <w:gridSpan w:val="3"/>
            <w:shd w:val="clear" w:color="auto" w:fill="auto"/>
          </w:tcPr>
          <w:p w14:paraId="4F6D19FB" w14:textId="77777777" w:rsidR="00B22B57" w:rsidRPr="00306051" w:rsidRDefault="00B22B57" w:rsidP="00D52051">
            <w:pPr>
              <w:snapToGrid w:val="0"/>
              <w:spacing w:after="0" w:line="240" w:lineRule="auto"/>
            </w:pPr>
            <w:r w:rsidRPr="00306051">
              <w:rPr>
                <w:rFonts w:ascii="Times New Roman" w:eastAsia="Calibri" w:hAnsi="Times New Roman" w:cs="Times New Roman"/>
                <w:b/>
                <w:i/>
                <w:sz w:val="24"/>
                <w:szCs w:val="24"/>
                <w:lang w:val="kk-KZ"/>
              </w:rPr>
              <w:t>ЕСІРТКІЛІК</w:t>
            </w:r>
            <w:r w:rsidRPr="00306051">
              <w:rPr>
                <w:rFonts w:ascii="Times New Roman" w:eastAsia="Calibri" w:hAnsi="Times New Roman" w:cs="Times New Roman"/>
                <w:b/>
                <w:i/>
                <w:sz w:val="24"/>
                <w:szCs w:val="24"/>
              </w:rPr>
              <w:t xml:space="preserve"> АНАЛЬГЕТИК</w:t>
            </w:r>
            <w:r w:rsidRPr="00306051">
              <w:rPr>
                <w:rFonts w:ascii="Times New Roman" w:eastAsia="Calibri" w:hAnsi="Times New Roman" w:cs="Times New Roman"/>
                <w:b/>
                <w:i/>
                <w:sz w:val="24"/>
                <w:szCs w:val="24"/>
                <w:lang w:val="kk-KZ"/>
              </w:rPr>
              <w:t>ТЕР</w:t>
            </w:r>
          </w:p>
        </w:tc>
      </w:tr>
      <w:tr w:rsidR="00607595" w:rsidRPr="00306051" w14:paraId="2AC20646" w14:textId="77777777" w:rsidTr="00B22B57">
        <w:tc>
          <w:tcPr>
            <w:tcW w:w="3073" w:type="dxa"/>
            <w:shd w:val="clear" w:color="auto" w:fill="auto"/>
          </w:tcPr>
          <w:p w14:paraId="07532911"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rPr>
              <w:t>Метадон/</w:t>
            </w:r>
            <w:proofErr w:type="spellStart"/>
            <w:r w:rsidRPr="00306051">
              <w:rPr>
                <w:rFonts w:ascii="Times New Roman" w:eastAsia="Calibri" w:hAnsi="Times New Roman" w:cs="Times New Roman"/>
                <w:sz w:val="24"/>
                <w:szCs w:val="24"/>
              </w:rPr>
              <w:t>Тенофовир</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дизопроксил</w:t>
            </w:r>
            <w:proofErr w:type="spellEnd"/>
            <w:r w:rsidRPr="00306051">
              <w:rPr>
                <w:rFonts w:ascii="Times New Roman" w:eastAsia="Calibri" w:hAnsi="Times New Roman" w:cs="Times New Roman"/>
                <w:sz w:val="24"/>
                <w:szCs w:val="24"/>
              </w:rPr>
              <w:t xml:space="preserve"> </w:t>
            </w:r>
            <w:proofErr w:type="spellStart"/>
            <w:r w:rsidRPr="00306051">
              <w:rPr>
                <w:rFonts w:ascii="Times New Roman" w:eastAsia="Calibri" w:hAnsi="Times New Roman" w:cs="Times New Roman"/>
                <w:sz w:val="24"/>
                <w:szCs w:val="24"/>
              </w:rPr>
              <w:t>фумарат</w:t>
            </w:r>
            <w:proofErr w:type="spellEnd"/>
            <w:r w:rsidRPr="00306051">
              <w:rPr>
                <w:rFonts w:ascii="Times New Roman" w:eastAsia="Calibri" w:hAnsi="Times New Roman" w:cs="Times New Roman"/>
                <w:sz w:val="24"/>
                <w:szCs w:val="24"/>
                <w:lang w:val="kk-KZ"/>
              </w:rPr>
              <w:t>ы</w:t>
            </w:r>
          </w:p>
        </w:tc>
        <w:tc>
          <w:tcPr>
            <w:tcW w:w="3073" w:type="dxa"/>
            <w:shd w:val="clear" w:color="auto" w:fill="auto"/>
          </w:tcPr>
          <w:p w14:paraId="1C5B1585"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Метадон:</w:t>
            </w:r>
          </w:p>
          <w:p w14:paraId="6D554676"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AUC: ↑ 5 % (↓ 2–↑ 13)</w:t>
            </w:r>
          </w:p>
          <w:p w14:paraId="7B7D1114"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max</w:t>
            </w:r>
            <w:r w:rsidRPr="00306051">
              <w:rPr>
                <w:rFonts w:ascii="Times New Roman" w:eastAsia="Calibri" w:hAnsi="Times New Roman" w:cs="Times New Roman"/>
                <w:sz w:val="24"/>
                <w:szCs w:val="24"/>
                <w:lang w:val="kk-KZ"/>
              </w:rPr>
              <w:t>: ↑ 5 % (↓ 3–↑ 14)</w:t>
            </w:r>
          </w:p>
          <w:p w14:paraId="080521F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C</w:t>
            </w:r>
            <w:r w:rsidRPr="00306051">
              <w:rPr>
                <w:rFonts w:ascii="Times New Roman" w:eastAsia="Calibri" w:hAnsi="Times New Roman" w:cs="Times New Roman"/>
                <w:sz w:val="24"/>
                <w:szCs w:val="24"/>
                <w:vertAlign w:val="subscript"/>
                <w:lang w:val="kk-KZ"/>
              </w:rPr>
              <w:t>min</w:t>
            </w:r>
            <w:r w:rsidRPr="00306051">
              <w:rPr>
                <w:rFonts w:ascii="Times New Roman" w:eastAsia="Calibri" w:hAnsi="Times New Roman" w:cs="Times New Roman"/>
                <w:sz w:val="24"/>
                <w:szCs w:val="24"/>
                <w:lang w:val="kk-KZ"/>
              </w:rPr>
              <w:t>: АЖ</w:t>
            </w:r>
          </w:p>
        </w:tc>
        <w:tc>
          <w:tcPr>
            <w:tcW w:w="3084" w:type="dxa"/>
            <w:shd w:val="clear" w:color="auto" w:fill="auto"/>
          </w:tcPr>
          <w:p w14:paraId="47F55B72" w14:textId="77777777" w:rsidR="00607595" w:rsidRPr="00306051" w:rsidRDefault="00607595">
            <w:pPr>
              <w:spacing w:after="0" w:line="100" w:lineRule="atLeast"/>
              <w:jc w:val="both"/>
            </w:pPr>
            <w:r w:rsidRPr="00306051">
              <w:rPr>
                <w:rFonts w:ascii="Times New Roman" w:eastAsia="Calibri" w:hAnsi="Times New Roman" w:cs="Times New Roman"/>
                <w:sz w:val="24"/>
                <w:szCs w:val="24"/>
                <w:lang w:val="kk-KZ"/>
              </w:rPr>
              <w:t>М</w:t>
            </w:r>
            <w:proofErr w:type="spellStart"/>
            <w:r w:rsidRPr="00306051">
              <w:rPr>
                <w:rFonts w:ascii="Times New Roman" w:eastAsia="Calibri" w:hAnsi="Times New Roman" w:cs="Times New Roman"/>
                <w:sz w:val="24"/>
                <w:szCs w:val="24"/>
              </w:rPr>
              <w:t>етадо</w:t>
            </w:r>
            <w:proofErr w:type="spellEnd"/>
            <w:r w:rsidRPr="00306051">
              <w:rPr>
                <w:rFonts w:ascii="Times New Roman" w:eastAsia="Calibri" w:hAnsi="Times New Roman" w:cs="Times New Roman"/>
                <w:sz w:val="24"/>
                <w:szCs w:val="24"/>
                <w:lang w:val="kk-KZ"/>
              </w:rPr>
              <w:t xml:space="preserve">нның </w:t>
            </w:r>
            <w:r w:rsidRPr="00306051">
              <w:rPr>
                <w:rFonts w:ascii="Times New Roman" w:eastAsia="Calibri" w:hAnsi="Times New Roman" w:cs="Times New Roman"/>
                <w:sz w:val="24"/>
                <w:szCs w:val="24"/>
              </w:rPr>
              <w:t>доз</w:t>
            </w:r>
            <w:r w:rsidRPr="00306051">
              <w:rPr>
                <w:rFonts w:ascii="Times New Roman" w:eastAsia="Calibri" w:hAnsi="Times New Roman" w:cs="Times New Roman"/>
                <w:sz w:val="24"/>
                <w:szCs w:val="24"/>
                <w:lang w:val="kk-KZ"/>
              </w:rPr>
              <w:t>ас</w:t>
            </w:r>
            <w:r w:rsidRPr="00306051">
              <w:rPr>
                <w:rFonts w:ascii="Times New Roman" w:eastAsia="Calibri" w:hAnsi="Times New Roman" w:cs="Times New Roman"/>
                <w:sz w:val="24"/>
                <w:szCs w:val="24"/>
              </w:rPr>
              <w:t>ы</w:t>
            </w:r>
            <w:r w:rsidRPr="00306051">
              <w:rPr>
                <w:rFonts w:ascii="Times New Roman" w:eastAsia="Calibri" w:hAnsi="Times New Roman" w:cs="Times New Roman"/>
                <w:sz w:val="24"/>
                <w:szCs w:val="24"/>
                <w:lang w:val="kk-KZ"/>
              </w:rPr>
              <w:t>н түзету қажет емес</w:t>
            </w:r>
            <w:r w:rsidRPr="00306051">
              <w:rPr>
                <w:rFonts w:ascii="Times New Roman" w:eastAsia="Calibri" w:hAnsi="Times New Roman" w:cs="Times New Roman"/>
                <w:sz w:val="24"/>
                <w:szCs w:val="24"/>
              </w:rPr>
              <w:t>.</w:t>
            </w:r>
          </w:p>
        </w:tc>
      </w:tr>
    </w:tbl>
    <w:p w14:paraId="70776772"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sz w:val="20"/>
          <w:szCs w:val="20"/>
          <w:vertAlign w:val="superscript"/>
        </w:rPr>
      </w:pPr>
      <w:r w:rsidRPr="00306051">
        <w:rPr>
          <w:rFonts w:ascii="Times New Roman" w:eastAsia="Calibri" w:hAnsi="Times New Roman" w:cs="Times New Roman"/>
          <w:bCs/>
          <w:sz w:val="20"/>
          <w:szCs w:val="20"/>
          <w:lang w:val="kk-KZ"/>
        </w:rPr>
        <w:t>АЖ</w:t>
      </w:r>
      <w:r w:rsidRPr="00306051">
        <w:rPr>
          <w:rFonts w:ascii="Times New Roman" w:eastAsia="Calibri" w:hAnsi="Times New Roman" w:cs="Times New Roman"/>
          <w:bCs/>
          <w:sz w:val="20"/>
          <w:szCs w:val="20"/>
        </w:rPr>
        <w:t> = </w:t>
      </w:r>
      <w:r w:rsidRPr="00306051">
        <w:rPr>
          <w:rFonts w:ascii="Times New Roman" w:eastAsia="Calibri" w:hAnsi="Times New Roman" w:cs="Times New Roman"/>
          <w:bCs/>
          <w:sz w:val="20"/>
          <w:szCs w:val="20"/>
          <w:lang w:val="kk-KZ"/>
        </w:rPr>
        <w:t>анықталған жоқ</w:t>
      </w:r>
      <w:r w:rsidRPr="00306051">
        <w:rPr>
          <w:rFonts w:ascii="Times New Roman" w:eastAsia="Calibri" w:hAnsi="Times New Roman" w:cs="Times New Roman"/>
          <w:bCs/>
          <w:sz w:val="20"/>
          <w:szCs w:val="20"/>
        </w:rPr>
        <w:t>.</w:t>
      </w:r>
    </w:p>
    <w:p w14:paraId="2FC86D36"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sz w:val="20"/>
          <w:szCs w:val="20"/>
          <w:vertAlign w:val="superscript"/>
        </w:rPr>
      </w:pPr>
      <w:r w:rsidRPr="00306051">
        <w:rPr>
          <w:rFonts w:ascii="Times New Roman" w:eastAsia="Calibri" w:hAnsi="Times New Roman" w:cs="Times New Roman"/>
          <w:bCs/>
          <w:sz w:val="20"/>
          <w:szCs w:val="20"/>
          <w:vertAlign w:val="superscript"/>
        </w:rPr>
        <w:t>1</w:t>
      </w:r>
      <w:r w:rsidRPr="00306051">
        <w:rPr>
          <w:rFonts w:ascii="Times New Roman" w:eastAsia="Calibri" w:hAnsi="Times New Roman" w:cs="Times New Roman"/>
          <w:bCs/>
          <w:sz w:val="20"/>
          <w:szCs w:val="20"/>
        </w:rPr>
        <w:t xml:space="preserve"> Д</w:t>
      </w:r>
      <w:r w:rsidRPr="00306051">
        <w:rPr>
          <w:rFonts w:ascii="Times New Roman" w:eastAsia="Calibri" w:hAnsi="Times New Roman" w:cs="Times New Roman"/>
          <w:bCs/>
          <w:sz w:val="20"/>
          <w:szCs w:val="20"/>
          <w:lang w:val="kk-KZ"/>
        </w:rPr>
        <w:t xml:space="preserve">еректер </w:t>
      </w:r>
      <w:proofErr w:type="spellStart"/>
      <w:r w:rsidRPr="00306051">
        <w:rPr>
          <w:rFonts w:ascii="Times New Roman" w:eastAsia="Calibri" w:hAnsi="Times New Roman" w:cs="Times New Roman"/>
          <w:bCs/>
          <w:sz w:val="20"/>
          <w:szCs w:val="20"/>
        </w:rPr>
        <w:t>ледипасвирм</w:t>
      </w:r>
      <w:proofErr w:type="spellEnd"/>
      <w:r w:rsidRPr="00306051">
        <w:rPr>
          <w:rFonts w:ascii="Times New Roman" w:eastAsia="Calibri" w:hAnsi="Times New Roman" w:cs="Times New Roman"/>
          <w:bCs/>
          <w:sz w:val="20"/>
          <w:szCs w:val="20"/>
          <w:lang w:val="kk-KZ"/>
        </w:rPr>
        <w:t>ен</w:t>
      </w:r>
      <w:r w:rsidRPr="00306051">
        <w:rPr>
          <w:rFonts w:ascii="Times New Roman" w:eastAsia="Calibri" w:hAnsi="Times New Roman" w:cs="Times New Roman"/>
          <w:bCs/>
          <w:sz w:val="20"/>
          <w:szCs w:val="20"/>
        </w:rPr>
        <w:t>/</w:t>
      </w:r>
      <w:proofErr w:type="spellStart"/>
      <w:r w:rsidRPr="00306051">
        <w:rPr>
          <w:rFonts w:ascii="Times New Roman" w:eastAsia="Calibri" w:hAnsi="Times New Roman" w:cs="Times New Roman"/>
          <w:bCs/>
          <w:sz w:val="20"/>
          <w:szCs w:val="20"/>
        </w:rPr>
        <w:t>софосбувирм</w:t>
      </w:r>
      <w:proofErr w:type="spellEnd"/>
      <w:r w:rsidRPr="00306051">
        <w:rPr>
          <w:rFonts w:ascii="Times New Roman" w:eastAsia="Calibri" w:hAnsi="Times New Roman" w:cs="Times New Roman"/>
          <w:bCs/>
          <w:sz w:val="20"/>
          <w:szCs w:val="20"/>
          <w:lang w:val="kk-KZ"/>
        </w:rPr>
        <w:t>ен бір мезгілде енгізгенде алынған</w:t>
      </w:r>
      <w:r w:rsidRPr="00306051">
        <w:rPr>
          <w:rFonts w:ascii="Times New Roman" w:eastAsia="Calibri" w:hAnsi="Times New Roman" w:cs="Times New Roman"/>
          <w:bCs/>
          <w:sz w:val="20"/>
          <w:szCs w:val="20"/>
        </w:rPr>
        <w:t xml:space="preserve">.  </w:t>
      </w:r>
      <w:r w:rsidRPr="00306051">
        <w:rPr>
          <w:rFonts w:ascii="Times New Roman" w:eastAsia="Calibri" w:hAnsi="Times New Roman" w:cs="Times New Roman"/>
          <w:bCs/>
          <w:sz w:val="20"/>
          <w:szCs w:val="20"/>
          <w:lang w:val="kk-KZ"/>
        </w:rPr>
        <w:t>Бір мезгілде енгізбеу</w:t>
      </w:r>
      <w:r w:rsidRPr="00306051">
        <w:rPr>
          <w:rFonts w:ascii="Times New Roman" w:eastAsia="Calibri" w:hAnsi="Times New Roman" w:cs="Times New Roman"/>
          <w:bCs/>
          <w:sz w:val="20"/>
          <w:szCs w:val="20"/>
        </w:rPr>
        <w:t xml:space="preserve"> (12 </w:t>
      </w:r>
      <w:r w:rsidRPr="00306051">
        <w:rPr>
          <w:rFonts w:ascii="Times New Roman" w:eastAsia="Calibri" w:hAnsi="Times New Roman" w:cs="Times New Roman"/>
          <w:bCs/>
          <w:sz w:val="20"/>
          <w:szCs w:val="20"/>
          <w:lang w:val="kk-KZ"/>
        </w:rPr>
        <w:t>сағат аралықпен</w:t>
      </w:r>
      <w:r w:rsidRPr="00306051">
        <w:rPr>
          <w:rFonts w:ascii="Times New Roman" w:eastAsia="Calibri" w:hAnsi="Times New Roman" w:cs="Times New Roman"/>
          <w:bCs/>
          <w:sz w:val="20"/>
          <w:szCs w:val="20"/>
        </w:rPr>
        <w:t xml:space="preserve">) </w:t>
      </w:r>
      <w:r w:rsidRPr="00306051">
        <w:rPr>
          <w:rFonts w:ascii="Times New Roman" w:eastAsia="Calibri" w:hAnsi="Times New Roman" w:cs="Times New Roman"/>
          <w:bCs/>
          <w:sz w:val="20"/>
          <w:szCs w:val="20"/>
          <w:lang w:val="kk-KZ"/>
        </w:rPr>
        <w:t>ұқсас нәтижелерді берді</w:t>
      </w:r>
      <w:r w:rsidRPr="00306051">
        <w:rPr>
          <w:rFonts w:ascii="Times New Roman" w:eastAsia="Calibri" w:hAnsi="Times New Roman" w:cs="Times New Roman"/>
          <w:bCs/>
          <w:sz w:val="20"/>
          <w:szCs w:val="20"/>
        </w:rPr>
        <w:t>.</w:t>
      </w:r>
    </w:p>
    <w:p w14:paraId="37128091"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bCs/>
          <w:sz w:val="20"/>
          <w:szCs w:val="20"/>
          <w:vertAlign w:val="superscript"/>
        </w:rPr>
      </w:pPr>
      <w:r w:rsidRPr="00306051">
        <w:rPr>
          <w:rFonts w:ascii="Times New Roman" w:eastAsia="Calibri" w:hAnsi="Times New Roman" w:cs="Times New Roman"/>
          <w:bCs/>
          <w:sz w:val="20"/>
          <w:szCs w:val="20"/>
          <w:vertAlign w:val="superscript"/>
        </w:rPr>
        <w:t>2</w:t>
      </w:r>
      <w:r w:rsidRPr="00306051">
        <w:rPr>
          <w:rFonts w:ascii="Times New Roman" w:eastAsia="Calibri" w:hAnsi="Times New Roman" w:cs="Times New Roman"/>
          <w:bCs/>
          <w:sz w:val="20"/>
          <w:szCs w:val="20"/>
        </w:rPr>
        <w:t xml:space="preserve"> </w:t>
      </w:r>
      <w:r w:rsidRPr="00306051">
        <w:rPr>
          <w:rFonts w:ascii="Times New Roman" w:eastAsia="Calibri" w:hAnsi="Times New Roman" w:cs="Times New Roman"/>
          <w:bCs/>
          <w:sz w:val="20"/>
          <w:szCs w:val="20"/>
          <w:lang w:val="kk-KZ"/>
        </w:rPr>
        <w:t>С</w:t>
      </w:r>
      <w:proofErr w:type="spellStart"/>
      <w:r w:rsidRPr="00306051">
        <w:rPr>
          <w:rFonts w:ascii="Times New Roman" w:eastAsia="Calibri" w:hAnsi="Times New Roman" w:cs="Times New Roman"/>
          <w:bCs/>
          <w:sz w:val="20"/>
          <w:szCs w:val="20"/>
        </w:rPr>
        <w:t>офосбувир</w:t>
      </w:r>
      <w:proofErr w:type="spellEnd"/>
      <w:r w:rsidRPr="00306051">
        <w:rPr>
          <w:rFonts w:ascii="Times New Roman" w:eastAsia="Calibri" w:hAnsi="Times New Roman" w:cs="Times New Roman"/>
          <w:bCs/>
          <w:sz w:val="20"/>
          <w:szCs w:val="20"/>
          <w:lang w:val="kk-KZ"/>
        </w:rPr>
        <w:t xml:space="preserve">дің </w:t>
      </w:r>
      <w:r w:rsidRPr="00306051">
        <w:rPr>
          <w:rFonts w:ascii="Times New Roman" w:eastAsia="Calibri" w:hAnsi="Times New Roman" w:cs="Times New Roman"/>
          <w:bCs/>
          <w:sz w:val="20"/>
          <w:szCs w:val="20"/>
        </w:rPr>
        <w:t>а</w:t>
      </w:r>
      <w:r w:rsidRPr="00306051">
        <w:rPr>
          <w:rFonts w:ascii="Times New Roman" w:eastAsia="Calibri" w:hAnsi="Times New Roman" w:cs="Times New Roman"/>
          <w:bCs/>
          <w:sz w:val="20"/>
          <w:szCs w:val="20"/>
          <w:lang w:val="kk-KZ"/>
        </w:rPr>
        <w:t xml:space="preserve">йналымдағы негізгі </w:t>
      </w:r>
      <w:r w:rsidRPr="00306051">
        <w:rPr>
          <w:rFonts w:ascii="Times New Roman" w:eastAsia="Calibri" w:hAnsi="Times New Roman" w:cs="Times New Roman"/>
          <w:bCs/>
          <w:sz w:val="20"/>
          <w:szCs w:val="20"/>
        </w:rPr>
        <w:t>метаболит</w:t>
      </w:r>
      <w:r w:rsidRPr="00306051">
        <w:rPr>
          <w:rFonts w:ascii="Times New Roman" w:eastAsia="Calibri" w:hAnsi="Times New Roman" w:cs="Times New Roman"/>
          <w:bCs/>
          <w:sz w:val="20"/>
          <w:szCs w:val="20"/>
          <w:lang w:val="kk-KZ"/>
        </w:rPr>
        <w:t>і</w:t>
      </w:r>
      <w:r w:rsidRPr="00306051">
        <w:rPr>
          <w:rFonts w:ascii="Times New Roman" w:eastAsia="Calibri" w:hAnsi="Times New Roman" w:cs="Times New Roman"/>
          <w:bCs/>
          <w:sz w:val="20"/>
          <w:szCs w:val="20"/>
        </w:rPr>
        <w:t>.</w:t>
      </w:r>
    </w:p>
    <w:p w14:paraId="5BDB0D3F" w14:textId="77777777" w:rsidR="00607595" w:rsidRPr="00306051" w:rsidRDefault="00607595">
      <w:pPr>
        <w:spacing w:after="0" w:line="100" w:lineRule="atLeast"/>
        <w:jc w:val="both"/>
        <w:rPr>
          <w:rFonts w:ascii="Times New Roman" w:eastAsia="Calibri" w:hAnsi="Times New Roman" w:cs="Times New Roman"/>
          <w:b/>
          <w:sz w:val="20"/>
          <w:szCs w:val="20"/>
        </w:rPr>
      </w:pPr>
      <w:r w:rsidRPr="00306051">
        <w:rPr>
          <w:rFonts w:ascii="Times New Roman" w:eastAsia="Calibri" w:hAnsi="Times New Roman" w:cs="Times New Roman"/>
          <w:bCs/>
          <w:sz w:val="20"/>
          <w:szCs w:val="20"/>
          <w:vertAlign w:val="superscript"/>
        </w:rPr>
        <w:t xml:space="preserve">3 </w:t>
      </w:r>
      <w:r w:rsidRPr="00306051">
        <w:rPr>
          <w:rFonts w:ascii="Times New Roman" w:eastAsia="Calibri" w:hAnsi="Times New Roman" w:cs="Times New Roman"/>
          <w:bCs/>
          <w:sz w:val="20"/>
          <w:szCs w:val="20"/>
        </w:rPr>
        <w:t>СГВ</w:t>
      </w:r>
      <w:r w:rsidRPr="00306051">
        <w:rPr>
          <w:rFonts w:ascii="Times New Roman" w:eastAsia="Calibri" w:hAnsi="Times New Roman" w:cs="Times New Roman"/>
          <w:bCs/>
          <w:sz w:val="20"/>
          <w:szCs w:val="20"/>
          <w:lang w:val="kk-KZ"/>
        </w:rPr>
        <w:t xml:space="preserve"> </w:t>
      </w:r>
      <w:proofErr w:type="spellStart"/>
      <w:r w:rsidRPr="00306051">
        <w:rPr>
          <w:rFonts w:ascii="Times New Roman" w:eastAsia="Calibri" w:hAnsi="Times New Roman" w:cs="Times New Roman"/>
          <w:bCs/>
          <w:sz w:val="20"/>
          <w:szCs w:val="20"/>
        </w:rPr>
        <w:t>инфекци</w:t>
      </w:r>
      <w:proofErr w:type="spellEnd"/>
      <w:r w:rsidRPr="00306051">
        <w:rPr>
          <w:rFonts w:ascii="Times New Roman" w:eastAsia="Calibri" w:hAnsi="Times New Roman" w:cs="Times New Roman"/>
          <w:bCs/>
          <w:sz w:val="20"/>
          <w:szCs w:val="20"/>
          <w:lang w:val="kk-KZ"/>
        </w:rPr>
        <w:t>ясы бар</w:t>
      </w:r>
      <w:r w:rsidRPr="00306051">
        <w:rPr>
          <w:rFonts w:ascii="Times New Roman" w:eastAsia="Calibri" w:hAnsi="Times New Roman" w:cs="Times New Roman"/>
          <w:bCs/>
          <w:sz w:val="20"/>
          <w:szCs w:val="20"/>
        </w:rPr>
        <w:t xml:space="preserve"> пациент</w:t>
      </w:r>
      <w:r w:rsidRPr="00306051">
        <w:rPr>
          <w:rFonts w:ascii="Times New Roman" w:eastAsia="Calibri" w:hAnsi="Times New Roman" w:cs="Times New Roman"/>
          <w:bCs/>
          <w:sz w:val="20"/>
          <w:szCs w:val="20"/>
          <w:lang w:val="kk-KZ"/>
        </w:rPr>
        <w:t>терде</w:t>
      </w:r>
      <w:r w:rsidRPr="00306051">
        <w:rPr>
          <w:rFonts w:ascii="Times New Roman" w:eastAsia="Calibri" w:hAnsi="Times New Roman" w:cs="Times New Roman"/>
          <w:bCs/>
          <w:sz w:val="20"/>
          <w:szCs w:val="20"/>
        </w:rPr>
        <w:t xml:space="preserve"> </w:t>
      </w:r>
      <w:proofErr w:type="spellStart"/>
      <w:r w:rsidRPr="00306051">
        <w:rPr>
          <w:rFonts w:ascii="Times New Roman" w:eastAsia="Calibri" w:hAnsi="Times New Roman" w:cs="Times New Roman"/>
          <w:bCs/>
          <w:sz w:val="20"/>
          <w:szCs w:val="20"/>
        </w:rPr>
        <w:t>воксилапревир</w:t>
      </w:r>
      <w:proofErr w:type="spellEnd"/>
      <w:r w:rsidRPr="00306051">
        <w:rPr>
          <w:rFonts w:ascii="Times New Roman" w:eastAsia="Calibri" w:hAnsi="Times New Roman" w:cs="Times New Roman"/>
          <w:bCs/>
          <w:sz w:val="20"/>
          <w:szCs w:val="20"/>
          <w:lang w:val="kk-KZ"/>
        </w:rPr>
        <w:t>дің күтілген әсеріне қол жеткізу үшін, зерттеу</w:t>
      </w:r>
      <w:r w:rsidRPr="00306051">
        <w:rPr>
          <w:rFonts w:ascii="Times New Roman" w:eastAsia="Calibri" w:hAnsi="Times New Roman" w:cs="Times New Roman"/>
          <w:bCs/>
          <w:sz w:val="20"/>
          <w:szCs w:val="20"/>
        </w:rPr>
        <w:t xml:space="preserve"> 100 мг </w:t>
      </w:r>
      <w:proofErr w:type="spellStart"/>
      <w:r w:rsidRPr="00306051">
        <w:rPr>
          <w:rFonts w:ascii="Times New Roman" w:eastAsia="Calibri" w:hAnsi="Times New Roman" w:cs="Times New Roman"/>
          <w:bCs/>
          <w:sz w:val="20"/>
          <w:szCs w:val="20"/>
        </w:rPr>
        <w:t>воксилапревир</w:t>
      </w:r>
      <w:proofErr w:type="spellEnd"/>
      <w:r w:rsidRPr="00306051">
        <w:rPr>
          <w:rFonts w:ascii="Times New Roman" w:eastAsia="Calibri" w:hAnsi="Times New Roman" w:cs="Times New Roman"/>
          <w:bCs/>
          <w:sz w:val="20"/>
          <w:szCs w:val="20"/>
          <w:lang w:val="kk-KZ"/>
        </w:rPr>
        <w:t>ді қосып жүргізілген</w:t>
      </w:r>
      <w:r w:rsidRPr="00306051">
        <w:rPr>
          <w:rFonts w:ascii="Times New Roman" w:hAnsi="Times New Roman" w:cs="Times New Roman"/>
          <w:sz w:val="20"/>
          <w:szCs w:val="20"/>
        </w:rPr>
        <w:t>.</w:t>
      </w:r>
    </w:p>
    <w:p w14:paraId="7D980A2B" w14:textId="77777777" w:rsidR="00607595" w:rsidRPr="00306051" w:rsidRDefault="00607595">
      <w:pPr>
        <w:spacing w:after="0" w:line="100" w:lineRule="atLeast"/>
        <w:jc w:val="both"/>
        <w:rPr>
          <w:rFonts w:ascii="Times New Roman" w:eastAsia="Calibri" w:hAnsi="Times New Roman" w:cs="Times New Roman"/>
          <w:b/>
          <w:sz w:val="24"/>
          <w:szCs w:val="24"/>
        </w:rPr>
      </w:pPr>
    </w:p>
    <w:p w14:paraId="4CCAFD1F" w14:textId="77777777" w:rsidR="00607595" w:rsidRPr="00306051" w:rsidRDefault="00607595">
      <w:pPr>
        <w:spacing w:after="0" w:line="100" w:lineRule="atLeast"/>
        <w:jc w:val="both"/>
        <w:rPr>
          <w:rFonts w:ascii="Times New Roman" w:eastAsia="Calibri" w:hAnsi="Times New Roman" w:cs="Times New Roman"/>
          <w:i/>
          <w:iCs/>
          <w:sz w:val="24"/>
          <w:szCs w:val="24"/>
          <w:lang w:val="kk-KZ"/>
        </w:rPr>
      </w:pPr>
      <w:r w:rsidRPr="00306051">
        <w:rPr>
          <w:rFonts w:ascii="Times New Roman" w:hAnsi="Times New Roman" w:cs="Times New Roman"/>
          <w:b/>
          <w:sz w:val="24"/>
          <w:szCs w:val="24"/>
        </w:rPr>
        <w:t xml:space="preserve">4.6. </w:t>
      </w:r>
      <w:r w:rsidRPr="00306051">
        <w:rPr>
          <w:rFonts w:ascii="Times New Roman" w:eastAsia="Times New Roman" w:hAnsi="Times New Roman" w:cs="Times New Roman"/>
          <w:b/>
          <w:sz w:val="24"/>
          <w:szCs w:val="24"/>
          <w:lang w:val="kk-KZ"/>
        </w:rPr>
        <w:t>Фертильділік, жүктілік және лактация</w:t>
      </w:r>
    </w:p>
    <w:p w14:paraId="225D5E83" w14:textId="77777777" w:rsidR="00607595" w:rsidRPr="00306051" w:rsidRDefault="00607595">
      <w:pPr>
        <w:spacing w:after="0" w:line="100" w:lineRule="atLeast"/>
        <w:jc w:val="both"/>
        <w:rPr>
          <w:rFonts w:ascii="Times New Roman" w:hAnsi="Times New Roman" w:cs="Times New Roman"/>
          <w:spacing w:val="-6"/>
          <w:sz w:val="24"/>
          <w:szCs w:val="24"/>
          <w:lang w:val="kk-KZ"/>
        </w:rPr>
      </w:pPr>
      <w:r w:rsidRPr="00306051">
        <w:rPr>
          <w:rFonts w:ascii="Times New Roman" w:eastAsia="Calibri" w:hAnsi="Times New Roman" w:cs="Times New Roman"/>
          <w:i/>
          <w:iCs/>
          <w:sz w:val="24"/>
          <w:szCs w:val="24"/>
          <w:lang w:val="kk-KZ"/>
        </w:rPr>
        <w:t>Жүктілік</w:t>
      </w:r>
    </w:p>
    <w:p w14:paraId="72FF8FAB" w14:textId="77777777" w:rsidR="00607595" w:rsidRPr="00306051" w:rsidRDefault="00607595">
      <w:pPr>
        <w:spacing w:after="0" w:line="100" w:lineRule="atLeast"/>
        <w:jc w:val="both"/>
        <w:rPr>
          <w:rFonts w:ascii="Times New Roman" w:hAnsi="Times New Roman" w:cs="Times New Roman"/>
          <w:i/>
          <w:spacing w:val="-6"/>
          <w:sz w:val="24"/>
          <w:szCs w:val="24"/>
          <w:lang w:val="kk-KZ"/>
        </w:rPr>
      </w:pPr>
      <w:r w:rsidRPr="00306051">
        <w:rPr>
          <w:rFonts w:ascii="Times New Roman" w:hAnsi="Times New Roman" w:cs="Times New Roman"/>
          <w:spacing w:val="-6"/>
          <w:sz w:val="24"/>
          <w:szCs w:val="24"/>
          <w:lang w:val="kk-KZ"/>
        </w:rPr>
        <w:t xml:space="preserve">Жүкті әйелдерден алынған көптеген деректер (баланың тууымен аяқталған 1000-нан астам жүктілік), шаранаға/жаңа туған нәрестеге, эмтрицитабинмен және тенофовир дизопроксил фумаратымен байланысты болуы ықтимал даму ақауларының немесе уытты әсерінің жоқтығын көрсетеді. Қажет болған жағдайда, Эмтрицитабин және тенофовир дизопроксил фумараты препаратының жүктілік кезінде қолданылуының талапқа сай болатындығын </w:t>
      </w:r>
      <w:r w:rsidR="00DD123B" w:rsidRPr="00306051">
        <w:rPr>
          <w:rFonts w:ascii="Times New Roman" w:hAnsi="Times New Roman" w:cs="Times New Roman"/>
          <w:spacing w:val="-6"/>
          <w:sz w:val="24"/>
          <w:szCs w:val="24"/>
          <w:lang w:val="kk-KZ"/>
        </w:rPr>
        <w:t xml:space="preserve">анықтауға </w:t>
      </w:r>
      <w:r w:rsidRPr="00306051">
        <w:rPr>
          <w:rFonts w:ascii="Times New Roman" w:hAnsi="Times New Roman" w:cs="Times New Roman"/>
          <w:spacing w:val="-6"/>
          <w:sz w:val="24"/>
          <w:szCs w:val="24"/>
          <w:lang w:val="kk-KZ"/>
        </w:rPr>
        <w:t>болады</w:t>
      </w:r>
      <w:r w:rsidRPr="00306051">
        <w:rPr>
          <w:rFonts w:ascii="Times New Roman" w:eastAsia="Calibri" w:hAnsi="Times New Roman" w:cs="Times New Roman"/>
          <w:sz w:val="24"/>
          <w:szCs w:val="24"/>
          <w:lang w:val="kk-KZ"/>
        </w:rPr>
        <w:t>.</w:t>
      </w:r>
    </w:p>
    <w:p w14:paraId="51378948" w14:textId="77777777" w:rsidR="00607595" w:rsidRPr="00306051" w:rsidRDefault="000513F5">
      <w:pPr>
        <w:widowControl w:val="0"/>
        <w:shd w:val="clear" w:color="auto" w:fill="FFFFFF"/>
        <w:spacing w:after="0" w:line="100" w:lineRule="atLeast"/>
        <w:jc w:val="both"/>
        <w:rPr>
          <w:rFonts w:ascii="Times New Roman" w:hAnsi="Times New Roman" w:cs="Times New Roman"/>
          <w:spacing w:val="-6"/>
          <w:sz w:val="24"/>
          <w:szCs w:val="24"/>
          <w:lang w:val="kk-KZ"/>
        </w:rPr>
      </w:pPr>
      <w:r>
        <w:rPr>
          <w:rFonts w:ascii="Times New Roman" w:hAnsi="Times New Roman" w:cs="Times New Roman"/>
          <w:i/>
          <w:spacing w:val="-6"/>
          <w:sz w:val="24"/>
          <w:szCs w:val="24"/>
          <w:lang w:val="kk-KZ"/>
        </w:rPr>
        <w:t>Бала</w:t>
      </w:r>
      <w:r w:rsidR="00607595" w:rsidRPr="00306051">
        <w:rPr>
          <w:rFonts w:ascii="Times New Roman" w:hAnsi="Times New Roman" w:cs="Times New Roman"/>
          <w:i/>
          <w:spacing w:val="-6"/>
          <w:sz w:val="24"/>
          <w:szCs w:val="24"/>
          <w:lang w:val="kk-KZ"/>
        </w:rPr>
        <w:t xml:space="preserve"> емізу</w:t>
      </w:r>
    </w:p>
    <w:p w14:paraId="5A9A7A3A" w14:textId="77777777" w:rsidR="00607595" w:rsidRPr="00306051" w:rsidRDefault="00DD123B">
      <w:pPr>
        <w:widowControl w:val="0"/>
        <w:shd w:val="clear" w:color="auto" w:fill="FFFFFF"/>
        <w:spacing w:after="0" w:line="100" w:lineRule="atLeast"/>
        <w:jc w:val="both"/>
        <w:rPr>
          <w:rFonts w:ascii="Times New Roman" w:hAnsi="Times New Roman" w:cs="Times New Roman"/>
          <w:spacing w:val="-6"/>
          <w:sz w:val="24"/>
          <w:szCs w:val="24"/>
          <w:lang w:val="kk-KZ"/>
        </w:rPr>
      </w:pPr>
      <w:r w:rsidRPr="00306051">
        <w:rPr>
          <w:rFonts w:ascii="Times New Roman" w:hAnsi="Times New Roman" w:cs="Times New Roman"/>
          <w:spacing w:val="-6"/>
          <w:sz w:val="24"/>
          <w:szCs w:val="24"/>
          <w:lang w:val="kk-KZ"/>
        </w:rPr>
        <w:t>Зерттеулер э</w:t>
      </w:r>
      <w:r w:rsidR="00607595" w:rsidRPr="00306051">
        <w:rPr>
          <w:rFonts w:ascii="Times New Roman" w:hAnsi="Times New Roman" w:cs="Times New Roman"/>
          <w:spacing w:val="-6"/>
          <w:sz w:val="24"/>
          <w:szCs w:val="24"/>
          <w:lang w:val="kk-KZ"/>
        </w:rPr>
        <w:t>мтрицитабин мен тенофовир</w:t>
      </w:r>
      <w:r w:rsidRPr="00306051">
        <w:rPr>
          <w:rFonts w:ascii="Times New Roman" w:hAnsi="Times New Roman" w:cs="Times New Roman"/>
          <w:spacing w:val="-6"/>
          <w:sz w:val="24"/>
          <w:szCs w:val="24"/>
          <w:lang w:val="kk-KZ"/>
        </w:rPr>
        <w:t>дің</w:t>
      </w:r>
      <w:r w:rsidR="00607595" w:rsidRPr="00306051">
        <w:rPr>
          <w:rFonts w:ascii="Times New Roman" w:hAnsi="Times New Roman" w:cs="Times New Roman"/>
          <w:spacing w:val="-6"/>
          <w:sz w:val="24"/>
          <w:szCs w:val="24"/>
          <w:lang w:val="kk-KZ"/>
        </w:rPr>
        <w:t xml:space="preserve"> емшек сүтіне</w:t>
      </w:r>
      <w:r w:rsidRPr="00306051">
        <w:rPr>
          <w:rFonts w:ascii="Times New Roman" w:hAnsi="Times New Roman" w:cs="Times New Roman"/>
          <w:spacing w:val="-6"/>
          <w:sz w:val="24"/>
          <w:szCs w:val="24"/>
          <w:lang w:val="kk-KZ"/>
        </w:rPr>
        <w:t xml:space="preserve"> бөлініп шығатынын көрсетті</w:t>
      </w:r>
      <w:r w:rsidR="00607595" w:rsidRPr="00306051">
        <w:rPr>
          <w:rFonts w:ascii="Times New Roman" w:hAnsi="Times New Roman" w:cs="Times New Roman"/>
          <w:spacing w:val="-6"/>
          <w:sz w:val="24"/>
          <w:szCs w:val="24"/>
          <w:lang w:val="kk-KZ"/>
        </w:rPr>
        <w:t>. Эмтрицитабин мен тенофовирдің жаңа туған нәрестелерге/сәбилерге әсері туралы деректер жеткіліксіз. Сондықтан, Эмтрицитабин және тенофовир дизопроксил фумараты препаратын емшек емізу кезінде қолданбаған дұрыс.</w:t>
      </w:r>
    </w:p>
    <w:p w14:paraId="734FF290" w14:textId="77777777" w:rsidR="00607595" w:rsidRPr="00306051" w:rsidRDefault="00607595">
      <w:pPr>
        <w:spacing w:after="0" w:line="100" w:lineRule="atLeast"/>
        <w:jc w:val="both"/>
        <w:rPr>
          <w:rFonts w:ascii="Times New Roman" w:eastAsia="Calibri" w:hAnsi="Times New Roman" w:cs="Times New Roman"/>
          <w:i/>
          <w:sz w:val="24"/>
          <w:szCs w:val="24"/>
          <w:lang w:val="kk-KZ"/>
        </w:rPr>
      </w:pPr>
      <w:r w:rsidRPr="00306051">
        <w:rPr>
          <w:rFonts w:ascii="Times New Roman" w:hAnsi="Times New Roman" w:cs="Times New Roman"/>
          <w:spacing w:val="-6"/>
          <w:sz w:val="24"/>
          <w:szCs w:val="24"/>
          <w:lang w:val="kk-KZ"/>
        </w:rPr>
        <w:t>Жалпы алғанда, АИТВ инфекциясы бар  әйелдерге, АИТВ баласына берілуін болдырмау үшін емшек емізу ұсынылмайды</w:t>
      </w:r>
      <w:r w:rsidRPr="00306051">
        <w:rPr>
          <w:rFonts w:ascii="Times New Roman" w:eastAsia="Calibri" w:hAnsi="Times New Roman" w:cs="Times New Roman"/>
          <w:sz w:val="24"/>
          <w:szCs w:val="24"/>
          <w:lang w:val="kk-KZ"/>
        </w:rPr>
        <w:t>.</w:t>
      </w:r>
    </w:p>
    <w:p w14:paraId="5D1962F1"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i/>
          <w:sz w:val="24"/>
          <w:szCs w:val="24"/>
          <w:lang w:val="kk-KZ"/>
        </w:rPr>
        <w:t>Фертильділік</w:t>
      </w:r>
    </w:p>
    <w:p w14:paraId="31F58F4B"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sz w:val="24"/>
          <w:szCs w:val="24"/>
          <w:lang w:val="kk-KZ"/>
        </w:rPr>
        <w:t>Адамға жүргізілген зерттеулерде Эмтрицитабин және тенофовир дизопрокс</w:t>
      </w:r>
      <w:r w:rsidR="00DD123B" w:rsidRPr="00306051">
        <w:rPr>
          <w:rFonts w:ascii="Times New Roman" w:eastAsia="Calibri" w:hAnsi="Times New Roman" w:cs="Times New Roman"/>
          <w:sz w:val="24"/>
          <w:szCs w:val="24"/>
          <w:lang w:val="kk-KZ"/>
        </w:rPr>
        <w:t>ил фумараты препаратының әсер</w:t>
      </w:r>
      <w:r w:rsidRPr="00306051">
        <w:rPr>
          <w:rFonts w:ascii="Times New Roman" w:eastAsia="Calibri" w:hAnsi="Times New Roman" w:cs="Times New Roman"/>
          <w:sz w:val="24"/>
          <w:szCs w:val="24"/>
          <w:lang w:val="kk-KZ"/>
        </w:rPr>
        <w:t>і туралы деректер жоқ. Жануарларда жүргізілген зерттеулер эмтрицитабиннің немесе тенофовирдің фертильділікке зиянды әсері барын көрсетпеген.</w:t>
      </w:r>
    </w:p>
    <w:p w14:paraId="3486FE9F" w14:textId="77777777" w:rsidR="00607595" w:rsidRPr="00306051" w:rsidRDefault="00607595">
      <w:pPr>
        <w:spacing w:after="0" w:line="100" w:lineRule="atLeast"/>
        <w:jc w:val="both"/>
        <w:rPr>
          <w:rFonts w:ascii="Times New Roman" w:eastAsia="Calibri" w:hAnsi="Times New Roman" w:cs="Times New Roman"/>
          <w:sz w:val="24"/>
          <w:szCs w:val="24"/>
          <w:lang w:val="kk-KZ"/>
        </w:rPr>
      </w:pPr>
    </w:p>
    <w:p w14:paraId="39E2F374" w14:textId="77777777" w:rsidR="00607595" w:rsidRPr="00306051" w:rsidRDefault="00607595">
      <w:pPr>
        <w:spacing w:after="0" w:line="100" w:lineRule="atLeast"/>
        <w:jc w:val="both"/>
        <w:rPr>
          <w:rFonts w:ascii="Times New Roman" w:hAnsi="Times New Roman" w:cs="Times New Roman"/>
          <w:spacing w:val="-6"/>
          <w:sz w:val="24"/>
          <w:szCs w:val="24"/>
          <w:lang w:val="kk-KZ"/>
        </w:rPr>
      </w:pPr>
      <w:r w:rsidRPr="00306051">
        <w:rPr>
          <w:rFonts w:ascii="Times New Roman" w:hAnsi="Times New Roman" w:cs="Times New Roman"/>
          <w:b/>
          <w:sz w:val="24"/>
          <w:szCs w:val="24"/>
          <w:lang w:val="kk-KZ"/>
        </w:rPr>
        <w:t>4.7. Көлік құралдарын және қауіптілігі зор механизмдерді басқару қабілетіне әсері</w:t>
      </w:r>
      <w:r w:rsidRPr="00306051">
        <w:rPr>
          <w:rFonts w:ascii="Times New Roman" w:eastAsia="Times New Roman" w:hAnsi="Times New Roman" w:cs="Times New Roman"/>
          <w:b/>
          <w:sz w:val="24"/>
          <w:szCs w:val="24"/>
          <w:lang w:val="kk-KZ"/>
        </w:rPr>
        <w:t xml:space="preserve"> </w:t>
      </w:r>
    </w:p>
    <w:p w14:paraId="52A26CE0"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pacing w:val="-6"/>
          <w:sz w:val="24"/>
          <w:szCs w:val="24"/>
          <w:lang w:val="kk-KZ"/>
        </w:rPr>
        <w:t>Автокөлік басқару және механизмдерді пайдалану қабілетіне әсер етуіне қатысты зерттеулер жүргізілмеген. Пациенттерге эмтрицитабинмен және тенофовир дизопроксил фумаратымен емдегенде бас айналуы болғаны туралы айту керек</w:t>
      </w:r>
      <w:r w:rsidRPr="00306051">
        <w:rPr>
          <w:rFonts w:ascii="Times New Roman" w:hAnsi="Times New Roman" w:cs="Times New Roman"/>
          <w:sz w:val="24"/>
          <w:szCs w:val="24"/>
          <w:lang w:val="kk-KZ"/>
        </w:rPr>
        <w:t>.</w:t>
      </w:r>
    </w:p>
    <w:p w14:paraId="3C37AF02" w14:textId="77777777" w:rsidR="00607595" w:rsidRPr="00306051" w:rsidRDefault="00607595">
      <w:pPr>
        <w:spacing w:after="0" w:line="100" w:lineRule="atLeast"/>
        <w:jc w:val="both"/>
        <w:rPr>
          <w:rFonts w:ascii="Times New Roman" w:hAnsi="Times New Roman" w:cs="Times New Roman"/>
          <w:sz w:val="24"/>
          <w:szCs w:val="24"/>
          <w:lang w:val="kk-KZ"/>
        </w:rPr>
      </w:pPr>
    </w:p>
    <w:p w14:paraId="3F41AD34" w14:textId="77777777" w:rsidR="00607595" w:rsidRPr="00306051" w:rsidRDefault="00607595">
      <w:pPr>
        <w:spacing w:after="0" w:line="100" w:lineRule="atLeast"/>
        <w:jc w:val="both"/>
        <w:rPr>
          <w:rFonts w:ascii="Times New Roman" w:eastAsia="Times New Roman" w:hAnsi="Times New Roman" w:cs="Times New Roman"/>
          <w:i/>
          <w:sz w:val="24"/>
          <w:szCs w:val="24"/>
          <w:lang w:val="kk-KZ"/>
        </w:rPr>
      </w:pPr>
      <w:r w:rsidRPr="00306051">
        <w:rPr>
          <w:rFonts w:ascii="Times New Roman" w:hAnsi="Times New Roman" w:cs="Times New Roman"/>
          <w:b/>
          <w:sz w:val="24"/>
          <w:szCs w:val="24"/>
          <w:lang w:val="kk-KZ"/>
        </w:rPr>
        <w:t>4.8. Жағымсыз реакциялары</w:t>
      </w:r>
    </w:p>
    <w:p w14:paraId="559E76AF" w14:textId="77777777" w:rsidR="00607595" w:rsidRPr="00306051" w:rsidRDefault="00607595">
      <w:pPr>
        <w:spacing w:after="0" w:line="100" w:lineRule="atLeast"/>
        <w:jc w:val="both"/>
        <w:rPr>
          <w:rFonts w:ascii="Times New Roman" w:eastAsia="Times New Roman" w:hAnsi="Times New Roman" w:cs="Times New Roman"/>
          <w:bCs/>
          <w:i/>
          <w:iCs/>
          <w:sz w:val="24"/>
          <w:szCs w:val="24"/>
          <w:lang w:val="kk-KZ"/>
        </w:rPr>
      </w:pPr>
      <w:r w:rsidRPr="00306051">
        <w:rPr>
          <w:rFonts w:ascii="Times New Roman" w:eastAsia="Times New Roman" w:hAnsi="Times New Roman" w:cs="Times New Roman"/>
          <w:i/>
          <w:sz w:val="24"/>
          <w:szCs w:val="24"/>
          <w:lang w:val="kk-KZ"/>
        </w:rPr>
        <w:t>Қауіпсіздік бейінінің қысқаша сипаттамасы</w:t>
      </w:r>
    </w:p>
    <w:p w14:paraId="3B3C0CC3" w14:textId="77777777" w:rsidR="00607595" w:rsidRPr="00306051" w:rsidRDefault="00607595">
      <w:pPr>
        <w:tabs>
          <w:tab w:val="left" w:pos="216"/>
        </w:tabs>
        <w:spacing w:after="0" w:line="100" w:lineRule="atLeast"/>
        <w:jc w:val="both"/>
        <w:rPr>
          <w:rFonts w:ascii="Times New Roman" w:eastAsia="Times New Roman" w:hAnsi="Times New Roman" w:cs="Times New Roman"/>
          <w:bCs/>
          <w:i/>
          <w:iCs/>
          <w:sz w:val="24"/>
          <w:szCs w:val="24"/>
          <w:lang w:val="kk-KZ"/>
        </w:rPr>
      </w:pPr>
      <w:r w:rsidRPr="00306051">
        <w:rPr>
          <w:rFonts w:ascii="Times New Roman" w:eastAsia="Times New Roman" w:hAnsi="Times New Roman" w:cs="Times New Roman"/>
          <w:bCs/>
          <w:i/>
          <w:iCs/>
          <w:sz w:val="24"/>
          <w:szCs w:val="24"/>
          <w:lang w:val="kk-KZ"/>
        </w:rPr>
        <w:t>АИТВ-1 инфекциясы:</w:t>
      </w:r>
      <w:r w:rsidRPr="00306051">
        <w:rPr>
          <w:rFonts w:ascii="Times New Roman" w:eastAsia="Times New Roman" w:hAnsi="Times New Roman" w:cs="Times New Roman"/>
          <w:bCs/>
          <w:iCs/>
          <w:sz w:val="24"/>
          <w:szCs w:val="24"/>
          <w:lang w:val="kk-KZ"/>
        </w:rPr>
        <w:t xml:space="preserve"> ересектердегі рандомизацияланған ашық клиникалық зерттеуде (GS-01-934) эмтрицитабинді және/немесе тенофовир дизопроксил фумаратын қолданумен байланысты болуы мүмкін немесе ықтимал жүрек айнуы (12 %) және диарея (7 %) сияқты жағымсыз реакциялар туралы анағұрым жиі хабарланған (5.1 бөлімін қараңыз). Бұл зерттеуде </w:t>
      </w:r>
      <w:r w:rsidRPr="00306051">
        <w:rPr>
          <w:rFonts w:ascii="Times New Roman" w:eastAsia="Times New Roman" w:hAnsi="Times New Roman" w:cs="Times New Roman"/>
          <w:sz w:val="24"/>
          <w:szCs w:val="24"/>
          <w:lang w:val="kk-KZ"/>
        </w:rPr>
        <w:t xml:space="preserve">эмтрицитабин және </w:t>
      </w:r>
      <w:r w:rsidRPr="00306051">
        <w:rPr>
          <w:rFonts w:ascii="Times New Roman" w:eastAsia="Times New Roman" w:hAnsi="Times New Roman" w:cs="Times New Roman"/>
          <w:bCs/>
          <w:iCs/>
          <w:sz w:val="24"/>
          <w:szCs w:val="24"/>
          <w:lang w:val="kk-KZ"/>
        </w:rPr>
        <w:t>тенофовир дизопроксил фумаратының қауіпсіздік бейіні осының алдындағы, әрқайсысы басқа антиретровирустық дәрілермен бірге қолданылған осындай заттарға қатысты алынған тәжірибеге сәйкес келген.</w:t>
      </w:r>
    </w:p>
    <w:p w14:paraId="09C271FB" w14:textId="77777777" w:rsidR="00607595" w:rsidRPr="00306051" w:rsidRDefault="00607595">
      <w:pPr>
        <w:tabs>
          <w:tab w:val="left" w:pos="216"/>
        </w:tabs>
        <w:spacing w:after="0" w:line="100" w:lineRule="atLeast"/>
        <w:jc w:val="both"/>
        <w:rPr>
          <w:rFonts w:ascii="Times New Roman" w:eastAsia="Calibri" w:hAnsi="Times New Roman" w:cs="Times New Roman"/>
          <w:i/>
          <w:sz w:val="24"/>
          <w:szCs w:val="24"/>
          <w:lang w:val="kk-KZ" w:eastAsia="ar-IQ" w:bidi="ar-IQ"/>
        </w:rPr>
      </w:pPr>
      <w:r w:rsidRPr="00306051">
        <w:rPr>
          <w:rFonts w:ascii="Times New Roman" w:eastAsia="Times New Roman" w:hAnsi="Times New Roman" w:cs="Times New Roman"/>
          <w:bCs/>
          <w:i/>
          <w:iCs/>
          <w:sz w:val="24"/>
          <w:szCs w:val="24"/>
          <w:lang w:val="kk-KZ"/>
        </w:rPr>
        <w:t>ЖДП:</w:t>
      </w:r>
      <w:r w:rsidRPr="00306051">
        <w:rPr>
          <w:rFonts w:ascii="Times New Roman" w:eastAsia="Times New Roman" w:hAnsi="Times New Roman" w:cs="Times New Roman"/>
          <w:bCs/>
          <w:iCs/>
          <w:sz w:val="24"/>
          <w:szCs w:val="24"/>
          <w:lang w:val="kk-KZ"/>
        </w:rPr>
        <w:t xml:space="preserve"> АИТВ-1 инфекциясын жұқтырмаған, Эмтрицитабин және тенофовир дизопроксил фумараты препаратын жанасқанға дейінгі профилактика ретінде тәулігіне 1 рет қабылдаған 2830 ересек адамның қатысуымен жүргізілген, плацебо-бақыланатын, рандомизацияланған екі зерттеу барысында Эмтрицитабин және тенофовир дизопроксил фумараты препаратын қабылдаумен байланысты ешқандай жаңа жағымсыз реакциялар анықталмады. Пациенттер орташа алғанда, сәйкесінше 71 және 87 апта бойы қадағаланған. Зерттеулердің бірінде Эмтрицитабин және тенофовир дизопроксил фумараты препараты тобында анағұрлым жиі білінген жағымсыз реакция бас ауыруы (1%) болды.</w:t>
      </w:r>
    </w:p>
    <w:p w14:paraId="039B5532" w14:textId="77777777" w:rsidR="00607595" w:rsidRPr="00306051" w:rsidRDefault="00607595">
      <w:pPr>
        <w:spacing w:after="0" w:line="100" w:lineRule="atLeast"/>
        <w:jc w:val="both"/>
        <w:rPr>
          <w:rFonts w:ascii="Times New Roman" w:eastAsia="Times New Roman" w:hAnsi="Times New Roman" w:cs="Times New Roman"/>
          <w:sz w:val="24"/>
          <w:szCs w:val="24"/>
          <w:lang w:val="kk-KZ"/>
        </w:rPr>
      </w:pPr>
      <w:r w:rsidRPr="00306051">
        <w:rPr>
          <w:rFonts w:ascii="Times New Roman" w:eastAsia="Calibri" w:hAnsi="Times New Roman" w:cs="Times New Roman"/>
          <w:i/>
          <w:sz w:val="24"/>
          <w:szCs w:val="24"/>
          <w:lang w:val="kk-KZ" w:eastAsia="ar-IQ" w:bidi="ar-IQ"/>
        </w:rPr>
        <w:t>Жағымсыз реакцияларының қорытынды кестесі</w:t>
      </w:r>
    </w:p>
    <w:p w14:paraId="79201CAD" w14:textId="77777777" w:rsidR="00607595" w:rsidRPr="00306051" w:rsidRDefault="00607595">
      <w:pPr>
        <w:spacing w:after="0" w:line="100" w:lineRule="atLeast"/>
        <w:jc w:val="both"/>
        <w:rPr>
          <w:rFonts w:ascii="Times New Roman" w:eastAsia="Times New Roman" w:hAnsi="Times New Roman" w:cs="Times New Roman"/>
          <w:sz w:val="24"/>
          <w:szCs w:val="24"/>
          <w:lang w:val="kk-KZ"/>
        </w:rPr>
      </w:pPr>
      <w:r w:rsidRPr="00306051">
        <w:rPr>
          <w:rFonts w:ascii="Times New Roman" w:eastAsia="Times New Roman" w:hAnsi="Times New Roman" w:cs="Times New Roman"/>
          <w:sz w:val="24"/>
          <w:szCs w:val="24"/>
          <w:lang w:val="kk-KZ"/>
        </w:rPr>
        <w:t>АИТВ-1 инфекциясы бар пациенттерде жүргізілген клиникалық зерттеулерде және тіркеуден кейінгі қадағалауларда тіркелген, Эмтрицитабин және тенофовир дизопроксил фумараты препаратының компоненттерімен емдеуге қатысты болуы мүмкін жағымсыз реакциялар 3 кестеде ағзалар жүйелерінің кластары және жиіліктері бойынша келтірілген. Жиілігі бойынша бөлінген әрбір топ көлемінде жағымсыз  реакциялар ауырлығының азаюы тәртібімен келтірілген. Жағымсыз әсерлер жиілігі жағынан былайша анықталған: өте жиі (≥1/10), жиі (≥1/100 - &lt;1/10 дейін), жиі емес (≥1/1000 - &lt;1/100 дейін) және сирек (≥1/10 000 - &lt;1/1000 дейін).</w:t>
      </w:r>
    </w:p>
    <w:p w14:paraId="5FF91DEB" w14:textId="77777777" w:rsidR="00607595" w:rsidRPr="00306051" w:rsidRDefault="00607595">
      <w:pPr>
        <w:spacing w:after="0" w:line="100" w:lineRule="atLeast"/>
        <w:jc w:val="both"/>
        <w:rPr>
          <w:rFonts w:ascii="Times New Roman" w:eastAsia="Times New Roman" w:hAnsi="Times New Roman" w:cs="Times New Roman"/>
          <w:sz w:val="24"/>
          <w:szCs w:val="24"/>
          <w:lang w:val="kk-KZ"/>
        </w:rPr>
      </w:pPr>
      <w:r w:rsidRPr="00306051">
        <w:rPr>
          <w:rFonts w:ascii="Times New Roman" w:eastAsia="Times New Roman" w:hAnsi="Times New Roman" w:cs="Times New Roman"/>
          <w:sz w:val="24"/>
          <w:szCs w:val="24"/>
          <w:lang w:val="kk-KZ"/>
        </w:rPr>
        <w:t xml:space="preserve">3 кесте. </w:t>
      </w:r>
    </w:p>
    <w:p w14:paraId="72FDB0FC" w14:textId="77777777" w:rsidR="00607595" w:rsidRPr="00306051" w:rsidRDefault="00607595">
      <w:pPr>
        <w:spacing w:after="0" w:line="100" w:lineRule="atLeast"/>
        <w:jc w:val="both"/>
        <w:rPr>
          <w:rFonts w:ascii="Times New Roman" w:eastAsia="Times New Roman" w:hAnsi="Times New Roman" w:cs="Times New Roman"/>
          <w:sz w:val="24"/>
          <w:szCs w:val="24"/>
          <w:lang w:val="kk-KZ"/>
        </w:rPr>
      </w:pPr>
      <w:r w:rsidRPr="00306051">
        <w:rPr>
          <w:rFonts w:ascii="Times New Roman" w:eastAsia="Times New Roman" w:hAnsi="Times New Roman" w:cs="Times New Roman"/>
          <w:sz w:val="24"/>
          <w:szCs w:val="24"/>
          <w:lang w:val="kk-KZ"/>
        </w:rPr>
        <w:t>Эмтрицитабин және тенофовир дизопроксил фумараты препаратының жекелеген компоненттерімен байланысты жағымсыз реакциялар туралы, клиникалық зерттеу мен маркетингтен кейінгі талдаудың негізіндегі қысқаша деректер.</w:t>
      </w:r>
    </w:p>
    <w:p w14:paraId="097BB3FA" w14:textId="77777777" w:rsidR="004C09ED" w:rsidRPr="00306051" w:rsidRDefault="004C09ED">
      <w:pPr>
        <w:spacing w:after="0" w:line="100" w:lineRule="atLeast"/>
        <w:jc w:val="both"/>
        <w:rPr>
          <w:rFonts w:ascii="Times New Roman" w:eastAsia="Times New Roman" w:hAnsi="Times New Roman" w:cs="Times New Roman"/>
          <w:sz w:val="24"/>
          <w:szCs w:val="24"/>
          <w:lang w:val="kk-KZ"/>
        </w:rPr>
      </w:pPr>
    </w:p>
    <w:tbl>
      <w:tblPr>
        <w:tblW w:w="9238" w:type="dxa"/>
        <w:tblInd w:w="104" w:type="dxa"/>
        <w:tblLayout w:type="fixed"/>
        <w:tblLook w:val="0000" w:firstRow="0" w:lastRow="0" w:firstColumn="0" w:lastColumn="0" w:noHBand="0" w:noVBand="0"/>
      </w:tblPr>
      <w:tblGrid>
        <w:gridCol w:w="2178"/>
        <w:gridCol w:w="3387"/>
        <w:gridCol w:w="3648"/>
        <w:gridCol w:w="25"/>
      </w:tblGrid>
      <w:tr w:rsidR="00607595" w:rsidRPr="00306051" w14:paraId="161F74F7" w14:textId="77777777" w:rsidTr="004C09ED">
        <w:trPr>
          <w:gridAfter w:val="1"/>
          <w:wAfter w:w="20" w:type="dxa"/>
          <w:tblHeader/>
        </w:trPr>
        <w:tc>
          <w:tcPr>
            <w:tcW w:w="2179" w:type="dxa"/>
            <w:tcBorders>
              <w:top w:val="single" w:sz="4" w:space="0" w:color="000000"/>
              <w:left w:val="single" w:sz="4" w:space="0" w:color="000000"/>
              <w:bottom w:val="single" w:sz="4" w:space="0" w:color="000000"/>
            </w:tcBorders>
            <w:shd w:val="clear" w:color="auto" w:fill="auto"/>
          </w:tcPr>
          <w:p w14:paraId="69B43E2E" w14:textId="77777777" w:rsidR="00607595" w:rsidRPr="00306051" w:rsidRDefault="00607595">
            <w:pPr>
              <w:spacing w:after="0" w:line="100" w:lineRule="atLeast"/>
              <w:jc w:val="both"/>
              <w:rPr>
                <w:rFonts w:ascii="Times New Roman" w:eastAsia="Times New Roman" w:hAnsi="Times New Roman" w:cs="Times New Roman"/>
                <w:sz w:val="24"/>
                <w:szCs w:val="24"/>
              </w:rPr>
            </w:pPr>
            <w:r w:rsidRPr="00306051">
              <w:rPr>
                <w:rFonts w:ascii="Times New Roman" w:eastAsia="Times New Roman" w:hAnsi="Times New Roman" w:cs="Times New Roman"/>
                <w:sz w:val="24"/>
                <w:szCs w:val="24"/>
                <w:lang w:val="kk-KZ"/>
              </w:rPr>
              <w:t>Жиілігі</w:t>
            </w:r>
          </w:p>
        </w:tc>
        <w:tc>
          <w:tcPr>
            <w:tcW w:w="3389" w:type="dxa"/>
            <w:tcBorders>
              <w:top w:val="single" w:sz="4" w:space="0" w:color="000000"/>
              <w:left w:val="single" w:sz="4" w:space="0" w:color="000000"/>
              <w:bottom w:val="single" w:sz="4" w:space="0" w:color="000000"/>
            </w:tcBorders>
            <w:shd w:val="clear" w:color="auto" w:fill="auto"/>
          </w:tcPr>
          <w:p w14:paraId="42C26C0A"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Эмтрицитабин</w:t>
            </w:r>
            <w:proofErr w:type="spellEnd"/>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37B782BE" w14:textId="77777777" w:rsidR="00607595" w:rsidRPr="00306051" w:rsidRDefault="00607595">
            <w:pPr>
              <w:spacing w:after="0" w:line="100" w:lineRule="atLeast"/>
              <w:jc w:val="both"/>
            </w:pPr>
            <w:proofErr w:type="spellStart"/>
            <w:r w:rsidRPr="00306051">
              <w:rPr>
                <w:rFonts w:ascii="Times New Roman" w:eastAsia="Times New Roman" w:hAnsi="Times New Roman" w:cs="Times New Roman"/>
                <w:sz w:val="24"/>
                <w:szCs w:val="24"/>
              </w:rPr>
              <w:t>Тенофовир</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дизопроксил</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фумарат</w:t>
            </w:r>
            <w:proofErr w:type="spellEnd"/>
            <w:r w:rsidRPr="00306051">
              <w:rPr>
                <w:rFonts w:ascii="Times New Roman" w:eastAsia="Times New Roman" w:hAnsi="Times New Roman" w:cs="Times New Roman"/>
                <w:sz w:val="24"/>
                <w:szCs w:val="24"/>
                <w:lang w:val="kk-KZ"/>
              </w:rPr>
              <w:t>ы</w:t>
            </w:r>
          </w:p>
        </w:tc>
      </w:tr>
      <w:tr w:rsidR="00607595" w:rsidRPr="00306051" w14:paraId="44E6B33C" w14:textId="77777777" w:rsidTr="004C09ED">
        <w:tblPrEx>
          <w:tblCellMar>
            <w:left w:w="0" w:type="dxa"/>
            <w:right w:w="0" w:type="dxa"/>
          </w:tblCellMar>
        </w:tblPrEx>
        <w:tc>
          <w:tcPr>
            <w:tcW w:w="9218" w:type="dxa"/>
            <w:gridSpan w:val="3"/>
            <w:tcBorders>
              <w:top w:val="single" w:sz="4" w:space="0" w:color="000000"/>
              <w:left w:val="single" w:sz="4" w:space="0" w:color="000000"/>
              <w:bottom w:val="single" w:sz="4" w:space="0" w:color="000000"/>
            </w:tcBorders>
            <w:shd w:val="clear" w:color="auto" w:fill="D9D9D9"/>
          </w:tcPr>
          <w:p w14:paraId="4FD6D536" w14:textId="77777777" w:rsidR="00607595" w:rsidRPr="00306051" w:rsidRDefault="00607595">
            <w:pPr>
              <w:spacing w:after="0" w:line="100" w:lineRule="atLeast"/>
              <w:jc w:val="both"/>
            </w:pPr>
            <w:r w:rsidRPr="00306051">
              <w:rPr>
                <w:rFonts w:ascii="Times New Roman" w:eastAsia="Times New Roman" w:hAnsi="Times New Roman" w:cs="Times New Roman"/>
                <w:i/>
                <w:sz w:val="24"/>
                <w:szCs w:val="24"/>
                <w:lang w:val="kk-KZ"/>
              </w:rPr>
              <w:t>Қан және</w:t>
            </w:r>
            <w:r w:rsidRPr="00306051">
              <w:rPr>
                <w:rFonts w:ascii="Times New Roman" w:eastAsia="Times New Roman" w:hAnsi="Times New Roman" w:cs="Times New Roman"/>
                <w:i/>
                <w:sz w:val="24"/>
                <w:szCs w:val="24"/>
              </w:rPr>
              <w:t xml:space="preserve"> лимфа</w:t>
            </w:r>
            <w:r w:rsidRPr="00306051">
              <w:rPr>
                <w:rFonts w:ascii="Times New Roman" w:eastAsia="Times New Roman" w:hAnsi="Times New Roman" w:cs="Times New Roman"/>
                <w:i/>
                <w:sz w:val="24"/>
                <w:szCs w:val="24"/>
                <w:lang w:val="kk-KZ"/>
              </w:rPr>
              <w:t xml:space="preserve"> жүйесі тарапынан бұзылулар</w:t>
            </w:r>
          </w:p>
        </w:tc>
        <w:tc>
          <w:tcPr>
            <w:tcW w:w="20" w:type="dxa"/>
            <w:tcBorders>
              <w:left w:val="single" w:sz="4" w:space="0" w:color="000000"/>
            </w:tcBorders>
            <w:shd w:val="clear" w:color="auto" w:fill="auto"/>
          </w:tcPr>
          <w:p w14:paraId="7FBE5C45" w14:textId="77777777" w:rsidR="00607595" w:rsidRPr="00306051" w:rsidRDefault="00607595">
            <w:pPr>
              <w:snapToGrid w:val="0"/>
            </w:pPr>
          </w:p>
        </w:tc>
      </w:tr>
      <w:tr w:rsidR="00607595" w:rsidRPr="00306051" w14:paraId="3542C445"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6176DB7D"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27CF2A52"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Нейтропения</w:t>
            </w:r>
            <w:proofErr w:type="spellEnd"/>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51975272"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r>
      <w:tr w:rsidR="00607595" w:rsidRPr="00306051" w14:paraId="23525F02"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5D705146" w14:textId="77777777" w:rsidR="00607595" w:rsidRPr="00306051" w:rsidRDefault="00607595">
            <w:pPr>
              <w:spacing w:after="0" w:line="100" w:lineRule="atLeast"/>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Жиі</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емес</w:t>
            </w:r>
            <w:proofErr w:type="spellEnd"/>
          </w:p>
        </w:tc>
        <w:tc>
          <w:tcPr>
            <w:tcW w:w="3389" w:type="dxa"/>
            <w:tcBorders>
              <w:top w:val="single" w:sz="4" w:space="0" w:color="000000"/>
              <w:left w:val="single" w:sz="4" w:space="0" w:color="000000"/>
              <w:bottom w:val="single" w:sz="4" w:space="0" w:color="000000"/>
            </w:tcBorders>
            <w:shd w:val="clear" w:color="auto" w:fill="auto"/>
          </w:tcPr>
          <w:p w14:paraId="38EACBD6" w14:textId="77777777" w:rsidR="00607595" w:rsidRPr="00306051" w:rsidRDefault="00607595">
            <w:pPr>
              <w:spacing w:after="0" w:line="100" w:lineRule="atLeast"/>
              <w:jc w:val="both"/>
              <w:rPr>
                <w:rFonts w:ascii="Times New Roman" w:eastAsia="Times New Roman" w:hAnsi="Times New Roman" w:cs="Times New Roman"/>
                <w:sz w:val="24"/>
                <w:szCs w:val="24"/>
              </w:rPr>
            </w:pPr>
            <w:r w:rsidRPr="00306051">
              <w:rPr>
                <w:rFonts w:ascii="Times New Roman" w:eastAsia="Times New Roman" w:hAnsi="Times New Roman" w:cs="Times New Roman"/>
                <w:sz w:val="24"/>
                <w:szCs w:val="24"/>
              </w:rPr>
              <w:t>Анемия</w:t>
            </w:r>
            <w:r w:rsidRPr="00306051">
              <w:rPr>
                <w:rFonts w:ascii="Times New Roman" w:eastAsia="Times New Roman" w:hAnsi="Times New Roman" w:cs="Times New Roman"/>
                <w:sz w:val="24"/>
                <w:szCs w:val="24"/>
                <w:vertAlign w:val="superscript"/>
              </w:rPr>
              <w:t>2</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229AAFAE"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r>
      <w:tr w:rsidR="00607595" w:rsidRPr="00306051" w14:paraId="7314BA6E" w14:textId="77777777" w:rsidTr="004C09ED">
        <w:tblPrEx>
          <w:tblCellMar>
            <w:left w:w="0" w:type="dxa"/>
            <w:right w:w="0" w:type="dxa"/>
          </w:tblCellMar>
        </w:tblPrEx>
        <w:tc>
          <w:tcPr>
            <w:tcW w:w="9218" w:type="dxa"/>
            <w:gridSpan w:val="3"/>
            <w:tcBorders>
              <w:top w:val="single" w:sz="4" w:space="0" w:color="000000"/>
              <w:left w:val="single" w:sz="4" w:space="0" w:color="000000"/>
              <w:bottom w:val="single" w:sz="4" w:space="0" w:color="000000"/>
            </w:tcBorders>
            <w:shd w:val="clear" w:color="auto" w:fill="D9D9D9"/>
          </w:tcPr>
          <w:p w14:paraId="2A139D6E" w14:textId="77777777" w:rsidR="00607595" w:rsidRPr="00306051" w:rsidRDefault="00607595">
            <w:pPr>
              <w:spacing w:after="0" w:line="100" w:lineRule="atLeast"/>
              <w:jc w:val="both"/>
            </w:pPr>
            <w:r w:rsidRPr="00306051">
              <w:rPr>
                <w:rFonts w:ascii="Times New Roman" w:eastAsia="Times New Roman" w:hAnsi="Times New Roman" w:cs="Times New Roman"/>
                <w:i/>
                <w:sz w:val="24"/>
                <w:szCs w:val="24"/>
                <w:lang w:val="kk-KZ"/>
              </w:rPr>
              <w:t>И</w:t>
            </w:r>
            <w:proofErr w:type="spellStart"/>
            <w:r w:rsidRPr="00306051">
              <w:rPr>
                <w:rFonts w:ascii="Times New Roman" w:eastAsia="Times New Roman" w:hAnsi="Times New Roman" w:cs="Times New Roman"/>
                <w:i/>
                <w:sz w:val="24"/>
                <w:szCs w:val="24"/>
              </w:rPr>
              <w:t>ммун</w:t>
            </w:r>
            <w:proofErr w:type="spellEnd"/>
            <w:r w:rsidRPr="00306051">
              <w:rPr>
                <w:rFonts w:ascii="Times New Roman" w:eastAsia="Times New Roman" w:hAnsi="Times New Roman" w:cs="Times New Roman"/>
                <w:i/>
                <w:sz w:val="24"/>
                <w:szCs w:val="24"/>
                <w:lang w:val="kk-KZ"/>
              </w:rPr>
              <w:t>дық жүйе тарапынан бұзылулар</w:t>
            </w:r>
          </w:p>
        </w:tc>
        <w:tc>
          <w:tcPr>
            <w:tcW w:w="20" w:type="dxa"/>
            <w:tcBorders>
              <w:left w:val="single" w:sz="4" w:space="0" w:color="000000"/>
            </w:tcBorders>
            <w:shd w:val="clear" w:color="auto" w:fill="auto"/>
          </w:tcPr>
          <w:p w14:paraId="4D8B464C" w14:textId="77777777" w:rsidR="00607595" w:rsidRPr="00306051" w:rsidRDefault="00607595">
            <w:pPr>
              <w:snapToGrid w:val="0"/>
            </w:pPr>
          </w:p>
        </w:tc>
      </w:tr>
      <w:tr w:rsidR="00607595" w:rsidRPr="00306051" w14:paraId="5F478209"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7D411295"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4472CB73" w14:textId="77777777" w:rsidR="00607595" w:rsidRPr="00306051" w:rsidRDefault="00607595">
            <w:pPr>
              <w:spacing w:after="0" w:line="100" w:lineRule="atLeast"/>
              <w:jc w:val="both"/>
              <w:rPr>
                <w:rFonts w:ascii="Times New Roman" w:eastAsia="Times New Roman" w:hAnsi="Times New Roman" w:cs="Times New Roman"/>
                <w:sz w:val="24"/>
                <w:szCs w:val="24"/>
              </w:rPr>
            </w:pPr>
            <w:r w:rsidRPr="00306051">
              <w:rPr>
                <w:rFonts w:ascii="Times New Roman" w:eastAsia="Times New Roman" w:hAnsi="Times New Roman" w:cs="Times New Roman"/>
                <w:sz w:val="24"/>
                <w:szCs w:val="24"/>
              </w:rPr>
              <w:t>Аллергия</w:t>
            </w:r>
            <w:r w:rsidRPr="00306051">
              <w:rPr>
                <w:rFonts w:ascii="Times New Roman" w:eastAsia="Times New Roman" w:hAnsi="Times New Roman" w:cs="Times New Roman"/>
                <w:sz w:val="24"/>
                <w:szCs w:val="24"/>
                <w:lang w:val="kk-KZ"/>
              </w:rPr>
              <w:t>лық</w:t>
            </w:r>
            <w:r w:rsidRPr="00306051">
              <w:rPr>
                <w:rFonts w:ascii="Times New Roman" w:eastAsia="Times New Roman" w:hAnsi="Times New Roman" w:cs="Times New Roman"/>
                <w:sz w:val="24"/>
                <w:szCs w:val="24"/>
              </w:rPr>
              <w:t xml:space="preserve"> реакция</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02F3D538"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r>
      <w:tr w:rsidR="00607595" w:rsidRPr="00306051" w14:paraId="0F29A8F1" w14:textId="77777777" w:rsidTr="004C09ED">
        <w:tblPrEx>
          <w:tblCellMar>
            <w:left w:w="0" w:type="dxa"/>
            <w:right w:w="0" w:type="dxa"/>
          </w:tblCellMar>
        </w:tblPrEx>
        <w:tc>
          <w:tcPr>
            <w:tcW w:w="9218" w:type="dxa"/>
            <w:gridSpan w:val="3"/>
            <w:tcBorders>
              <w:top w:val="single" w:sz="4" w:space="0" w:color="000000"/>
              <w:left w:val="single" w:sz="4" w:space="0" w:color="000000"/>
              <w:bottom w:val="single" w:sz="4" w:space="0" w:color="000000"/>
            </w:tcBorders>
            <w:shd w:val="clear" w:color="auto" w:fill="D9D9D9"/>
          </w:tcPr>
          <w:p w14:paraId="5554720E" w14:textId="77777777" w:rsidR="00607595" w:rsidRPr="00306051" w:rsidRDefault="00607595">
            <w:pPr>
              <w:spacing w:after="0" w:line="100" w:lineRule="atLeast"/>
              <w:jc w:val="both"/>
            </w:pPr>
            <w:r w:rsidRPr="00306051">
              <w:rPr>
                <w:rFonts w:ascii="Times New Roman" w:eastAsia="Times New Roman" w:hAnsi="Times New Roman" w:cs="Times New Roman"/>
                <w:i/>
                <w:sz w:val="24"/>
                <w:szCs w:val="24"/>
                <w:lang w:val="kk-KZ"/>
              </w:rPr>
              <w:t>Тамақтану және зат алмасу тарапынан бұзылулар</w:t>
            </w:r>
          </w:p>
        </w:tc>
        <w:tc>
          <w:tcPr>
            <w:tcW w:w="20" w:type="dxa"/>
            <w:tcBorders>
              <w:left w:val="single" w:sz="4" w:space="0" w:color="000000"/>
            </w:tcBorders>
            <w:shd w:val="clear" w:color="auto" w:fill="auto"/>
          </w:tcPr>
          <w:p w14:paraId="23A86B50" w14:textId="77777777" w:rsidR="00607595" w:rsidRPr="00306051" w:rsidRDefault="00607595">
            <w:pPr>
              <w:snapToGrid w:val="0"/>
            </w:pPr>
          </w:p>
        </w:tc>
      </w:tr>
      <w:tr w:rsidR="00607595" w:rsidRPr="00306051" w14:paraId="27403674"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4C42E6F6"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Өте</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3DA35B29"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3EED0E09" w14:textId="77777777" w:rsidR="00607595" w:rsidRPr="00306051" w:rsidRDefault="00607595">
            <w:pPr>
              <w:spacing w:after="0" w:line="100" w:lineRule="atLeast"/>
              <w:jc w:val="both"/>
            </w:pPr>
            <w:r w:rsidRPr="00306051">
              <w:rPr>
                <w:rFonts w:ascii="Times New Roman" w:eastAsia="Times New Roman" w:hAnsi="Times New Roman" w:cs="Times New Roman"/>
                <w:sz w:val="24"/>
                <w:szCs w:val="24"/>
              </w:rPr>
              <w:t>Гипофосфатемия</w:t>
            </w:r>
            <w:r w:rsidRPr="00306051">
              <w:rPr>
                <w:rFonts w:ascii="Times New Roman" w:eastAsia="Times New Roman" w:hAnsi="Times New Roman" w:cs="Times New Roman"/>
                <w:sz w:val="24"/>
                <w:szCs w:val="24"/>
                <w:vertAlign w:val="superscript"/>
              </w:rPr>
              <w:t>1</w:t>
            </w:r>
          </w:p>
        </w:tc>
      </w:tr>
      <w:tr w:rsidR="00607595" w:rsidRPr="00306051" w14:paraId="6848C7C0"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6575C90B"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72AEA115" w14:textId="77777777" w:rsidR="00607595" w:rsidRPr="00306051" w:rsidRDefault="00607595">
            <w:pPr>
              <w:spacing w:after="0" w:line="100" w:lineRule="atLeast"/>
              <w:jc w:val="both"/>
              <w:rPr>
                <w:rFonts w:ascii="Times New Roman" w:eastAsia="Times New Roman" w:hAnsi="Times New Roman" w:cs="Times New Roman"/>
                <w:sz w:val="24"/>
                <w:szCs w:val="24"/>
              </w:rPr>
            </w:pPr>
            <w:r w:rsidRPr="00306051">
              <w:rPr>
                <w:rFonts w:ascii="Times New Roman" w:eastAsia="Times New Roman" w:hAnsi="Times New Roman" w:cs="Times New Roman"/>
                <w:sz w:val="24"/>
                <w:szCs w:val="24"/>
              </w:rPr>
              <w:t xml:space="preserve">Гипергликемия, </w:t>
            </w:r>
            <w:proofErr w:type="spellStart"/>
            <w:r w:rsidRPr="00306051">
              <w:rPr>
                <w:rFonts w:ascii="Times New Roman" w:eastAsia="Times New Roman" w:hAnsi="Times New Roman" w:cs="Times New Roman"/>
                <w:sz w:val="24"/>
                <w:szCs w:val="24"/>
              </w:rPr>
              <w:lastRenderedPageBreak/>
              <w:t>Гипертриглицеридемия</w:t>
            </w:r>
            <w:proofErr w:type="spellEnd"/>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306686A9"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r>
      <w:tr w:rsidR="00607595" w:rsidRPr="00306051" w14:paraId="7E29B2BD"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4B240018"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Жиі</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емес</w:t>
            </w:r>
            <w:proofErr w:type="spellEnd"/>
          </w:p>
        </w:tc>
        <w:tc>
          <w:tcPr>
            <w:tcW w:w="3389" w:type="dxa"/>
            <w:tcBorders>
              <w:top w:val="single" w:sz="4" w:space="0" w:color="000000"/>
              <w:left w:val="single" w:sz="4" w:space="0" w:color="000000"/>
              <w:bottom w:val="single" w:sz="4" w:space="0" w:color="000000"/>
            </w:tcBorders>
            <w:shd w:val="clear" w:color="auto" w:fill="auto"/>
          </w:tcPr>
          <w:p w14:paraId="3F246F69"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73D2EF0D" w14:textId="77777777" w:rsidR="00607595" w:rsidRPr="00306051" w:rsidRDefault="00607595">
            <w:pPr>
              <w:spacing w:after="0" w:line="100" w:lineRule="atLeast"/>
              <w:jc w:val="both"/>
            </w:pPr>
            <w:r w:rsidRPr="00306051">
              <w:rPr>
                <w:rFonts w:ascii="Times New Roman" w:eastAsia="Times New Roman" w:hAnsi="Times New Roman" w:cs="Times New Roman"/>
                <w:sz w:val="24"/>
                <w:szCs w:val="24"/>
              </w:rPr>
              <w:t>Гипокалиемия</w:t>
            </w:r>
            <w:r w:rsidRPr="00306051">
              <w:rPr>
                <w:rFonts w:ascii="Times New Roman" w:eastAsia="Times New Roman" w:hAnsi="Times New Roman" w:cs="Times New Roman"/>
                <w:sz w:val="24"/>
                <w:szCs w:val="24"/>
                <w:vertAlign w:val="superscript"/>
              </w:rPr>
              <w:t>1</w:t>
            </w:r>
          </w:p>
        </w:tc>
      </w:tr>
      <w:tr w:rsidR="00607595" w:rsidRPr="00306051" w14:paraId="2BEC9BD1"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20BB07F4"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Сирек</w:t>
            </w:r>
            <w:proofErr w:type="spellEnd"/>
          </w:p>
        </w:tc>
        <w:tc>
          <w:tcPr>
            <w:tcW w:w="3389" w:type="dxa"/>
            <w:tcBorders>
              <w:top w:val="single" w:sz="4" w:space="0" w:color="000000"/>
              <w:left w:val="single" w:sz="4" w:space="0" w:color="000000"/>
              <w:bottom w:val="single" w:sz="4" w:space="0" w:color="000000"/>
            </w:tcBorders>
            <w:shd w:val="clear" w:color="auto" w:fill="auto"/>
          </w:tcPr>
          <w:p w14:paraId="422CE8E4"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4FEF5715" w14:textId="77777777" w:rsidR="00607595" w:rsidRPr="00306051" w:rsidRDefault="00607595">
            <w:pPr>
              <w:spacing w:after="0" w:line="100" w:lineRule="atLeast"/>
              <w:jc w:val="both"/>
            </w:pPr>
            <w:proofErr w:type="spellStart"/>
            <w:r w:rsidRPr="00306051">
              <w:rPr>
                <w:rFonts w:ascii="Times New Roman" w:eastAsia="Times New Roman" w:hAnsi="Times New Roman" w:cs="Times New Roman"/>
                <w:sz w:val="24"/>
                <w:szCs w:val="24"/>
              </w:rPr>
              <w:t>Лактатацидоз</w:t>
            </w:r>
            <w:proofErr w:type="spellEnd"/>
          </w:p>
        </w:tc>
      </w:tr>
      <w:tr w:rsidR="00607595" w:rsidRPr="00306051" w14:paraId="36BFA398" w14:textId="77777777" w:rsidTr="004C09ED">
        <w:tblPrEx>
          <w:tblCellMar>
            <w:left w:w="0" w:type="dxa"/>
            <w:right w:w="0" w:type="dxa"/>
          </w:tblCellMar>
        </w:tblPrEx>
        <w:tc>
          <w:tcPr>
            <w:tcW w:w="9218" w:type="dxa"/>
            <w:gridSpan w:val="3"/>
            <w:tcBorders>
              <w:top w:val="single" w:sz="4" w:space="0" w:color="000000"/>
              <w:left w:val="single" w:sz="4" w:space="0" w:color="000000"/>
              <w:bottom w:val="single" w:sz="4" w:space="0" w:color="000000"/>
            </w:tcBorders>
            <w:shd w:val="clear" w:color="auto" w:fill="D9D9D9"/>
          </w:tcPr>
          <w:p w14:paraId="2F227CF0" w14:textId="77777777" w:rsidR="00607595" w:rsidRPr="00306051" w:rsidRDefault="00607595">
            <w:pPr>
              <w:spacing w:after="0" w:line="100" w:lineRule="atLeast"/>
              <w:jc w:val="both"/>
            </w:pPr>
            <w:r w:rsidRPr="00306051">
              <w:rPr>
                <w:rFonts w:ascii="Times New Roman" w:eastAsia="Times New Roman" w:hAnsi="Times New Roman" w:cs="Times New Roman"/>
                <w:i/>
                <w:sz w:val="24"/>
                <w:szCs w:val="24"/>
                <w:lang w:val="kk-KZ"/>
              </w:rPr>
              <w:t>П</w:t>
            </w:r>
            <w:proofErr w:type="spellStart"/>
            <w:r w:rsidRPr="00306051">
              <w:rPr>
                <w:rFonts w:ascii="Times New Roman" w:eastAsia="Times New Roman" w:hAnsi="Times New Roman" w:cs="Times New Roman"/>
                <w:i/>
                <w:sz w:val="24"/>
                <w:szCs w:val="24"/>
              </w:rPr>
              <w:t>сихик</w:t>
            </w:r>
            <w:proofErr w:type="spellEnd"/>
            <w:r w:rsidRPr="00306051">
              <w:rPr>
                <w:rFonts w:ascii="Times New Roman" w:eastAsia="Times New Roman" w:hAnsi="Times New Roman" w:cs="Times New Roman"/>
                <w:i/>
                <w:sz w:val="24"/>
                <w:szCs w:val="24"/>
                <w:lang w:val="kk-KZ"/>
              </w:rPr>
              <w:t>а бұзылулары</w:t>
            </w:r>
          </w:p>
        </w:tc>
        <w:tc>
          <w:tcPr>
            <w:tcW w:w="20" w:type="dxa"/>
            <w:tcBorders>
              <w:left w:val="single" w:sz="4" w:space="0" w:color="000000"/>
            </w:tcBorders>
            <w:shd w:val="clear" w:color="auto" w:fill="auto"/>
          </w:tcPr>
          <w:p w14:paraId="591FDF20" w14:textId="77777777" w:rsidR="00607595" w:rsidRPr="00306051" w:rsidRDefault="00607595">
            <w:pPr>
              <w:snapToGrid w:val="0"/>
            </w:pPr>
          </w:p>
        </w:tc>
      </w:tr>
      <w:tr w:rsidR="00607595" w:rsidRPr="00306051" w14:paraId="331E09DE"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70F3D74E"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5597CA6A"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Ұйқысыздық</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аномаль</w:t>
            </w:r>
            <w:proofErr w:type="spellEnd"/>
            <w:r w:rsidRPr="00306051">
              <w:rPr>
                <w:rFonts w:ascii="Times New Roman" w:eastAsia="Times New Roman" w:hAnsi="Times New Roman" w:cs="Times New Roman"/>
                <w:sz w:val="24"/>
                <w:szCs w:val="24"/>
                <w:lang w:val="kk-KZ"/>
              </w:rPr>
              <w:t>ді түстер көру</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3B3D20BF"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r>
      <w:tr w:rsidR="00607595" w:rsidRPr="00306051" w14:paraId="382AD02B" w14:textId="77777777" w:rsidTr="004C09ED">
        <w:tblPrEx>
          <w:tblCellMar>
            <w:left w:w="0" w:type="dxa"/>
            <w:right w:w="0" w:type="dxa"/>
          </w:tblCellMar>
        </w:tblPrEx>
        <w:tc>
          <w:tcPr>
            <w:tcW w:w="9218" w:type="dxa"/>
            <w:gridSpan w:val="3"/>
            <w:tcBorders>
              <w:top w:val="single" w:sz="4" w:space="0" w:color="000000"/>
              <w:left w:val="single" w:sz="4" w:space="0" w:color="000000"/>
              <w:bottom w:val="single" w:sz="4" w:space="0" w:color="000000"/>
            </w:tcBorders>
            <w:shd w:val="clear" w:color="auto" w:fill="D9D9D9"/>
          </w:tcPr>
          <w:p w14:paraId="226D5242" w14:textId="77777777" w:rsidR="00607595" w:rsidRPr="00306051" w:rsidRDefault="00607595">
            <w:pPr>
              <w:spacing w:after="0" w:line="100" w:lineRule="atLeast"/>
              <w:jc w:val="both"/>
            </w:pPr>
            <w:r w:rsidRPr="00306051">
              <w:rPr>
                <w:rFonts w:ascii="Times New Roman" w:eastAsia="Times New Roman" w:hAnsi="Times New Roman" w:cs="Times New Roman"/>
                <w:i/>
                <w:sz w:val="24"/>
                <w:szCs w:val="24"/>
                <w:lang w:val="kk-KZ"/>
              </w:rPr>
              <w:t>Жүйке жүйесі тарапынан бұзылулар</w:t>
            </w:r>
          </w:p>
        </w:tc>
        <w:tc>
          <w:tcPr>
            <w:tcW w:w="20" w:type="dxa"/>
            <w:tcBorders>
              <w:left w:val="single" w:sz="4" w:space="0" w:color="000000"/>
            </w:tcBorders>
            <w:shd w:val="clear" w:color="auto" w:fill="auto"/>
          </w:tcPr>
          <w:p w14:paraId="56F961D3" w14:textId="77777777" w:rsidR="00607595" w:rsidRPr="00306051" w:rsidRDefault="00607595">
            <w:pPr>
              <w:snapToGrid w:val="0"/>
            </w:pPr>
          </w:p>
        </w:tc>
      </w:tr>
      <w:tr w:rsidR="00607595" w:rsidRPr="00306051" w14:paraId="20A3ABEE"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5D80C667"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Өте</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304853E2" w14:textId="77777777" w:rsidR="00607595" w:rsidRPr="00306051" w:rsidRDefault="00607595">
            <w:pPr>
              <w:spacing w:after="0" w:line="100" w:lineRule="atLeast"/>
              <w:jc w:val="both"/>
              <w:rPr>
                <w:rFonts w:ascii="Times New Roman" w:eastAsia="Times New Roman" w:hAnsi="Times New Roman" w:cs="Times New Roman"/>
                <w:sz w:val="24"/>
                <w:szCs w:val="24"/>
              </w:rPr>
            </w:pPr>
            <w:r w:rsidRPr="00306051">
              <w:rPr>
                <w:rFonts w:ascii="Times New Roman" w:eastAsia="Times New Roman" w:hAnsi="Times New Roman" w:cs="Times New Roman"/>
                <w:sz w:val="24"/>
                <w:szCs w:val="24"/>
              </w:rPr>
              <w:t xml:space="preserve">Бас </w:t>
            </w:r>
            <w:proofErr w:type="spellStart"/>
            <w:r w:rsidRPr="00306051">
              <w:rPr>
                <w:rFonts w:ascii="Times New Roman" w:eastAsia="Times New Roman" w:hAnsi="Times New Roman" w:cs="Times New Roman"/>
                <w:sz w:val="24"/>
                <w:szCs w:val="24"/>
              </w:rPr>
              <w:t>ауыруы</w:t>
            </w:r>
            <w:proofErr w:type="spellEnd"/>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61C6BF3F" w14:textId="77777777" w:rsidR="00607595" w:rsidRPr="00306051" w:rsidRDefault="00607595">
            <w:pPr>
              <w:spacing w:after="0" w:line="100" w:lineRule="atLeast"/>
              <w:jc w:val="both"/>
            </w:pPr>
            <w:r w:rsidRPr="00306051">
              <w:rPr>
                <w:rFonts w:ascii="Times New Roman" w:eastAsia="Times New Roman" w:hAnsi="Times New Roman" w:cs="Times New Roman"/>
                <w:sz w:val="24"/>
                <w:szCs w:val="24"/>
              </w:rPr>
              <w:t xml:space="preserve">Бас </w:t>
            </w:r>
            <w:proofErr w:type="spellStart"/>
            <w:r w:rsidRPr="00306051">
              <w:rPr>
                <w:rFonts w:ascii="Times New Roman" w:eastAsia="Times New Roman" w:hAnsi="Times New Roman" w:cs="Times New Roman"/>
                <w:sz w:val="24"/>
                <w:szCs w:val="24"/>
              </w:rPr>
              <w:t>айналуы</w:t>
            </w:r>
            <w:proofErr w:type="spellEnd"/>
          </w:p>
        </w:tc>
      </w:tr>
      <w:tr w:rsidR="00607595" w:rsidRPr="00306051" w14:paraId="4D4E1C85"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42078D59"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36C6588A" w14:textId="77777777" w:rsidR="00607595" w:rsidRPr="00306051" w:rsidRDefault="00607595">
            <w:pPr>
              <w:spacing w:after="0" w:line="100" w:lineRule="atLeast"/>
              <w:jc w:val="both"/>
              <w:rPr>
                <w:rFonts w:ascii="Times New Roman" w:eastAsia="Times New Roman" w:hAnsi="Times New Roman" w:cs="Times New Roman"/>
                <w:sz w:val="24"/>
                <w:szCs w:val="24"/>
                <w:lang w:val="en-GB"/>
              </w:rPr>
            </w:pPr>
            <w:r w:rsidRPr="00306051">
              <w:rPr>
                <w:rFonts w:ascii="Times New Roman" w:eastAsia="Times New Roman" w:hAnsi="Times New Roman" w:cs="Times New Roman"/>
                <w:sz w:val="24"/>
                <w:szCs w:val="24"/>
              </w:rPr>
              <w:t xml:space="preserve">Бас </w:t>
            </w:r>
            <w:proofErr w:type="spellStart"/>
            <w:r w:rsidRPr="00306051">
              <w:rPr>
                <w:rFonts w:ascii="Times New Roman" w:eastAsia="Times New Roman" w:hAnsi="Times New Roman" w:cs="Times New Roman"/>
                <w:sz w:val="24"/>
                <w:szCs w:val="24"/>
              </w:rPr>
              <w:t>айналуы</w:t>
            </w:r>
            <w:proofErr w:type="spellEnd"/>
          </w:p>
          <w:p w14:paraId="723F6B5D" w14:textId="77777777" w:rsidR="00607595" w:rsidRPr="00306051" w:rsidRDefault="00607595">
            <w:pPr>
              <w:spacing w:after="0" w:line="100" w:lineRule="atLeast"/>
              <w:jc w:val="both"/>
              <w:rPr>
                <w:rFonts w:ascii="Times New Roman" w:eastAsia="Times New Roman" w:hAnsi="Times New Roman" w:cs="Times New Roman"/>
                <w:sz w:val="24"/>
                <w:szCs w:val="24"/>
                <w:lang w:val="en-GB"/>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0606C8B3" w14:textId="77777777" w:rsidR="00607595" w:rsidRPr="00306051" w:rsidRDefault="00607595">
            <w:pPr>
              <w:spacing w:after="0" w:line="100" w:lineRule="atLeast"/>
              <w:jc w:val="both"/>
            </w:pPr>
            <w:r w:rsidRPr="00306051">
              <w:rPr>
                <w:rFonts w:ascii="Times New Roman" w:eastAsia="Times New Roman" w:hAnsi="Times New Roman" w:cs="Times New Roman"/>
                <w:sz w:val="24"/>
                <w:szCs w:val="24"/>
              </w:rPr>
              <w:t xml:space="preserve">Бас </w:t>
            </w:r>
            <w:proofErr w:type="spellStart"/>
            <w:r w:rsidRPr="00306051">
              <w:rPr>
                <w:rFonts w:ascii="Times New Roman" w:eastAsia="Times New Roman" w:hAnsi="Times New Roman" w:cs="Times New Roman"/>
                <w:sz w:val="24"/>
                <w:szCs w:val="24"/>
              </w:rPr>
              <w:t>ауыруы</w:t>
            </w:r>
            <w:proofErr w:type="spellEnd"/>
          </w:p>
        </w:tc>
      </w:tr>
      <w:tr w:rsidR="00607595" w:rsidRPr="00306051" w14:paraId="35D0BB75" w14:textId="77777777" w:rsidTr="004C09ED">
        <w:tblPrEx>
          <w:tblCellMar>
            <w:left w:w="0" w:type="dxa"/>
            <w:right w:w="0" w:type="dxa"/>
          </w:tblCellMar>
        </w:tblPrEx>
        <w:tc>
          <w:tcPr>
            <w:tcW w:w="9218" w:type="dxa"/>
            <w:gridSpan w:val="3"/>
            <w:tcBorders>
              <w:top w:val="single" w:sz="4" w:space="0" w:color="000000"/>
              <w:left w:val="single" w:sz="4" w:space="0" w:color="000000"/>
              <w:bottom w:val="single" w:sz="4" w:space="0" w:color="000000"/>
            </w:tcBorders>
            <w:shd w:val="clear" w:color="auto" w:fill="D9D9D9"/>
          </w:tcPr>
          <w:p w14:paraId="48A8FB93" w14:textId="77777777" w:rsidR="00607595" w:rsidRPr="00306051" w:rsidRDefault="00607595">
            <w:pPr>
              <w:spacing w:after="0" w:line="100" w:lineRule="atLeast"/>
              <w:jc w:val="both"/>
            </w:pPr>
            <w:r w:rsidRPr="00306051">
              <w:rPr>
                <w:rFonts w:ascii="Times New Roman" w:eastAsia="Times New Roman" w:hAnsi="Times New Roman" w:cs="Times New Roman"/>
                <w:i/>
                <w:sz w:val="24"/>
                <w:szCs w:val="24"/>
                <w:lang w:val="kk-KZ"/>
              </w:rPr>
              <w:t>Асқазан-ішек жолы тарапынан бұзылулар</w:t>
            </w:r>
          </w:p>
        </w:tc>
        <w:tc>
          <w:tcPr>
            <w:tcW w:w="20" w:type="dxa"/>
            <w:tcBorders>
              <w:left w:val="single" w:sz="4" w:space="0" w:color="000000"/>
            </w:tcBorders>
            <w:shd w:val="clear" w:color="auto" w:fill="auto"/>
          </w:tcPr>
          <w:p w14:paraId="15C80767" w14:textId="77777777" w:rsidR="00607595" w:rsidRPr="00306051" w:rsidRDefault="00607595">
            <w:pPr>
              <w:snapToGrid w:val="0"/>
            </w:pPr>
          </w:p>
        </w:tc>
      </w:tr>
      <w:tr w:rsidR="00607595" w:rsidRPr="00306051" w14:paraId="5C81AF71"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23B44475"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Өте</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55B304E2" w14:textId="77777777" w:rsidR="00607595" w:rsidRPr="00306051" w:rsidRDefault="00607595">
            <w:pPr>
              <w:spacing w:after="0" w:line="100" w:lineRule="atLeast"/>
              <w:jc w:val="both"/>
              <w:rPr>
                <w:rFonts w:ascii="Times New Roman" w:eastAsia="Times New Roman" w:hAnsi="Times New Roman" w:cs="Times New Roman"/>
                <w:sz w:val="24"/>
                <w:szCs w:val="24"/>
              </w:rPr>
            </w:pPr>
            <w:r w:rsidRPr="00306051">
              <w:rPr>
                <w:rFonts w:ascii="Times New Roman" w:eastAsia="Times New Roman" w:hAnsi="Times New Roman" w:cs="Times New Roman"/>
                <w:sz w:val="24"/>
                <w:szCs w:val="24"/>
              </w:rPr>
              <w:t xml:space="preserve">Диарея, </w:t>
            </w:r>
            <w:proofErr w:type="spellStart"/>
            <w:r w:rsidRPr="00306051">
              <w:rPr>
                <w:rFonts w:ascii="Times New Roman" w:eastAsia="Times New Roman" w:hAnsi="Times New Roman" w:cs="Times New Roman"/>
                <w:sz w:val="24"/>
                <w:szCs w:val="24"/>
              </w:rPr>
              <w:t>жүрек</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айнуы</w:t>
            </w:r>
            <w:proofErr w:type="spellEnd"/>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4FCF3DC6" w14:textId="77777777" w:rsidR="00607595" w:rsidRPr="00306051" w:rsidRDefault="00607595">
            <w:pPr>
              <w:spacing w:after="0" w:line="100" w:lineRule="atLeast"/>
              <w:jc w:val="both"/>
            </w:pPr>
            <w:r w:rsidRPr="00306051">
              <w:rPr>
                <w:rFonts w:ascii="Times New Roman" w:eastAsia="Times New Roman" w:hAnsi="Times New Roman" w:cs="Times New Roman"/>
                <w:sz w:val="24"/>
                <w:szCs w:val="24"/>
              </w:rPr>
              <w:t xml:space="preserve">Диарея, </w:t>
            </w:r>
            <w:proofErr w:type="spellStart"/>
            <w:r w:rsidRPr="00306051">
              <w:rPr>
                <w:rFonts w:ascii="Times New Roman" w:eastAsia="Times New Roman" w:hAnsi="Times New Roman" w:cs="Times New Roman"/>
                <w:sz w:val="24"/>
                <w:szCs w:val="24"/>
              </w:rPr>
              <w:t>құсу</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жүрек</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айнуы</w:t>
            </w:r>
            <w:proofErr w:type="spellEnd"/>
          </w:p>
        </w:tc>
      </w:tr>
      <w:tr w:rsidR="00607595" w:rsidRPr="007A5E44" w14:paraId="42529298"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76346C12" w14:textId="77777777" w:rsidR="00607595" w:rsidRPr="00306051" w:rsidRDefault="00607595">
            <w:pPr>
              <w:spacing w:after="0" w:line="100" w:lineRule="atLeast"/>
              <w:jc w:val="both"/>
              <w:rPr>
                <w:rFonts w:ascii="Times New Roman" w:eastAsia="Times New Roman" w:hAnsi="Times New Roman" w:cs="Times New Roman"/>
                <w:sz w:val="24"/>
                <w:szCs w:val="24"/>
                <w:lang w:val="kk-KZ"/>
              </w:rPr>
            </w:pP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5422EF91" w14:textId="77777777" w:rsidR="00607595" w:rsidRPr="00306051" w:rsidRDefault="00607595">
            <w:pPr>
              <w:spacing w:after="0" w:line="100" w:lineRule="atLeast"/>
              <w:jc w:val="both"/>
              <w:rPr>
                <w:rFonts w:ascii="Times New Roman" w:eastAsia="Times New Roman" w:hAnsi="Times New Roman" w:cs="Times New Roman"/>
                <w:sz w:val="24"/>
                <w:szCs w:val="24"/>
                <w:lang w:val="kk-KZ"/>
              </w:rPr>
            </w:pPr>
            <w:r w:rsidRPr="00306051">
              <w:rPr>
                <w:rFonts w:ascii="Times New Roman" w:eastAsia="Times New Roman" w:hAnsi="Times New Roman" w:cs="Times New Roman"/>
                <w:sz w:val="24"/>
                <w:szCs w:val="24"/>
                <w:lang w:val="kk-KZ"/>
              </w:rPr>
              <w:t>Ұйқы безі амилазасы деңгейінің жоғарылауын, сарысудағы липаза деңгейінің жоғарылауын қоса, амилаза деңгейінің жоғарылауы, құсу, іш ауыруы, диспепсия</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5B4D5F6C" w14:textId="77777777" w:rsidR="00607595" w:rsidRPr="00306051" w:rsidRDefault="00607595">
            <w:pPr>
              <w:spacing w:after="0" w:line="100" w:lineRule="atLeast"/>
              <w:jc w:val="both"/>
              <w:rPr>
                <w:lang w:val="kk-KZ"/>
              </w:rPr>
            </w:pPr>
            <w:r w:rsidRPr="00306051">
              <w:rPr>
                <w:rFonts w:ascii="Times New Roman" w:eastAsia="Times New Roman" w:hAnsi="Times New Roman" w:cs="Times New Roman"/>
                <w:sz w:val="24"/>
                <w:szCs w:val="24"/>
                <w:lang w:val="kk-KZ"/>
              </w:rPr>
              <w:t>Іш ауыруы, іш кебуі, метеоризм</w:t>
            </w:r>
          </w:p>
        </w:tc>
      </w:tr>
      <w:tr w:rsidR="00607595" w:rsidRPr="00306051" w14:paraId="109D8051"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74CE9B52"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Жиі</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емес</w:t>
            </w:r>
            <w:proofErr w:type="spellEnd"/>
          </w:p>
        </w:tc>
        <w:tc>
          <w:tcPr>
            <w:tcW w:w="3389" w:type="dxa"/>
            <w:tcBorders>
              <w:top w:val="single" w:sz="4" w:space="0" w:color="000000"/>
              <w:left w:val="single" w:sz="4" w:space="0" w:color="000000"/>
              <w:bottom w:val="single" w:sz="4" w:space="0" w:color="000000"/>
            </w:tcBorders>
            <w:shd w:val="clear" w:color="auto" w:fill="auto"/>
          </w:tcPr>
          <w:p w14:paraId="35298B48"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15D1119D" w14:textId="77777777" w:rsidR="00607595" w:rsidRPr="00306051" w:rsidRDefault="00607595">
            <w:pPr>
              <w:spacing w:after="0" w:line="100" w:lineRule="atLeast"/>
              <w:jc w:val="both"/>
            </w:pPr>
            <w:r w:rsidRPr="00306051">
              <w:rPr>
                <w:rFonts w:ascii="Times New Roman" w:eastAsia="Times New Roman" w:hAnsi="Times New Roman" w:cs="Times New Roman"/>
                <w:sz w:val="24"/>
                <w:szCs w:val="24"/>
              </w:rPr>
              <w:t>Панкреатит</w:t>
            </w:r>
          </w:p>
        </w:tc>
      </w:tr>
      <w:tr w:rsidR="00607595" w:rsidRPr="00306051" w14:paraId="5AC34C46" w14:textId="77777777" w:rsidTr="004C09ED">
        <w:tblPrEx>
          <w:tblCellMar>
            <w:left w:w="0" w:type="dxa"/>
            <w:right w:w="0" w:type="dxa"/>
          </w:tblCellMar>
        </w:tblPrEx>
        <w:tc>
          <w:tcPr>
            <w:tcW w:w="9218" w:type="dxa"/>
            <w:gridSpan w:val="3"/>
            <w:tcBorders>
              <w:top w:val="single" w:sz="4" w:space="0" w:color="000000"/>
              <w:left w:val="single" w:sz="4" w:space="0" w:color="000000"/>
              <w:bottom w:val="single" w:sz="4" w:space="0" w:color="000000"/>
            </w:tcBorders>
            <w:shd w:val="clear" w:color="auto" w:fill="D9D9D9"/>
          </w:tcPr>
          <w:p w14:paraId="05505375" w14:textId="77777777" w:rsidR="00607595" w:rsidRPr="00306051" w:rsidRDefault="00607595">
            <w:pPr>
              <w:spacing w:after="0" w:line="100" w:lineRule="atLeast"/>
              <w:jc w:val="both"/>
            </w:pPr>
            <w:r w:rsidRPr="00306051">
              <w:rPr>
                <w:rFonts w:ascii="Times New Roman" w:eastAsia="Times New Roman" w:hAnsi="Times New Roman" w:cs="Times New Roman"/>
                <w:i/>
                <w:sz w:val="24"/>
                <w:szCs w:val="24"/>
                <w:lang w:val="kk-KZ"/>
              </w:rPr>
              <w:t>Бауыр және өт шығару жолдары тарапынан бұзылулар</w:t>
            </w:r>
          </w:p>
        </w:tc>
        <w:tc>
          <w:tcPr>
            <w:tcW w:w="20" w:type="dxa"/>
            <w:tcBorders>
              <w:left w:val="single" w:sz="4" w:space="0" w:color="000000"/>
            </w:tcBorders>
            <w:shd w:val="clear" w:color="auto" w:fill="auto"/>
          </w:tcPr>
          <w:p w14:paraId="759E7389" w14:textId="77777777" w:rsidR="00607595" w:rsidRPr="00306051" w:rsidRDefault="00607595">
            <w:pPr>
              <w:snapToGrid w:val="0"/>
            </w:pPr>
          </w:p>
        </w:tc>
      </w:tr>
      <w:tr w:rsidR="00607595" w:rsidRPr="00306051" w14:paraId="16DBFDE8"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1151FCDD" w14:textId="77777777" w:rsidR="00607595" w:rsidRPr="00306051" w:rsidRDefault="00607595">
            <w:pPr>
              <w:spacing w:after="0" w:line="100" w:lineRule="atLeast"/>
              <w:jc w:val="both"/>
              <w:rPr>
                <w:rFonts w:ascii="Times New Roman" w:eastAsia="Times New Roman" w:hAnsi="Times New Roman" w:cs="Times New Roman"/>
                <w:sz w:val="24"/>
                <w:szCs w:val="24"/>
                <w:lang w:val="kk-KZ"/>
              </w:rPr>
            </w:pP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115E5F30" w14:textId="77777777" w:rsidR="00607595" w:rsidRPr="00306051" w:rsidRDefault="00607595">
            <w:pPr>
              <w:spacing w:after="0" w:line="100" w:lineRule="atLeast"/>
              <w:jc w:val="both"/>
              <w:rPr>
                <w:rFonts w:ascii="Times New Roman" w:eastAsia="Times New Roman" w:hAnsi="Times New Roman" w:cs="Times New Roman"/>
                <w:sz w:val="24"/>
                <w:szCs w:val="24"/>
                <w:lang w:val="kk-KZ"/>
              </w:rPr>
            </w:pPr>
            <w:r w:rsidRPr="00306051">
              <w:rPr>
                <w:rFonts w:ascii="Times New Roman" w:eastAsia="Times New Roman" w:hAnsi="Times New Roman" w:cs="Times New Roman"/>
                <w:sz w:val="24"/>
                <w:szCs w:val="24"/>
                <w:lang w:val="kk-KZ"/>
              </w:rPr>
              <w:t>Сарысудағы аспартатаминотрансфераза (АСТ) деңгейінің жоғарылауы және/немесе сарысудағы аланинаминотрансфераза (АЛТ) деңгейінің жоғарылауы, гипербилирубинемия</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6C76710D" w14:textId="77777777" w:rsidR="00607595" w:rsidRPr="00306051" w:rsidRDefault="00607595">
            <w:pPr>
              <w:spacing w:after="0" w:line="100" w:lineRule="atLeast"/>
              <w:jc w:val="both"/>
            </w:pPr>
            <w:r w:rsidRPr="00306051">
              <w:rPr>
                <w:rFonts w:ascii="Times New Roman" w:eastAsia="Times New Roman" w:hAnsi="Times New Roman" w:cs="Times New Roman"/>
                <w:sz w:val="24"/>
                <w:szCs w:val="24"/>
                <w:lang w:val="kk-KZ"/>
              </w:rPr>
              <w:t>Т</w:t>
            </w:r>
            <w:proofErr w:type="spellStart"/>
            <w:r w:rsidRPr="00306051">
              <w:rPr>
                <w:rFonts w:ascii="Times New Roman" w:eastAsia="Times New Roman" w:hAnsi="Times New Roman" w:cs="Times New Roman"/>
                <w:sz w:val="24"/>
                <w:szCs w:val="24"/>
              </w:rPr>
              <w:t>рансаминаз</w:t>
            </w:r>
            <w:proofErr w:type="spellEnd"/>
            <w:r w:rsidRPr="00306051">
              <w:rPr>
                <w:rFonts w:ascii="Times New Roman" w:eastAsia="Times New Roman" w:hAnsi="Times New Roman" w:cs="Times New Roman"/>
                <w:sz w:val="24"/>
                <w:szCs w:val="24"/>
                <w:lang w:val="kk-KZ"/>
              </w:rPr>
              <w:t>а деңгейінің жоғарылау</w:t>
            </w:r>
            <w:r w:rsidRPr="00306051">
              <w:rPr>
                <w:rFonts w:ascii="Times New Roman" w:eastAsia="Times New Roman" w:hAnsi="Times New Roman" w:cs="Times New Roman"/>
                <w:sz w:val="24"/>
                <w:szCs w:val="24"/>
              </w:rPr>
              <w:t>ы</w:t>
            </w:r>
          </w:p>
        </w:tc>
      </w:tr>
      <w:tr w:rsidR="00607595" w:rsidRPr="00306051" w14:paraId="4711E339"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10A85C44"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Сирек</w:t>
            </w:r>
            <w:proofErr w:type="spellEnd"/>
          </w:p>
        </w:tc>
        <w:tc>
          <w:tcPr>
            <w:tcW w:w="3389" w:type="dxa"/>
            <w:tcBorders>
              <w:top w:val="single" w:sz="4" w:space="0" w:color="000000"/>
              <w:left w:val="single" w:sz="4" w:space="0" w:color="000000"/>
              <w:bottom w:val="single" w:sz="4" w:space="0" w:color="000000"/>
            </w:tcBorders>
            <w:shd w:val="clear" w:color="auto" w:fill="auto"/>
          </w:tcPr>
          <w:p w14:paraId="25E84BE9"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5BB4EDC1" w14:textId="77777777" w:rsidR="00607595" w:rsidRPr="00306051" w:rsidRDefault="00607595">
            <w:pPr>
              <w:spacing w:after="0" w:line="100" w:lineRule="atLeast"/>
              <w:jc w:val="both"/>
            </w:pPr>
            <w:r w:rsidRPr="00306051">
              <w:rPr>
                <w:rFonts w:ascii="Times New Roman" w:eastAsia="Times New Roman" w:hAnsi="Times New Roman" w:cs="Times New Roman"/>
                <w:sz w:val="24"/>
                <w:szCs w:val="24"/>
                <w:lang w:val="kk-KZ"/>
              </w:rPr>
              <w:t>Бауырдың майлы</w:t>
            </w:r>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дистрофиясы</w:t>
            </w:r>
            <w:proofErr w:type="spellEnd"/>
            <w:r w:rsidRPr="00306051">
              <w:rPr>
                <w:rFonts w:ascii="Times New Roman" w:eastAsia="Times New Roman" w:hAnsi="Times New Roman" w:cs="Times New Roman"/>
                <w:sz w:val="24"/>
                <w:szCs w:val="24"/>
              </w:rPr>
              <w:t>, гепатит</w:t>
            </w:r>
          </w:p>
        </w:tc>
      </w:tr>
      <w:tr w:rsidR="00607595" w:rsidRPr="00306051" w14:paraId="1ECF11ED" w14:textId="77777777" w:rsidTr="004C09ED">
        <w:tblPrEx>
          <w:tblCellMar>
            <w:left w:w="0" w:type="dxa"/>
            <w:right w:w="0" w:type="dxa"/>
          </w:tblCellMar>
        </w:tblPrEx>
        <w:tc>
          <w:tcPr>
            <w:tcW w:w="9218" w:type="dxa"/>
            <w:gridSpan w:val="3"/>
            <w:tcBorders>
              <w:top w:val="single" w:sz="4" w:space="0" w:color="000000"/>
              <w:left w:val="single" w:sz="4" w:space="0" w:color="000000"/>
              <w:bottom w:val="single" w:sz="4" w:space="0" w:color="000000"/>
            </w:tcBorders>
            <w:shd w:val="clear" w:color="auto" w:fill="D9D9D9"/>
          </w:tcPr>
          <w:p w14:paraId="1446E0F2" w14:textId="77777777" w:rsidR="00607595" w:rsidRPr="00306051" w:rsidRDefault="00607595">
            <w:pPr>
              <w:spacing w:after="0" w:line="100" w:lineRule="atLeast"/>
              <w:jc w:val="both"/>
            </w:pPr>
            <w:r w:rsidRPr="00306051">
              <w:rPr>
                <w:rFonts w:ascii="Times New Roman" w:eastAsia="Times New Roman" w:hAnsi="Times New Roman" w:cs="Times New Roman"/>
                <w:i/>
                <w:sz w:val="24"/>
                <w:szCs w:val="24"/>
                <w:lang w:val="kk-KZ"/>
              </w:rPr>
              <w:t>Тері және теріасты тіндері тарапынан бұзылулар</w:t>
            </w:r>
          </w:p>
        </w:tc>
        <w:tc>
          <w:tcPr>
            <w:tcW w:w="20" w:type="dxa"/>
            <w:tcBorders>
              <w:left w:val="single" w:sz="4" w:space="0" w:color="000000"/>
            </w:tcBorders>
            <w:shd w:val="clear" w:color="auto" w:fill="auto"/>
          </w:tcPr>
          <w:p w14:paraId="7E305237" w14:textId="77777777" w:rsidR="00607595" w:rsidRPr="00306051" w:rsidRDefault="00607595">
            <w:pPr>
              <w:snapToGrid w:val="0"/>
            </w:pPr>
          </w:p>
        </w:tc>
      </w:tr>
      <w:tr w:rsidR="00607595" w:rsidRPr="00306051" w14:paraId="79FE943D"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08EF7403"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Өте</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6542526E"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3C6140C5" w14:textId="77777777" w:rsidR="00607595" w:rsidRPr="00306051" w:rsidRDefault="00607595">
            <w:pPr>
              <w:spacing w:after="0" w:line="100" w:lineRule="atLeast"/>
              <w:jc w:val="both"/>
            </w:pPr>
            <w:proofErr w:type="spellStart"/>
            <w:r w:rsidRPr="00306051">
              <w:rPr>
                <w:rFonts w:ascii="Times New Roman" w:eastAsia="Times New Roman" w:hAnsi="Times New Roman" w:cs="Times New Roman"/>
                <w:sz w:val="24"/>
                <w:szCs w:val="24"/>
              </w:rPr>
              <w:t>Бөртпе</w:t>
            </w:r>
            <w:proofErr w:type="spellEnd"/>
          </w:p>
        </w:tc>
      </w:tr>
      <w:tr w:rsidR="00607595" w:rsidRPr="00306051" w14:paraId="1F005A84"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3689DDB9" w14:textId="77777777" w:rsidR="00607595" w:rsidRPr="00306051" w:rsidRDefault="00607595">
            <w:pPr>
              <w:spacing w:after="0" w:line="100" w:lineRule="atLeast"/>
              <w:jc w:val="both"/>
              <w:rPr>
                <w:rFonts w:ascii="Times New Roman" w:eastAsia="Times New Roman" w:hAnsi="Times New Roman" w:cs="Times New Roman"/>
                <w:bCs/>
                <w:sz w:val="24"/>
                <w:szCs w:val="24"/>
              </w:rPr>
            </w:pP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620BDBE5"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bCs/>
                <w:sz w:val="24"/>
                <w:szCs w:val="24"/>
              </w:rPr>
              <w:t>Везикулобуллез</w:t>
            </w:r>
            <w:proofErr w:type="spellEnd"/>
            <w:r w:rsidRPr="00306051">
              <w:rPr>
                <w:rFonts w:ascii="Times New Roman" w:eastAsia="Times New Roman" w:hAnsi="Times New Roman" w:cs="Times New Roman"/>
                <w:bCs/>
                <w:sz w:val="24"/>
                <w:szCs w:val="24"/>
                <w:lang w:val="kk-KZ"/>
              </w:rPr>
              <w:t>дік</w:t>
            </w:r>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бөртпе</w:t>
            </w:r>
            <w:proofErr w:type="spellEnd"/>
            <w:r w:rsidRPr="00306051">
              <w:rPr>
                <w:rFonts w:ascii="Times New Roman" w:eastAsia="Times New Roman" w:hAnsi="Times New Roman" w:cs="Times New Roman"/>
                <w:bCs/>
                <w:sz w:val="24"/>
                <w:szCs w:val="24"/>
              </w:rPr>
              <w:t>, пустул</w:t>
            </w:r>
            <w:r w:rsidRPr="00306051">
              <w:rPr>
                <w:rFonts w:ascii="Times New Roman" w:eastAsia="Times New Roman" w:hAnsi="Times New Roman" w:cs="Times New Roman"/>
                <w:bCs/>
                <w:sz w:val="24"/>
                <w:szCs w:val="24"/>
                <w:lang w:val="kk-KZ"/>
              </w:rPr>
              <w:t>алық</w:t>
            </w:r>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бөртпе</w:t>
            </w:r>
            <w:proofErr w:type="spellEnd"/>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макулопапул</w:t>
            </w:r>
            <w:proofErr w:type="spellEnd"/>
            <w:r w:rsidRPr="00306051">
              <w:rPr>
                <w:rFonts w:ascii="Times New Roman" w:eastAsia="Times New Roman" w:hAnsi="Times New Roman" w:cs="Times New Roman"/>
                <w:bCs/>
                <w:sz w:val="24"/>
                <w:szCs w:val="24"/>
                <w:lang w:val="kk-KZ"/>
              </w:rPr>
              <w:t>алық</w:t>
            </w:r>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бөртпе</w:t>
            </w:r>
            <w:proofErr w:type="spellEnd"/>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бөртпе</w:t>
            </w:r>
            <w:proofErr w:type="spellEnd"/>
            <w:r w:rsidRPr="00306051">
              <w:rPr>
                <w:rFonts w:ascii="Times New Roman" w:eastAsia="Times New Roman" w:hAnsi="Times New Roman" w:cs="Times New Roman"/>
                <w:bCs/>
                <w:sz w:val="24"/>
                <w:szCs w:val="24"/>
              </w:rPr>
              <w:t xml:space="preserve">, </w:t>
            </w:r>
            <w:r w:rsidRPr="00306051">
              <w:rPr>
                <w:rFonts w:ascii="Times New Roman" w:eastAsia="Times New Roman" w:hAnsi="Times New Roman" w:cs="Times New Roman"/>
                <w:bCs/>
                <w:sz w:val="24"/>
                <w:szCs w:val="24"/>
                <w:lang w:val="kk-KZ"/>
              </w:rPr>
              <w:t>қышыну</w:t>
            </w:r>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уртикар</w:t>
            </w:r>
            <w:proofErr w:type="spellEnd"/>
            <w:r w:rsidRPr="00306051">
              <w:rPr>
                <w:rFonts w:ascii="Times New Roman" w:eastAsia="Times New Roman" w:hAnsi="Times New Roman" w:cs="Times New Roman"/>
                <w:bCs/>
                <w:sz w:val="24"/>
                <w:szCs w:val="24"/>
                <w:lang w:val="kk-KZ"/>
              </w:rPr>
              <w:t>лық</w:t>
            </w:r>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бөртпе</w:t>
            </w:r>
            <w:proofErr w:type="spellEnd"/>
            <w:r w:rsidRPr="00306051">
              <w:rPr>
                <w:rFonts w:ascii="Times New Roman" w:eastAsia="Times New Roman" w:hAnsi="Times New Roman" w:cs="Times New Roman"/>
                <w:bCs/>
                <w:sz w:val="24"/>
                <w:szCs w:val="24"/>
              </w:rPr>
              <w:t xml:space="preserve">, </w:t>
            </w:r>
            <w:r w:rsidRPr="00306051">
              <w:rPr>
                <w:rFonts w:ascii="Times New Roman" w:eastAsia="Times New Roman" w:hAnsi="Times New Roman" w:cs="Times New Roman"/>
                <w:bCs/>
                <w:sz w:val="24"/>
                <w:szCs w:val="24"/>
                <w:lang w:val="kk-KZ"/>
              </w:rPr>
              <w:t>тері</w:t>
            </w:r>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пигментаци</w:t>
            </w:r>
            <w:proofErr w:type="spellEnd"/>
            <w:r w:rsidRPr="00306051">
              <w:rPr>
                <w:rFonts w:ascii="Times New Roman" w:eastAsia="Times New Roman" w:hAnsi="Times New Roman" w:cs="Times New Roman"/>
                <w:bCs/>
                <w:sz w:val="24"/>
                <w:szCs w:val="24"/>
                <w:lang w:val="kk-KZ"/>
              </w:rPr>
              <w:t>ясының бұзылуы</w:t>
            </w:r>
            <w:r w:rsidRPr="00306051">
              <w:rPr>
                <w:rFonts w:ascii="Times New Roman" w:eastAsia="Times New Roman" w:hAnsi="Times New Roman" w:cs="Times New Roman"/>
                <w:bCs/>
                <w:sz w:val="24"/>
                <w:szCs w:val="24"/>
              </w:rPr>
              <w:t xml:space="preserve"> (пигментация</w:t>
            </w:r>
            <w:r w:rsidRPr="00306051">
              <w:rPr>
                <w:rFonts w:ascii="Times New Roman" w:eastAsia="Times New Roman" w:hAnsi="Times New Roman" w:cs="Times New Roman"/>
                <w:bCs/>
                <w:sz w:val="24"/>
                <w:szCs w:val="24"/>
                <w:lang w:val="kk-KZ"/>
              </w:rPr>
              <w:t>ның күшеюі</w:t>
            </w:r>
            <w:r w:rsidRPr="00306051">
              <w:rPr>
                <w:rFonts w:ascii="Times New Roman" w:eastAsia="Times New Roman" w:hAnsi="Times New Roman" w:cs="Times New Roman"/>
                <w:bCs/>
                <w:sz w:val="24"/>
                <w:szCs w:val="24"/>
              </w:rPr>
              <w:t>)</w:t>
            </w:r>
            <w:r w:rsidRPr="00306051">
              <w:rPr>
                <w:rFonts w:ascii="Times New Roman" w:eastAsia="Times New Roman" w:hAnsi="Times New Roman" w:cs="Times New Roman"/>
                <w:bCs/>
                <w:sz w:val="24"/>
                <w:szCs w:val="24"/>
                <w:vertAlign w:val="superscript"/>
              </w:rPr>
              <w:t>2</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7BFFCA49"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r>
      <w:tr w:rsidR="00607595" w:rsidRPr="00306051" w14:paraId="5129D50D"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6B9D4780"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Жиі</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емес</w:t>
            </w:r>
            <w:proofErr w:type="spellEnd"/>
          </w:p>
        </w:tc>
        <w:tc>
          <w:tcPr>
            <w:tcW w:w="3389" w:type="dxa"/>
            <w:tcBorders>
              <w:top w:val="single" w:sz="4" w:space="0" w:color="000000"/>
              <w:left w:val="single" w:sz="4" w:space="0" w:color="000000"/>
              <w:bottom w:val="single" w:sz="4" w:space="0" w:color="000000"/>
            </w:tcBorders>
            <w:shd w:val="clear" w:color="auto" w:fill="auto"/>
          </w:tcPr>
          <w:p w14:paraId="0BCCF9A2"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Ангионевро</w:t>
            </w:r>
            <w:proofErr w:type="spellEnd"/>
            <w:r w:rsidRPr="00306051">
              <w:rPr>
                <w:rFonts w:ascii="Times New Roman" w:eastAsia="Times New Roman" w:hAnsi="Times New Roman" w:cs="Times New Roman"/>
                <w:sz w:val="24"/>
                <w:szCs w:val="24"/>
                <w:lang w:val="kk-KZ"/>
              </w:rPr>
              <w:t>здық ісіну</w:t>
            </w:r>
            <w:r w:rsidRPr="00306051">
              <w:rPr>
                <w:rFonts w:ascii="Times New Roman" w:eastAsia="Times New Roman" w:hAnsi="Times New Roman" w:cs="Times New Roman"/>
                <w:sz w:val="24"/>
                <w:szCs w:val="24"/>
                <w:vertAlign w:val="superscript"/>
              </w:rPr>
              <w:t>3</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51916057"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r>
      <w:tr w:rsidR="00607595" w:rsidRPr="00306051" w14:paraId="1DF5707C"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4CDF3FB2"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Сирек</w:t>
            </w:r>
            <w:proofErr w:type="spellEnd"/>
          </w:p>
        </w:tc>
        <w:tc>
          <w:tcPr>
            <w:tcW w:w="3389" w:type="dxa"/>
            <w:tcBorders>
              <w:top w:val="single" w:sz="4" w:space="0" w:color="000000"/>
              <w:left w:val="single" w:sz="4" w:space="0" w:color="000000"/>
              <w:bottom w:val="single" w:sz="4" w:space="0" w:color="000000"/>
            </w:tcBorders>
            <w:shd w:val="clear" w:color="auto" w:fill="auto"/>
          </w:tcPr>
          <w:p w14:paraId="2B9B5FB0"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02B2BC7B" w14:textId="77777777" w:rsidR="00607595" w:rsidRPr="00306051" w:rsidRDefault="00607595">
            <w:pPr>
              <w:spacing w:after="0" w:line="100" w:lineRule="atLeast"/>
              <w:jc w:val="both"/>
            </w:pPr>
            <w:proofErr w:type="spellStart"/>
            <w:r w:rsidRPr="00306051">
              <w:rPr>
                <w:rFonts w:ascii="Times New Roman" w:eastAsia="Times New Roman" w:hAnsi="Times New Roman" w:cs="Times New Roman"/>
                <w:sz w:val="24"/>
                <w:szCs w:val="24"/>
              </w:rPr>
              <w:t>Ангионевро</w:t>
            </w:r>
            <w:proofErr w:type="spellEnd"/>
            <w:r w:rsidRPr="00306051">
              <w:rPr>
                <w:rFonts w:ascii="Times New Roman" w:eastAsia="Times New Roman" w:hAnsi="Times New Roman" w:cs="Times New Roman"/>
                <w:sz w:val="24"/>
                <w:szCs w:val="24"/>
                <w:lang w:val="kk-KZ"/>
              </w:rPr>
              <w:t>здық ісіну</w:t>
            </w:r>
          </w:p>
        </w:tc>
      </w:tr>
      <w:tr w:rsidR="00607595" w:rsidRPr="00306051" w14:paraId="4B83990F" w14:textId="77777777" w:rsidTr="004C09ED">
        <w:tblPrEx>
          <w:tblCellMar>
            <w:left w:w="0" w:type="dxa"/>
            <w:right w:w="0" w:type="dxa"/>
          </w:tblCellMar>
        </w:tblPrEx>
        <w:tc>
          <w:tcPr>
            <w:tcW w:w="9218" w:type="dxa"/>
            <w:gridSpan w:val="3"/>
            <w:tcBorders>
              <w:top w:val="single" w:sz="4" w:space="0" w:color="000000"/>
              <w:left w:val="single" w:sz="4" w:space="0" w:color="000000"/>
              <w:bottom w:val="single" w:sz="4" w:space="0" w:color="000000"/>
            </w:tcBorders>
            <w:shd w:val="clear" w:color="auto" w:fill="D9D9D9"/>
          </w:tcPr>
          <w:p w14:paraId="6BE9088F" w14:textId="77777777" w:rsidR="00607595" w:rsidRPr="00306051" w:rsidRDefault="00607595">
            <w:pPr>
              <w:spacing w:after="0" w:line="100" w:lineRule="atLeast"/>
              <w:jc w:val="both"/>
            </w:pPr>
            <w:r w:rsidRPr="00306051">
              <w:rPr>
                <w:rFonts w:ascii="Times New Roman" w:eastAsia="Times New Roman" w:hAnsi="Times New Roman" w:cs="Times New Roman"/>
                <w:i/>
                <w:sz w:val="24"/>
                <w:szCs w:val="24"/>
                <w:lang w:val="kk-KZ"/>
              </w:rPr>
              <w:t>Қаңқа-бұлшықет және дәнекер тіндер тарапынан бұзылулар</w:t>
            </w:r>
          </w:p>
        </w:tc>
        <w:tc>
          <w:tcPr>
            <w:tcW w:w="20" w:type="dxa"/>
            <w:tcBorders>
              <w:left w:val="single" w:sz="4" w:space="0" w:color="000000"/>
            </w:tcBorders>
            <w:shd w:val="clear" w:color="auto" w:fill="auto"/>
          </w:tcPr>
          <w:p w14:paraId="65FA39AD" w14:textId="77777777" w:rsidR="00607595" w:rsidRPr="00306051" w:rsidRDefault="00607595">
            <w:pPr>
              <w:snapToGrid w:val="0"/>
            </w:pPr>
          </w:p>
        </w:tc>
      </w:tr>
      <w:tr w:rsidR="00607595" w:rsidRPr="00306051" w14:paraId="21B9E209"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1293ADEB" w14:textId="77777777" w:rsidR="00607595" w:rsidRPr="00306051" w:rsidRDefault="00607595">
            <w:pPr>
              <w:spacing w:after="0" w:line="100" w:lineRule="atLeast"/>
              <w:jc w:val="both"/>
              <w:rPr>
                <w:rFonts w:ascii="Times New Roman" w:eastAsia="Times New Roman" w:hAnsi="Times New Roman" w:cs="Times New Roman"/>
                <w:sz w:val="24"/>
                <w:szCs w:val="24"/>
                <w:lang w:val="kk-KZ"/>
              </w:rPr>
            </w:pPr>
            <w:proofErr w:type="spellStart"/>
            <w:r w:rsidRPr="00306051">
              <w:rPr>
                <w:rFonts w:ascii="Times New Roman" w:eastAsia="Times New Roman" w:hAnsi="Times New Roman" w:cs="Times New Roman"/>
                <w:sz w:val="24"/>
                <w:szCs w:val="24"/>
              </w:rPr>
              <w:t>Өте</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4683BF34" w14:textId="77777777" w:rsidR="00607595" w:rsidRPr="00306051" w:rsidRDefault="00607595">
            <w:pPr>
              <w:spacing w:after="0" w:line="100" w:lineRule="atLeast"/>
              <w:jc w:val="both"/>
              <w:rPr>
                <w:rFonts w:ascii="Times New Roman" w:eastAsia="Times New Roman" w:hAnsi="Times New Roman" w:cs="Times New Roman"/>
                <w:sz w:val="24"/>
                <w:szCs w:val="24"/>
              </w:rPr>
            </w:pPr>
            <w:r w:rsidRPr="00306051">
              <w:rPr>
                <w:rFonts w:ascii="Times New Roman" w:eastAsia="Times New Roman" w:hAnsi="Times New Roman" w:cs="Times New Roman"/>
                <w:sz w:val="24"/>
                <w:szCs w:val="24"/>
                <w:lang w:val="kk-KZ"/>
              </w:rPr>
              <w:t>К</w:t>
            </w:r>
            <w:proofErr w:type="spellStart"/>
            <w:r w:rsidRPr="00306051">
              <w:rPr>
                <w:rFonts w:ascii="Times New Roman" w:eastAsia="Times New Roman" w:hAnsi="Times New Roman" w:cs="Times New Roman"/>
                <w:sz w:val="24"/>
                <w:szCs w:val="24"/>
              </w:rPr>
              <w:t>реатинкиназ</w:t>
            </w:r>
            <w:proofErr w:type="spellEnd"/>
            <w:r w:rsidRPr="00306051">
              <w:rPr>
                <w:rFonts w:ascii="Times New Roman" w:eastAsia="Times New Roman" w:hAnsi="Times New Roman" w:cs="Times New Roman"/>
                <w:sz w:val="24"/>
                <w:szCs w:val="24"/>
                <w:lang w:val="kk-KZ"/>
              </w:rPr>
              <w:t>а деңгейінің жоғарылау</w:t>
            </w:r>
            <w:r w:rsidRPr="00306051">
              <w:rPr>
                <w:rFonts w:ascii="Times New Roman" w:eastAsia="Times New Roman" w:hAnsi="Times New Roman" w:cs="Times New Roman"/>
                <w:sz w:val="24"/>
                <w:szCs w:val="24"/>
              </w:rPr>
              <w:t>ы</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474AF586"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r>
      <w:tr w:rsidR="00607595" w:rsidRPr="00306051" w14:paraId="7A8ACEBA"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73212A44"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lastRenderedPageBreak/>
              <w:t>Жиі</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емес</w:t>
            </w:r>
            <w:proofErr w:type="spellEnd"/>
          </w:p>
        </w:tc>
        <w:tc>
          <w:tcPr>
            <w:tcW w:w="3389" w:type="dxa"/>
            <w:tcBorders>
              <w:top w:val="single" w:sz="4" w:space="0" w:color="000000"/>
              <w:left w:val="single" w:sz="4" w:space="0" w:color="000000"/>
              <w:bottom w:val="single" w:sz="4" w:space="0" w:color="000000"/>
            </w:tcBorders>
            <w:shd w:val="clear" w:color="auto" w:fill="auto"/>
          </w:tcPr>
          <w:p w14:paraId="5A5F58FB"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16E56CC7" w14:textId="77777777" w:rsidR="00607595" w:rsidRPr="00306051" w:rsidRDefault="00607595">
            <w:pPr>
              <w:spacing w:after="0" w:line="100" w:lineRule="atLeast"/>
              <w:jc w:val="both"/>
            </w:pPr>
            <w:r w:rsidRPr="00306051">
              <w:rPr>
                <w:rFonts w:ascii="Times New Roman" w:eastAsia="Times New Roman" w:hAnsi="Times New Roman" w:cs="Times New Roman"/>
                <w:sz w:val="24"/>
                <w:szCs w:val="24"/>
              </w:rPr>
              <w:t>Рабдомиолиз</w:t>
            </w:r>
            <w:r w:rsidRPr="00306051">
              <w:rPr>
                <w:rFonts w:ascii="Times New Roman" w:eastAsia="Times New Roman" w:hAnsi="Times New Roman" w:cs="Times New Roman"/>
                <w:sz w:val="24"/>
                <w:szCs w:val="24"/>
                <w:vertAlign w:val="superscript"/>
              </w:rPr>
              <w:t>1</w:t>
            </w:r>
            <w:r w:rsidRPr="00306051">
              <w:rPr>
                <w:rFonts w:ascii="Times New Roman" w:eastAsia="Times New Roman" w:hAnsi="Times New Roman" w:cs="Times New Roman"/>
                <w:sz w:val="24"/>
                <w:szCs w:val="24"/>
              </w:rPr>
              <w:t xml:space="preserve">, </w:t>
            </w:r>
            <w:r w:rsidRPr="00306051">
              <w:rPr>
                <w:rFonts w:ascii="Times New Roman" w:eastAsia="Times New Roman" w:hAnsi="Times New Roman" w:cs="Times New Roman"/>
                <w:sz w:val="24"/>
                <w:szCs w:val="24"/>
                <w:lang w:val="kk-KZ"/>
              </w:rPr>
              <w:t>бұлшықет әлсіздігі</w:t>
            </w:r>
            <w:r w:rsidRPr="00306051">
              <w:rPr>
                <w:rFonts w:ascii="Times New Roman" w:eastAsia="Times New Roman" w:hAnsi="Times New Roman" w:cs="Times New Roman"/>
                <w:sz w:val="24"/>
                <w:szCs w:val="24"/>
                <w:vertAlign w:val="superscript"/>
              </w:rPr>
              <w:t>1</w:t>
            </w:r>
          </w:p>
        </w:tc>
      </w:tr>
      <w:tr w:rsidR="00607595" w:rsidRPr="007A5E44" w14:paraId="313A5C51"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3A29BDDE" w14:textId="77777777" w:rsidR="00607595" w:rsidRPr="00306051" w:rsidRDefault="00607595">
            <w:pPr>
              <w:spacing w:after="0" w:line="100" w:lineRule="atLeast"/>
              <w:jc w:val="both"/>
              <w:rPr>
                <w:rFonts w:ascii="Times New Roman" w:eastAsia="Times New Roman" w:hAnsi="Times New Roman" w:cs="Times New Roman"/>
                <w:sz w:val="24"/>
                <w:szCs w:val="24"/>
                <w:lang w:val="en-GB"/>
              </w:rPr>
            </w:pPr>
            <w:proofErr w:type="spellStart"/>
            <w:r w:rsidRPr="00306051">
              <w:rPr>
                <w:rFonts w:ascii="Times New Roman" w:eastAsia="Times New Roman" w:hAnsi="Times New Roman" w:cs="Times New Roman"/>
                <w:sz w:val="24"/>
                <w:szCs w:val="24"/>
              </w:rPr>
              <w:t>Сирек</w:t>
            </w:r>
            <w:proofErr w:type="spellEnd"/>
          </w:p>
        </w:tc>
        <w:tc>
          <w:tcPr>
            <w:tcW w:w="3389" w:type="dxa"/>
            <w:tcBorders>
              <w:top w:val="single" w:sz="4" w:space="0" w:color="000000"/>
              <w:left w:val="single" w:sz="4" w:space="0" w:color="000000"/>
              <w:bottom w:val="single" w:sz="4" w:space="0" w:color="000000"/>
            </w:tcBorders>
            <w:shd w:val="clear" w:color="auto" w:fill="auto"/>
          </w:tcPr>
          <w:p w14:paraId="6E65B0B5" w14:textId="77777777" w:rsidR="00607595" w:rsidRPr="00306051" w:rsidRDefault="00607595">
            <w:pPr>
              <w:snapToGrid w:val="0"/>
              <w:spacing w:after="0" w:line="100" w:lineRule="atLeast"/>
              <w:jc w:val="both"/>
              <w:rPr>
                <w:rFonts w:ascii="Times New Roman" w:eastAsia="Times New Roman" w:hAnsi="Times New Roman" w:cs="Times New Roman"/>
                <w:sz w:val="24"/>
                <w:szCs w:val="24"/>
                <w:lang w:val="en-GB"/>
              </w:rPr>
            </w:pPr>
          </w:p>
          <w:p w14:paraId="4E38FF66" w14:textId="77777777" w:rsidR="00607595" w:rsidRPr="00306051" w:rsidRDefault="00607595">
            <w:pPr>
              <w:spacing w:after="0" w:line="100" w:lineRule="atLeast"/>
              <w:jc w:val="both"/>
              <w:rPr>
                <w:rFonts w:ascii="Times New Roman" w:eastAsia="Times New Roman" w:hAnsi="Times New Roman" w:cs="Times New Roman"/>
                <w:sz w:val="24"/>
                <w:szCs w:val="24"/>
                <w:lang w:val="en-GB"/>
              </w:rPr>
            </w:pPr>
          </w:p>
          <w:p w14:paraId="7BAAB867" w14:textId="77777777" w:rsidR="00607595" w:rsidRPr="00306051" w:rsidRDefault="00607595">
            <w:pPr>
              <w:spacing w:after="0" w:line="100" w:lineRule="atLeast"/>
              <w:jc w:val="both"/>
              <w:rPr>
                <w:rFonts w:ascii="Times New Roman" w:eastAsia="Times New Roman" w:hAnsi="Times New Roman" w:cs="Times New Roman"/>
                <w:sz w:val="24"/>
                <w:szCs w:val="24"/>
                <w:lang w:val="en-GB"/>
              </w:rPr>
            </w:pPr>
          </w:p>
          <w:p w14:paraId="5F714B24" w14:textId="77777777" w:rsidR="00607595" w:rsidRPr="00306051" w:rsidRDefault="00607595">
            <w:pPr>
              <w:spacing w:after="0" w:line="100" w:lineRule="atLeast"/>
              <w:jc w:val="both"/>
              <w:rPr>
                <w:rFonts w:ascii="Times New Roman" w:eastAsia="Times New Roman" w:hAnsi="Times New Roman" w:cs="Times New Roman"/>
                <w:sz w:val="24"/>
                <w:szCs w:val="24"/>
                <w:lang w:val="en-GB"/>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185C8A82" w14:textId="77777777" w:rsidR="00607595" w:rsidRPr="00306051" w:rsidRDefault="00607595">
            <w:pPr>
              <w:spacing w:after="0" w:line="100" w:lineRule="atLeast"/>
              <w:jc w:val="both"/>
              <w:rPr>
                <w:lang w:val="en-GB"/>
              </w:rPr>
            </w:pPr>
            <w:r w:rsidRPr="00306051">
              <w:rPr>
                <w:rFonts w:ascii="Times New Roman" w:eastAsia="Times New Roman" w:hAnsi="Times New Roman" w:cs="Times New Roman"/>
                <w:sz w:val="24"/>
                <w:szCs w:val="24"/>
              </w:rPr>
              <w:t>Остеомаляция</w:t>
            </w:r>
            <w:r w:rsidRPr="00306051">
              <w:rPr>
                <w:rFonts w:ascii="Times New Roman" w:eastAsia="Times New Roman" w:hAnsi="Times New Roman" w:cs="Times New Roman"/>
                <w:sz w:val="24"/>
                <w:szCs w:val="24"/>
                <w:lang w:val="en-GB"/>
              </w:rPr>
              <w:t xml:space="preserve"> (</w:t>
            </w:r>
            <w:r w:rsidRPr="00306051">
              <w:rPr>
                <w:rFonts w:ascii="Times New Roman" w:eastAsia="Times New Roman" w:hAnsi="Times New Roman" w:cs="Times New Roman"/>
                <w:sz w:val="24"/>
                <w:szCs w:val="24"/>
                <w:lang w:val="kk-KZ"/>
              </w:rPr>
              <w:t>сүйектердің ауыруы ретінде көрініс береді және</w:t>
            </w:r>
            <w:r w:rsidRPr="00306051">
              <w:rPr>
                <w:rFonts w:ascii="Times New Roman" w:eastAsia="Times New Roman" w:hAnsi="Times New Roman" w:cs="Times New Roman"/>
                <w:sz w:val="24"/>
                <w:szCs w:val="24"/>
                <w:lang w:val="en-GB"/>
              </w:rPr>
              <w:t xml:space="preserve"> </w:t>
            </w:r>
            <w:r w:rsidRPr="00306051">
              <w:rPr>
                <w:rFonts w:ascii="Times New Roman" w:eastAsia="Times New Roman" w:hAnsi="Times New Roman" w:cs="Times New Roman"/>
                <w:sz w:val="24"/>
                <w:szCs w:val="24"/>
                <w:lang w:val="kk-KZ"/>
              </w:rPr>
              <w:t>сирек жағдайда,</w:t>
            </w:r>
            <w:r w:rsidRPr="00306051">
              <w:rPr>
                <w:rFonts w:ascii="Times New Roman" w:eastAsia="Times New Roman" w:hAnsi="Times New Roman" w:cs="Times New Roman"/>
                <w:sz w:val="24"/>
                <w:szCs w:val="24"/>
                <w:lang w:val="en-GB"/>
              </w:rPr>
              <w:t xml:space="preserve"> </w:t>
            </w:r>
            <w:r w:rsidRPr="00306051">
              <w:rPr>
                <w:rFonts w:ascii="Times New Roman" w:eastAsia="Times New Roman" w:hAnsi="Times New Roman" w:cs="Times New Roman"/>
                <w:sz w:val="24"/>
                <w:szCs w:val="24"/>
                <w:lang w:val="kk-KZ"/>
              </w:rPr>
              <w:t>сынулар себептерінің бірі болып табылады</w:t>
            </w:r>
            <w:r w:rsidRPr="00306051">
              <w:rPr>
                <w:rFonts w:ascii="Times New Roman" w:eastAsia="Times New Roman" w:hAnsi="Times New Roman" w:cs="Times New Roman"/>
                <w:sz w:val="24"/>
                <w:szCs w:val="24"/>
                <w:lang w:val="en-GB"/>
              </w:rPr>
              <w:t>)</w:t>
            </w:r>
            <w:r w:rsidRPr="00306051">
              <w:rPr>
                <w:rFonts w:ascii="Times New Roman" w:eastAsia="Times New Roman" w:hAnsi="Times New Roman" w:cs="Times New Roman"/>
                <w:sz w:val="24"/>
                <w:szCs w:val="24"/>
                <w:vertAlign w:val="superscript"/>
                <w:lang w:val="en-GB"/>
              </w:rPr>
              <w:t>1,3</w:t>
            </w:r>
            <w:r w:rsidRPr="00306051">
              <w:rPr>
                <w:rFonts w:ascii="Times New Roman" w:eastAsia="Times New Roman" w:hAnsi="Times New Roman" w:cs="Times New Roman"/>
                <w:sz w:val="24"/>
                <w:szCs w:val="24"/>
                <w:lang w:val="en-GB"/>
              </w:rPr>
              <w:t xml:space="preserve">, </w:t>
            </w:r>
            <w:r w:rsidRPr="00306051">
              <w:rPr>
                <w:rFonts w:ascii="Times New Roman" w:eastAsia="Times New Roman" w:hAnsi="Times New Roman" w:cs="Times New Roman"/>
                <w:sz w:val="24"/>
                <w:szCs w:val="24"/>
              </w:rPr>
              <w:t>миопатия</w:t>
            </w:r>
            <w:r w:rsidRPr="00306051">
              <w:rPr>
                <w:rFonts w:ascii="Times New Roman" w:eastAsia="Times New Roman" w:hAnsi="Times New Roman" w:cs="Times New Roman"/>
                <w:sz w:val="24"/>
                <w:szCs w:val="24"/>
                <w:vertAlign w:val="superscript"/>
                <w:lang w:val="en-GB"/>
              </w:rPr>
              <w:t>1</w:t>
            </w:r>
          </w:p>
        </w:tc>
      </w:tr>
      <w:tr w:rsidR="00607595" w:rsidRPr="007A5E44" w14:paraId="4EEDFE8B" w14:textId="77777777" w:rsidTr="004C09ED">
        <w:tblPrEx>
          <w:tblCellMar>
            <w:left w:w="0" w:type="dxa"/>
            <w:right w:w="0" w:type="dxa"/>
          </w:tblCellMar>
        </w:tblPrEx>
        <w:tc>
          <w:tcPr>
            <w:tcW w:w="9218" w:type="dxa"/>
            <w:gridSpan w:val="3"/>
            <w:tcBorders>
              <w:top w:val="single" w:sz="4" w:space="0" w:color="000000"/>
              <w:left w:val="single" w:sz="4" w:space="0" w:color="000000"/>
              <w:bottom w:val="single" w:sz="4" w:space="0" w:color="000000"/>
            </w:tcBorders>
            <w:shd w:val="clear" w:color="auto" w:fill="D9D9D9"/>
          </w:tcPr>
          <w:p w14:paraId="26F46705" w14:textId="77777777" w:rsidR="00607595" w:rsidRPr="00306051" w:rsidRDefault="00607595">
            <w:pPr>
              <w:spacing w:after="0" w:line="100" w:lineRule="atLeast"/>
              <w:jc w:val="both"/>
              <w:rPr>
                <w:lang w:val="en-GB"/>
              </w:rPr>
            </w:pPr>
            <w:r w:rsidRPr="00306051">
              <w:rPr>
                <w:rFonts w:ascii="Times New Roman" w:eastAsia="Times New Roman" w:hAnsi="Times New Roman" w:cs="Times New Roman"/>
                <w:i/>
                <w:sz w:val="24"/>
                <w:szCs w:val="24"/>
                <w:lang w:val="kk-KZ"/>
              </w:rPr>
              <w:t xml:space="preserve">Бүйрек және несеп шығару жолдары тарапынан бұзылулар </w:t>
            </w:r>
          </w:p>
        </w:tc>
        <w:tc>
          <w:tcPr>
            <w:tcW w:w="20" w:type="dxa"/>
            <w:tcBorders>
              <w:left w:val="single" w:sz="4" w:space="0" w:color="000000"/>
            </w:tcBorders>
            <w:shd w:val="clear" w:color="auto" w:fill="auto"/>
          </w:tcPr>
          <w:p w14:paraId="0920EB42" w14:textId="77777777" w:rsidR="00607595" w:rsidRPr="00306051" w:rsidRDefault="00607595">
            <w:pPr>
              <w:snapToGrid w:val="0"/>
              <w:rPr>
                <w:lang w:val="en-GB"/>
              </w:rPr>
            </w:pPr>
          </w:p>
        </w:tc>
      </w:tr>
      <w:tr w:rsidR="00607595" w:rsidRPr="00306051" w14:paraId="031E0B42"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1B4B03D9"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Жиі</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емес</w:t>
            </w:r>
            <w:proofErr w:type="spellEnd"/>
          </w:p>
        </w:tc>
        <w:tc>
          <w:tcPr>
            <w:tcW w:w="3389" w:type="dxa"/>
            <w:tcBorders>
              <w:top w:val="single" w:sz="4" w:space="0" w:color="000000"/>
              <w:left w:val="single" w:sz="4" w:space="0" w:color="000000"/>
              <w:bottom w:val="single" w:sz="4" w:space="0" w:color="000000"/>
            </w:tcBorders>
            <w:shd w:val="clear" w:color="auto" w:fill="auto"/>
          </w:tcPr>
          <w:p w14:paraId="27DF5E25"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3F2B81C4" w14:textId="77777777" w:rsidR="00607595" w:rsidRPr="00306051" w:rsidRDefault="00607595">
            <w:pPr>
              <w:spacing w:after="0" w:line="100" w:lineRule="atLeast"/>
              <w:jc w:val="both"/>
            </w:pPr>
            <w:r w:rsidRPr="00306051">
              <w:rPr>
                <w:rFonts w:ascii="Times New Roman" w:eastAsia="Times New Roman" w:hAnsi="Times New Roman" w:cs="Times New Roman"/>
                <w:sz w:val="24"/>
                <w:szCs w:val="24"/>
                <w:lang w:val="kk-KZ"/>
              </w:rPr>
              <w:t>К</w:t>
            </w:r>
            <w:proofErr w:type="spellStart"/>
            <w:r w:rsidRPr="00306051">
              <w:rPr>
                <w:rFonts w:ascii="Times New Roman" w:eastAsia="Times New Roman" w:hAnsi="Times New Roman" w:cs="Times New Roman"/>
                <w:sz w:val="24"/>
                <w:szCs w:val="24"/>
              </w:rPr>
              <w:t>реатинин</w:t>
            </w:r>
            <w:proofErr w:type="spellEnd"/>
            <w:r w:rsidRPr="00306051">
              <w:rPr>
                <w:rFonts w:ascii="Times New Roman" w:eastAsia="Times New Roman" w:hAnsi="Times New Roman" w:cs="Times New Roman"/>
                <w:sz w:val="24"/>
                <w:szCs w:val="24"/>
                <w:lang w:val="kk-KZ"/>
              </w:rPr>
              <w:t xml:space="preserve"> деңгейінің жоғарылауы</w:t>
            </w:r>
            <w:r w:rsidRPr="00306051">
              <w:rPr>
                <w:rFonts w:ascii="Times New Roman" w:eastAsia="Times New Roman" w:hAnsi="Times New Roman" w:cs="Times New Roman"/>
                <w:sz w:val="24"/>
                <w:szCs w:val="24"/>
              </w:rPr>
              <w:t xml:space="preserve">, протеинурия, </w:t>
            </w:r>
            <w:r w:rsidRPr="00306051">
              <w:rPr>
                <w:rFonts w:ascii="Times New Roman" w:eastAsia="Times New Roman" w:hAnsi="Times New Roman" w:cs="Times New Roman"/>
                <w:sz w:val="24"/>
                <w:szCs w:val="24"/>
                <w:lang w:val="kk-KZ"/>
              </w:rPr>
              <w:t xml:space="preserve">бүйректің </w:t>
            </w:r>
            <w:proofErr w:type="spellStart"/>
            <w:r w:rsidRPr="00306051">
              <w:rPr>
                <w:rFonts w:ascii="Times New Roman" w:eastAsia="Times New Roman" w:hAnsi="Times New Roman" w:cs="Times New Roman"/>
                <w:sz w:val="24"/>
                <w:szCs w:val="24"/>
              </w:rPr>
              <w:t>проксималь</w:t>
            </w:r>
            <w:proofErr w:type="spellEnd"/>
            <w:r w:rsidRPr="00306051">
              <w:rPr>
                <w:rFonts w:ascii="Times New Roman" w:eastAsia="Times New Roman" w:hAnsi="Times New Roman" w:cs="Times New Roman"/>
                <w:sz w:val="24"/>
                <w:szCs w:val="24"/>
                <w:lang w:val="kk-KZ"/>
              </w:rPr>
              <w:t>ді</w:t>
            </w:r>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тубулопатия</w:t>
            </w:r>
            <w:proofErr w:type="spellEnd"/>
            <w:r w:rsidRPr="00306051">
              <w:rPr>
                <w:rFonts w:ascii="Times New Roman" w:eastAsia="Times New Roman" w:hAnsi="Times New Roman" w:cs="Times New Roman"/>
                <w:sz w:val="24"/>
                <w:szCs w:val="24"/>
                <w:lang w:val="kk-KZ"/>
              </w:rPr>
              <w:t>сы</w:t>
            </w:r>
            <w:r w:rsidRPr="00306051">
              <w:rPr>
                <w:rFonts w:ascii="Times New Roman" w:eastAsia="Times New Roman" w:hAnsi="Times New Roman" w:cs="Times New Roman"/>
                <w:sz w:val="24"/>
                <w:szCs w:val="24"/>
              </w:rPr>
              <w:t xml:space="preserve"> (</w:t>
            </w:r>
            <w:r w:rsidRPr="00306051">
              <w:rPr>
                <w:rFonts w:ascii="Times New Roman" w:eastAsia="Times New Roman" w:hAnsi="Times New Roman" w:cs="Times New Roman"/>
                <w:sz w:val="24"/>
                <w:szCs w:val="24"/>
                <w:lang w:val="kk-KZ"/>
              </w:rPr>
              <w:t xml:space="preserve">соның ішінде, </w:t>
            </w:r>
            <w:proofErr w:type="spellStart"/>
            <w:r w:rsidRPr="00306051">
              <w:rPr>
                <w:rFonts w:ascii="Times New Roman" w:eastAsia="Times New Roman" w:hAnsi="Times New Roman" w:cs="Times New Roman"/>
                <w:sz w:val="24"/>
                <w:szCs w:val="24"/>
              </w:rPr>
              <w:t>Фанкони</w:t>
            </w:r>
            <w:proofErr w:type="spellEnd"/>
            <w:r w:rsidRPr="00306051">
              <w:rPr>
                <w:rFonts w:ascii="Times New Roman" w:eastAsia="Times New Roman" w:hAnsi="Times New Roman" w:cs="Times New Roman"/>
                <w:sz w:val="24"/>
                <w:szCs w:val="24"/>
              </w:rPr>
              <w:t xml:space="preserve"> синдром</w:t>
            </w:r>
            <w:r w:rsidRPr="00306051">
              <w:rPr>
                <w:rFonts w:ascii="Times New Roman" w:eastAsia="Times New Roman" w:hAnsi="Times New Roman" w:cs="Times New Roman"/>
                <w:sz w:val="24"/>
                <w:szCs w:val="24"/>
                <w:lang w:val="kk-KZ"/>
              </w:rPr>
              <w:t>ы</w:t>
            </w:r>
            <w:r w:rsidRPr="00306051">
              <w:rPr>
                <w:rFonts w:ascii="Times New Roman" w:eastAsia="Times New Roman" w:hAnsi="Times New Roman" w:cs="Times New Roman"/>
                <w:sz w:val="24"/>
                <w:szCs w:val="24"/>
              </w:rPr>
              <w:t>)</w:t>
            </w:r>
          </w:p>
        </w:tc>
      </w:tr>
      <w:tr w:rsidR="00607595" w:rsidRPr="00306051" w14:paraId="5E9C0DD7"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32A2884B"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Сирек</w:t>
            </w:r>
            <w:proofErr w:type="spellEnd"/>
          </w:p>
        </w:tc>
        <w:tc>
          <w:tcPr>
            <w:tcW w:w="3389" w:type="dxa"/>
            <w:tcBorders>
              <w:top w:val="single" w:sz="4" w:space="0" w:color="000000"/>
              <w:left w:val="single" w:sz="4" w:space="0" w:color="000000"/>
              <w:bottom w:val="single" w:sz="4" w:space="0" w:color="000000"/>
            </w:tcBorders>
            <w:shd w:val="clear" w:color="auto" w:fill="auto"/>
          </w:tcPr>
          <w:p w14:paraId="20536A42"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3B203B9F" w14:textId="77777777" w:rsidR="00607595" w:rsidRPr="00306051" w:rsidRDefault="00607595">
            <w:pPr>
              <w:spacing w:after="0" w:line="100" w:lineRule="atLeast"/>
              <w:jc w:val="both"/>
            </w:pPr>
            <w:proofErr w:type="spellStart"/>
            <w:r w:rsidRPr="00306051">
              <w:rPr>
                <w:rFonts w:ascii="Times New Roman" w:eastAsia="Times New Roman" w:hAnsi="Times New Roman" w:cs="Times New Roman"/>
                <w:sz w:val="24"/>
                <w:szCs w:val="24"/>
              </w:rPr>
              <w:t>Бүйрек</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жеткіліксіздігі</w:t>
            </w:r>
            <w:proofErr w:type="spellEnd"/>
            <w:r w:rsidRPr="00306051">
              <w:rPr>
                <w:rFonts w:ascii="Times New Roman" w:eastAsia="Times New Roman" w:hAnsi="Times New Roman" w:cs="Times New Roman"/>
                <w:sz w:val="24"/>
                <w:szCs w:val="24"/>
                <w:lang w:val="kk-KZ"/>
              </w:rPr>
              <w:t xml:space="preserve"> </w:t>
            </w:r>
            <w:r w:rsidRPr="00306051">
              <w:rPr>
                <w:rFonts w:ascii="Times New Roman" w:eastAsia="Times New Roman" w:hAnsi="Times New Roman" w:cs="Times New Roman"/>
                <w:sz w:val="24"/>
                <w:szCs w:val="24"/>
              </w:rPr>
              <w:t>(</w:t>
            </w:r>
            <w:r w:rsidRPr="00306051">
              <w:rPr>
                <w:rFonts w:ascii="Times New Roman" w:eastAsia="Times New Roman" w:hAnsi="Times New Roman" w:cs="Times New Roman"/>
                <w:sz w:val="24"/>
                <w:szCs w:val="24"/>
                <w:lang w:val="kk-KZ"/>
              </w:rPr>
              <w:t>жедел және созылмалы</w:t>
            </w:r>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жедел</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тубуляр</w:t>
            </w:r>
            <w:proofErr w:type="spellEnd"/>
            <w:r w:rsidRPr="00306051">
              <w:rPr>
                <w:rFonts w:ascii="Times New Roman" w:eastAsia="Times New Roman" w:hAnsi="Times New Roman" w:cs="Times New Roman"/>
                <w:sz w:val="24"/>
                <w:szCs w:val="24"/>
                <w:lang w:val="kk-KZ"/>
              </w:rPr>
              <w:t xml:space="preserve">лық </w:t>
            </w:r>
            <w:r w:rsidRPr="00306051">
              <w:rPr>
                <w:rFonts w:ascii="Times New Roman" w:eastAsia="Times New Roman" w:hAnsi="Times New Roman" w:cs="Times New Roman"/>
                <w:sz w:val="24"/>
                <w:szCs w:val="24"/>
              </w:rPr>
              <w:t>некроз, нефрит (</w:t>
            </w:r>
            <w:r w:rsidRPr="00306051">
              <w:rPr>
                <w:rFonts w:ascii="Times New Roman" w:eastAsia="Times New Roman" w:hAnsi="Times New Roman" w:cs="Times New Roman"/>
                <w:sz w:val="24"/>
                <w:szCs w:val="24"/>
                <w:lang w:val="kk-KZ"/>
              </w:rPr>
              <w:t xml:space="preserve">соның ішінде, жедел </w:t>
            </w:r>
            <w:proofErr w:type="spellStart"/>
            <w:r w:rsidRPr="00306051">
              <w:rPr>
                <w:rFonts w:ascii="Times New Roman" w:eastAsia="Times New Roman" w:hAnsi="Times New Roman" w:cs="Times New Roman"/>
                <w:sz w:val="24"/>
                <w:szCs w:val="24"/>
              </w:rPr>
              <w:t>интерстициаль</w:t>
            </w:r>
            <w:proofErr w:type="spellEnd"/>
            <w:r w:rsidRPr="00306051">
              <w:rPr>
                <w:rFonts w:ascii="Times New Roman" w:eastAsia="Times New Roman" w:hAnsi="Times New Roman" w:cs="Times New Roman"/>
                <w:sz w:val="24"/>
                <w:szCs w:val="24"/>
                <w:lang w:val="kk-KZ"/>
              </w:rPr>
              <w:t>ді</w:t>
            </w:r>
            <w:r w:rsidRPr="00306051">
              <w:rPr>
                <w:rFonts w:ascii="Times New Roman" w:eastAsia="Times New Roman" w:hAnsi="Times New Roman" w:cs="Times New Roman"/>
                <w:sz w:val="24"/>
                <w:szCs w:val="24"/>
              </w:rPr>
              <w:t xml:space="preserve"> нефрит)</w:t>
            </w:r>
            <w:r w:rsidRPr="00306051">
              <w:rPr>
                <w:rFonts w:ascii="Times New Roman" w:eastAsia="Times New Roman" w:hAnsi="Times New Roman" w:cs="Times New Roman"/>
                <w:sz w:val="24"/>
                <w:szCs w:val="24"/>
                <w:vertAlign w:val="superscript"/>
              </w:rPr>
              <w:t>3</w:t>
            </w:r>
            <w:r w:rsidRPr="00306051">
              <w:rPr>
                <w:rFonts w:ascii="Times New Roman" w:eastAsia="Times New Roman" w:hAnsi="Times New Roman" w:cs="Times New Roman"/>
                <w:sz w:val="24"/>
                <w:szCs w:val="24"/>
              </w:rPr>
              <w:t xml:space="preserve">, </w:t>
            </w:r>
            <w:r w:rsidR="00F713A2">
              <w:rPr>
                <w:rFonts w:ascii="Times New Roman" w:eastAsia="Times New Roman" w:hAnsi="Times New Roman" w:cs="Times New Roman"/>
                <w:sz w:val="24"/>
                <w:szCs w:val="24"/>
                <w:lang w:val="kk-KZ"/>
              </w:rPr>
              <w:t>қантты</w:t>
            </w:r>
            <w:r w:rsidRPr="00306051">
              <w:rPr>
                <w:rFonts w:ascii="Times New Roman" w:eastAsia="Times New Roman" w:hAnsi="Times New Roman" w:cs="Times New Roman"/>
                <w:sz w:val="24"/>
                <w:szCs w:val="24"/>
                <w:lang w:val="kk-KZ"/>
              </w:rPr>
              <w:t xml:space="preserve"> емес</w:t>
            </w:r>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нефроген</w:t>
            </w:r>
            <w:proofErr w:type="spellEnd"/>
            <w:r w:rsidRPr="00306051">
              <w:rPr>
                <w:rFonts w:ascii="Times New Roman" w:eastAsia="Times New Roman" w:hAnsi="Times New Roman" w:cs="Times New Roman"/>
                <w:sz w:val="24"/>
                <w:szCs w:val="24"/>
                <w:lang w:val="kk-KZ"/>
              </w:rPr>
              <w:t>ді</w:t>
            </w:r>
            <w:r w:rsidRPr="00306051">
              <w:rPr>
                <w:rFonts w:ascii="Times New Roman" w:eastAsia="Times New Roman" w:hAnsi="Times New Roman" w:cs="Times New Roman"/>
                <w:sz w:val="24"/>
                <w:szCs w:val="24"/>
              </w:rPr>
              <w:t xml:space="preserve"> диабет</w:t>
            </w:r>
          </w:p>
        </w:tc>
      </w:tr>
      <w:tr w:rsidR="00607595" w:rsidRPr="00306051" w14:paraId="66C662A9" w14:textId="77777777" w:rsidTr="004C09ED">
        <w:tblPrEx>
          <w:tblCellMar>
            <w:left w:w="0" w:type="dxa"/>
            <w:right w:w="0" w:type="dxa"/>
          </w:tblCellMar>
        </w:tblPrEx>
        <w:tc>
          <w:tcPr>
            <w:tcW w:w="9218" w:type="dxa"/>
            <w:gridSpan w:val="3"/>
            <w:tcBorders>
              <w:top w:val="single" w:sz="4" w:space="0" w:color="000000"/>
              <w:left w:val="single" w:sz="4" w:space="0" w:color="000000"/>
              <w:bottom w:val="single" w:sz="4" w:space="0" w:color="000000"/>
            </w:tcBorders>
            <w:shd w:val="clear" w:color="auto" w:fill="D9D9D9"/>
          </w:tcPr>
          <w:p w14:paraId="23CBCB19" w14:textId="77777777" w:rsidR="00607595" w:rsidRPr="00306051" w:rsidRDefault="00607595">
            <w:pPr>
              <w:spacing w:after="0" w:line="100" w:lineRule="atLeast"/>
              <w:jc w:val="both"/>
            </w:pPr>
            <w:r w:rsidRPr="00306051">
              <w:rPr>
                <w:rFonts w:ascii="Times New Roman" w:eastAsia="Times New Roman" w:hAnsi="Times New Roman" w:cs="Times New Roman"/>
                <w:i/>
                <w:sz w:val="24"/>
                <w:szCs w:val="24"/>
                <w:lang w:val="kk-KZ"/>
              </w:rPr>
              <w:t xml:space="preserve">Жалпы бұзылыстар және енгізген жердегі бұзылулар </w:t>
            </w:r>
            <w:r w:rsidRPr="00306051">
              <w:rPr>
                <w:rFonts w:ascii="Times New Roman" w:eastAsia="Times New Roman" w:hAnsi="Times New Roman" w:cs="Times New Roman"/>
                <w:i/>
                <w:sz w:val="24"/>
                <w:szCs w:val="24"/>
              </w:rPr>
              <w:t xml:space="preserve"> </w:t>
            </w:r>
          </w:p>
        </w:tc>
        <w:tc>
          <w:tcPr>
            <w:tcW w:w="20" w:type="dxa"/>
            <w:tcBorders>
              <w:left w:val="single" w:sz="4" w:space="0" w:color="000000"/>
            </w:tcBorders>
            <w:shd w:val="clear" w:color="auto" w:fill="auto"/>
          </w:tcPr>
          <w:p w14:paraId="5C3B3753" w14:textId="77777777" w:rsidR="00607595" w:rsidRPr="00306051" w:rsidRDefault="00607595">
            <w:pPr>
              <w:snapToGrid w:val="0"/>
            </w:pPr>
          </w:p>
        </w:tc>
      </w:tr>
      <w:tr w:rsidR="00607595" w:rsidRPr="00306051" w14:paraId="7D81FA2F"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63C3E2BB" w14:textId="77777777" w:rsidR="00607595" w:rsidRPr="00306051" w:rsidRDefault="00607595">
            <w:pPr>
              <w:spacing w:after="0" w:line="100" w:lineRule="atLeast"/>
              <w:jc w:val="both"/>
              <w:rPr>
                <w:rFonts w:ascii="Times New Roman" w:eastAsia="Times New Roman" w:hAnsi="Times New Roman" w:cs="Times New Roman"/>
                <w:sz w:val="24"/>
                <w:szCs w:val="24"/>
              </w:rPr>
            </w:pPr>
            <w:proofErr w:type="spellStart"/>
            <w:r w:rsidRPr="00306051">
              <w:rPr>
                <w:rFonts w:ascii="Times New Roman" w:eastAsia="Times New Roman" w:hAnsi="Times New Roman" w:cs="Times New Roman"/>
                <w:sz w:val="24"/>
                <w:szCs w:val="24"/>
              </w:rPr>
              <w:t>Өте</w:t>
            </w:r>
            <w:proofErr w:type="spellEnd"/>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6CDE0B01"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1D5914DC" w14:textId="77777777" w:rsidR="00607595" w:rsidRPr="00306051" w:rsidRDefault="00607595">
            <w:pPr>
              <w:spacing w:after="0" w:line="100" w:lineRule="atLeast"/>
              <w:jc w:val="both"/>
            </w:pPr>
            <w:r w:rsidRPr="00306051">
              <w:rPr>
                <w:rFonts w:ascii="Times New Roman" w:eastAsia="Times New Roman" w:hAnsi="Times New Roman" w:cs="Times New Roman"/>
                <w:sz w:val="24"/>
                <w:szCs w:val="24"/>
              </w:rPr>
              <w:t>Астения</w:t>
            </w:r>
          </w:p>
        </w:tc>
      </w:tr>
      <w:tr w:rsidR="00607595" w:rsidRPr="00306051" w14:paraId="2583A3D6" w14:textId="77777777" w:rsidTr="004C09ED">
        <w:trPr>
          <w:gridAfter w:val="1"/>
          <w:wAfter w:w="20" w:type="dxa"/>
        </w:trPr>
        <w:tc>
          <w:tcPr>
            <w:tcW w:w="2179" w:type="dxa"/>
            <w:tcBorders>
              <w:top w:val="single" w:sz="4" w:space="0" w:color="000000"/>
              <w:left w:val="single" w:sz="4" w:space="0" w:color="000000"/>
              <w:bottom w:val="single" w:sz="4" w:space="0" w:color="000000"/>
            </w:tcBorders>
            <w:shd w:val="clear" w:color="auto" w:fill="auto"/>
          </w:tcPr>
          <w:p w14:paraId="7E67DB1A" w14:textId="77777777" w:rsidR="00607595" w:rsidRPr="00306051" w:rsidRDefault="00607595">
            <w:pPr>
              <w:spacing w:after="0" w:line="100" w:lineRule="atLeast"/>
              <w:jc w:val="both"/>
              <w:rPr>
                <w:rFonts w:ascii="Times New Roman" w:eastAsia="Times New Roman" w:hAnsi="Times New Roman" w:cs="Times New Roman"/>
                <w:sz w:val="24"/>
                <w:szCs w:val="24"/>
                <w:lang w:val="kk-KZ"/>
              </w:rPr>
            </w:pPr>
            <w:proofErr w:type="spellStart"/>
            <w:r w:rsidRPr="00306051">
              <w:rPr>
                <w:rFonts w:ascii="Times New Roman" w:eastAsia="Times New Roman" w:hAnsi="Times New Roman" w:cs="Times New Roman"/>
                <w:sz w:val="24"/>
                <w:szCs w:val="24"/>
              </w:rPr>
              <w:t>Жиі</w:t>
            </w:r>
            <w:proofErr w:type="spellEnd"/>
          </w:p>
        </w:tc>
        <w:tc>
          <w:tcPr>
            <w:tcW w:w="3389" w:type="dxa"/>
            <w:tcBorders>
              <w:top w:val="single" w:sz="4" w:space="0" w:color="000000"/>
              <w:left w:val="single" w:sz="4" w:space="0" w:color="000000"/>
              <w:bottom w:val="single" w:sz="4" w:space="0" w:color="000000"/>
            </w:tcBorders>
            <w:shd w:val="clear" w:color="auto" w:fill="auto"/>
          </w:tcPr>
          <w:p w14:paraId="714D625D" w14:textId="77777777" w:rsidR="00607595" w:rsidRPr="00306051" w:rsidRDefault="00607595">
            <w:pPr>
              <w:spacing w:after="0" w:line="100" w:lineRule="atLeast"/>
              <w:jc w:val="both"/>
              <w:rPr>
                <w:rFonts w:ascii="Times New Roman" w:eastAsia="Times New Roman" w:hAnsi="Times New Roman" w:cs="Times New Roman"/>
                <w:sz w:val="24"/>
                <w:szCs w:val="24"/>
              </w:rPr>
            </w:pPr>
            <w:r w:rsidRPr="00306051">
              <w:rPr>
                <w:rFonts w:ascii="Times New Roman" w:eastAsia="Times New Roman" w:hAnsi="Times New Roman" w:cs="Times New Roman"/>
                <w:sz w:val="24"/>
                <w:szCs w:val="24"/>
                <w:lang w:val="kk-KZ"/>
              </w:rPr>
              <w:t>Ауыру</w:t>
            </w:r>
            <w:r w:rsidRPr="00306051">
              <w:rPr>
                <w:rFonts w:ascii="Times New Roman" w:eastAsia="Times New Roman" w:hAnsi="Times New Roman" w:cs="Times New Roman"/>
                <w:sz w:val="24"/>
                <w:szCs w:val="24"/>
              </w:rPr>
              <w:t>, астения</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14:paraId="40C3759B" w14:textId="77777777" w:rsidR="00607595" w:rsidRPr="00306051" w:rsidRDefault="00607595">
            <w:pPr>
              <w:snapToGrid w:val="0"/>
              <w:spacing w:after="0" w:line="100" w:lineRule="atLeast"/>
              <w:jc w:val="both"/>
              <w:rPr>
                <w:rFonts w:ascii="Times New Roman" w:eastAsia="Times New Roman" w:hAnsi="Times New Roman" w:cs="Times New Roman"/>
                <w:sz w:val="24"/>
                <w:szCs w:val="24"/>
              </w:rPr>
            </w:pPr>
          </w:p>
        </w:tc>
      </w:tr>
    </w:tbl>
    <w:p w14:paraId="46310B21" w14:textId="77777777" w:rsidR="00607595" w:rsidRPr="00306051" w:rsidRDefault="00607595">
      <w:pPr>
        <w:spacing w:after="0" w:line="100" w:lineRule="atLeast"/>
        <w:jc w:val="both"/>
        <w:rPr>
          <w:rFonts w:ascii="Times New Roman" w:eastAsia="Times New Roman" w:hAnsi="Times New Roman" w:cs="Times New Roman"/>
          <w:sz w:val="20"/>
          <w:szCs w:val="24"/>
          <w:vertAlign w:val="superscript"/>
        </w:rPr>
      </w:pPr>
      <w:r w:rsidRPr="00306051">
        <w:rPr>
          <w:rFonts w:ascii="Times New Roman" w:eastAsia="Times New Roman" w:hAnsi="Times New Roman" w:cs="Times New Roman"/>
          <w:sz w:val="20"/>
          <w:szCs w:val="24"/>
          <w:vertAlign w:val="superscript"/>
        </w:rPr>
        <w:t xml:space="preserve">1 </w:t>
      </w:r>
      <w:r w:rsidRPr="00306051">
        <w:rPr>
          <w:rFonts w:ascii="Times New Roman" w:eastAsia="Times New Roman" w:hAnsi="Times New Roman" w:cs="Times New Roman"/>
          <w:sz w:val="20"/>
          <w:szCs w:val="24"/>
          <w:lang w:val="kk-KZ"/>
        </w:rPr>
        <w:t>Бұл жағымсыз әсер</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бүйректің</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проксималь</w:t>
      </w:r>
      <w:proofErr w:type="spellEnd"/>
      <w:r w:rsidRPr="00306051">
        <w:rPr>
          <w:rFonts w:ascii="Times New Roman" w:eastAsia="Times New Roman" w:hAnsi="Times New Roman" w:cs="Times New Roman"/>
          <w:sz w:val="20"/>
          <w:szCs w:val="24"/>
          <w:lang w:val="kk-KZ"/>
        </w:rPr>
        <w:t>ді</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тубулопати</w:t>
      </w:r>
      <w:proofErr w:type="spellEnd"/>
      <w:r w:rsidRPr="00306051">
        <w:rPr>
          <w:rFonts w:ascii="Times New Roman" w:eastAsia="Times New Roman" w:hAnsi="Times New Roman" w:cs="Times New Roman"/>
          <w:sz w:val="20"/>
          <w:szCs w:val="24"/>
          <w:lang w:val="kk-KZ"/>
        </w:rPr>
        <w:t>ясы салдарынан дамуы мүмкін</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 xml:space="preserve">Аталған жағдай болмаған кезде, </w:t>
      </w:r>
      <w:r w:rsidRPr="00306051">
        <w:rPr>
          <w:rFonts w:ascii="Times New Roman" w:eastAsia="Times New Roman" w:hAnsi="Times New Roman" w:cs="Times New Roman"/>
          <w:sz w:val="20"/>
          <w:szCs w:val="24"/>
        </w:rPr>
        <w:t>он</w:t>
      </w:r>
      <w:r w:rsidRPr="00306051">
        <w:rPr>
          <w:rFonts w:ascii="Times New Roman" w:eastAsia="Times New Roman" w:hAnsi="Times New Roman" w:cs="Times New Roman"/>
          <w:sz w:val="20"/>
          <w:szCs w:val="24"/>
          <w:lang w:val="kk-KZ"/>
        </w:rPr>
        <w:t xml:space="preserve">ың </w:t>
      </w:r>
      <w:proofErr w:type="spellStart"/>
      <w:r w:rsidRPr="00306051">
        <w:rPr>
          <w:rFonts w:ascii="Times New Roman" w:eastAsia="Times New Roman" w:hAnsi="Times New Roman" w:cs="Times New Roman"/>
          <w:sz w:val="20"/>
          <w:szCs w:val="24"/>
        </w:rPr>
        <w:t>тенофовир</w:t>
      </w:r>
      <w:proofErr w:type="spellEnd"/>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дизопроксил</w:t>
      </w:r>
      <w:proofErr w:type="spellEnd"/>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фумарат</w:t>
      </w:r>
      <w:proofErr w:type="spellEnd"/>
      <w:r w:rsidRPr="00306051">
        <w:rPr>
          <w:rFonts w:ascii="Times New Roman" w:eastAsia="Times New Roman" w:hAnsi="Times New Roman" w:cs="Times New Roman"/>
          <w:sz w:val="20"/>
          <w:szCs w:val="24"/>
          <w:lang w:val="kk-KZ"/>
        </w:rPr>
        <w:t>ы</w:t>
      </w:r>
      <w:r w:rsidRPr="00306051">
        <w:rPr>
          <w:rFonts w:ascii="Times New Roman" w:eastAsia="Times New Roman" w:hAnsi="Times New Roman" w:cs="Times New Roman"/>
          <w:sz w:val="20"/>
          <w:szCs w:val="24"/>
        </w:rPr>
        <w:t>м</w:t>
      </w:r>
      <w:r w:rsidRPr="00306051">
        <w:rPr>
          <w:rFonts w:ascii="Times New Roman" w:eastAsia="Times New Roman" w:hAnsi="Times New Roman" w:cs="Times New Roman"/>
          <w:sz w:val="20"/>
          <w:szCs w:val="24"/>
          <w:lang w:val="kk-KZ"/>
        </w:rPr>
        <w:t>ен себептік байланысы болуы мүмкін деп есептелмейді</w:t>
      </w:r>
      <w:r w:rsidRPr="00306051">
        <w:rPr>
          <w:rFonts w:ascii="Times New Roman" w:eastAsia="Times New Roman" w:hAnsi="Times New Roman" w:cs="Times New Roman"/>
          <w:sz w:val="20"/>
          <w:szCs w:val="24"/>
        </w:rPr>
        <w:t xml:space="preserve">. </w:t>
      </w:r>
    </w:p>
    <w:p w14:paraId="6284C847" w14:textId="77777777" w:rsidR="00607595" w:rsidRPr="00306051" w:rsidRDefault="00607595">
      <w:pPr>
        <w:spacing w:after="0" w:line="100" w:lineRule="atLeast"/>
        <w:jc w:val="both"/>
        <w:rPr>
          <w:rFonts w:ascii="Times New Roman" w:eastAsia="Times New Roman" w:hAnsi="Times New Roman" w:cs="Times New Roman"/>
          <w:sz w:val="20"/>
          <w:szCs w:val="24"/>
          <w:vertAlign w:val="superscript"/>
        </w:rPr>
      </w:pPr>
      <w:r w:rsidRPr="00306051">
        <w:rPr>
          <w:rFonts w:ascii="Times New Roman" w:eastAsia="Times New Roman" w:hAnsi="Times New Roman" w:cs="Times New Roman"/>
          <w:sz w:val="20"/>
          <w:szCs w:val="24"/>
          <w:vertAlign w:val="superscript"/>
        </w:rPr>
        <w:t>2</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Э</w:t>
      </w:r>
      <w:proofErr w:type="spellStart"/>
      <w:r w:rsidRPr="00306051">
        <w:rPr>
          <w:rFonts w:ascii="Times New Roman" w:eastAsia="Times New Roman" w:hAnsi="Times New Roman" w:cs="Times New Roman"/>
          <w:sz w:val="20"/>
          <w:szCs w:val="24"/>
        </w:rPr>
        <w:t>мтрицитабин</w:t>
      </w:r>
      <w:proofErr w:type="spellEnd"/>
      <w:r w:rsidRPr="00306051">
        <w:rPr>
          <w:rFonts w:ascii="Times New Roman" w:eastAsia="Times New Roman" w:hAnsi="Times New Roman" w:cs="Times New Roman"/>
          <w:sz w:val="20"/>
          <w:szCs w:val="24"/>
          <w:lang w:val="kk-KZ"/>
        </w:rPr>
        <w:t>ді балаларда қолданған жағдайда</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анеми</w:t>
      </w:r>
      <w:proofErr w:type="spellEnd"/>
      <w:r w:rsidRPr="00306051">
        <w:rPr>
          <w:rFonts w:ascii="Times New Roman" w:eastAsia="Times New Roman" w:hAnsi="Times New Roman" w:cs="Times New Roman"/>
          <w:sz w:val="20"/>
          <w:szCs w:val="24"/>
          <w:lang w:val="kk-KZ"/>
        </w:rPr>
        <w:t>я туралы хабарлар</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жиі</w:t>
      </w:r>
      <w:proofErr w:type="spellEnd"/>
      <w:r w:rsidRPr="00306051">
        <w:rPr>
          <w:rFonts w:ascii="Times New Roman" w:eastAsia="Times New Roman" w:hAnsi="Times New Roman" w:cs="Times New Roman"/>
          <w:sz w:val="20"/>
          <w:szCs w:val="24"/>
        </w:rPr>
        <w:t xml:space="preserve">, ал </w:t>
      </w:r>
      <w:proofErr w:type="spellStart"/>
      <w:r w:rsidRPr="00306051">
        <w:rPr>
          <w:rFonts w:ascii="Times New Roman" w:eastAsia="Times New Roman" w:hAnsi="Times New Roman" w:cs="Times New Roman"/>
          <w:sz w:val="20"/>
          <w:szCs w:val="24"/>
        </w:rPr>
        <w:t>тері</w:t>
      </w:r>
      <w:proofErr w:type="spellEnd"/>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bCs/>
          <w:sz w:val="20"/>
          <w:szCs w:val="24"/>
        </w:rPr>
        <w:t>пигментаци</w:t>
      </w:r>
      <w:proofErr w:type="spellEnd"/>
      <w:r w:rsidRPr="00306051">
        <w:rPr>
          <w:rFonts w:ascii="Times New Roman" w:eastAsia="Times New Roman" w:hAnsi="Times New Roman" w:cs="Times New Roman"/>
          <w:bCs/>
          <w:sz w:val="20"/>
          <w:szCs w:val="24"/>
          <w:lang w:val="kk-KZ"/>
        </w:rPr>
        <w:t xml:space="preserve">ясының бұзылғаны </w:t>
      </w:r>
      <w:r w:rsidRPr="00306051">
        <w:rPr>
          <w:rFonts w:ascii="Times New Roman" w:eastAsia="Times New Roman" w:hAnsi="Times New Roman" w:cs="Times New Roman"/>
          <w:bCs/>
          <w:sz w:val="20"/>
          <w:szCs w:val="24"/>
        </w:rPr>
        <w:t>(пигментация</w:t>
      </w:r>
      <w:r w:rsidRPr="00306051">
        <w:rPr>
          <w:rFonts w:ascii="Times New Roman" w:eastAsia="Times New Roman" w:hAnsi="Times New Roman" w:cs="Times New Roman"/>
          <w:bCs/>
          <w:sz w:val="20"/>
          <w:szCs w:val="24"/>
          <w:lang w:val="kk-KZ"/>
        </w:rPr>
        <w:t>ның күшейгені</w:t>
      </w:r>
      <w:r w:rsidRPr="00306051">
        <w:rPr>
          <w:rFonts w:ascii="Times New Roman" w:eastAsia="Times New Roman" w:hAnsi="Times New Roman" w:cs="Times New Roman"/>
          <w:bCs/>
          <w:sz w:val="20"/>
          <w:szCs w:val="24"/>
        </w:rPr>
        <w:t>)</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bCs/>
          <w:sz w:val="20"/>
          <w:szCs w:val="24"/>
          <w:lang w:val="kk-KZ"/>
        </w:rPr>
        <w:t>туралы</w:t>
      </w:r>
      <w:r w:rsidRPr="00306051">
        <w:rPr>
          <w:rFonts w:ascii="Times New Roman" w:eastAsia="Times New Roman" w:hAnsi="Times New Roman" w:cs="Times New Roman"/>
          <w:bCs/>
          <w:sz w:val="20"/>
          <w:szCs w:val="24"/>
        </w:rPr>
        <w:t xml:space="preserve"> </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өте</w:t>
      </w:r>
      <w:proofErr w:type="spellEnd"/>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жиі</w:t>
      </w:r>
      <w:proofErr w:type="spellEnd"/>
      <w:r w:rsidRPr="00306051">
        <w:rPr>
          <w:rFonts w:ascii="Times New Roman" w:eastAsia="Times New Roman" w:hAnsi="Times New Roman" w:cs="Times New Roman"/>
          <w:sz w:val="20"/>
          <w:szCs w:val="24"/>
          <w:lang w:val="kk-KZ"/>
        </w:rPr>
        <w:t xml:space="preserve"> түсіп отырған</w:t>
      </w:r>
      <w:r w:rsidRPr="00306051">
        <w:rPr>
          <w:rFonts w:ascii="Times New Roman" w:eastAsia="Times New Roman" w:hAnsi="Times New Roman" w:cs="Times New Roman"/>
          <w:sz w:val="20"/>
          <w:szCs w:val="24"/>
        </w:rPr>
        <w:t xml:space="preserve">. </w:t>
      </w:r>
    </w:p>
    <w:p w14:paraId="1B043D16" w14:textId="77777777" w:rsidR="00607595" w:rsidRPr="00306051" w:rsidRDefault="00607595">
      <w:pPr>
        <w:spacing w:after="0" w:line="100" w:lineRule="atLeast"/>
        <w:jc w:val="both"/>
        <w:rPr>
          <w:rFonts w:ascii="Times New Roman" w:eastAsia="Times New Roman" w:hAnsi="Times New Roman" w:cs="Times New Roman"/>
          <w:i/>
          <w:sz w:val="24"/>
          <w:szCs w:val="24"/>
          <w:lang w:val="kk-KZ"/>
        </w:rPr>
      </w:pPr>
      <w:r w:rsidRPr="00306051">
        <w:rPr>
          <w:rFonts w:ascii="Times New Roman" w:eastAsia="Times New Roman" w:hAnsi="Times New Roman" w:cs="Times New Roman"/>
          <w:sz w:val="20"/>
          <w:szCs w:val="24"/>
          <w:vertAlign w:val="superscript"/>
        </w:rPr>
        <w:t>3</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Бұл жағымсыз</w:t>
      </w:r>
      <w:r w:rsidRPr="00306051">
        <w:rPr>
          <w:rFonts w:ascii="Times New Roman" w:eastAsia="Times New Roman" w:hAnsi="Times New Roman" w:cs="Times New Roman"/>
          <w:sz w:val="20"/>
          <w:szCs w:val="24"/>
        </w:rPr>
        <w:t xml:space="preserve"> реакция </w:t>
      </w:r>
      <w:r w:rsidRPr="00306051">
        <w:rPr>
          <w:rFonts w:ascii="Times New Roman" w:eastAsia="Times New Roman" w:hAnsi="Times New Roman" w:cs="Times New Roman"/>
          <w:sz w:val="20"/>
          <w:szCs w:val="24"/>
          <w:lang w:val="kk-KZ"/>
        </w:rPr>
        <w:t>тіркеуден кейінгі қадағалау</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кезінде анықталған</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бірақ, ересектер қатысқан</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рандомиз</w:t>
      </w:r>
      <w:proofErr w:type="spellEnd"/>
      <w:r w:rsidRPr="00306051">
        <w:rPr>
          <w:rFonts w:ascii="Times New Roman" w:eastAsia="Times New Roman" w:hAnsi="Times New Roman" w:cs="Times New Roman"/>
          <w:sz w:val="20"/>
          <w:szCs w:val="24"/>
          <w:lang w:val="kk-KZ"/>
        </w:rPr>
        <w:t>ац</w:t>
      </w:r>
      <w:r w:rsidRPr="00306051">
        <w:rPr>
          <w:rFonts w:ascii="Times New Roman" w:eastAsia="Times New Roman" w:hAnsi="Times New Roman" w:cs="Times New Roman"/>
          <w:sz w:val="20"/>
          <w:szCs w:val="24"/>
        </w:rPr>
        <w:t>и</w:t>
      </w:r>
      <w:r w:rsidRPr="00306051">
        <w:rPr>
          <w:rFonts w:ascii="Times New Roman" w:eastAsia="Times New Roman" w:hAnsi="Times New Roman" w:cs="Times New Roman"/>
          <w:sz w:val="20"/>
          <w:szCs w:val="24"/>
          <w:lang w:val="kk-KZ"/>
        </w:rPr>
        <w:t>яланған</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бақыланатын</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клини</w:t>
      </w:r>
      <w:proofErr w:type="spellEnd"/>
      <w:r w:rsidRPr="00306051">
        <w:rPr>
          <w:rFonts w:ascii="Times New Roman" w:eastAsia="Times New Roman" w:hAnsi="Times New Roman" w:cs="Times New Roman"/>
          <w:sz w:val="20"/>
          <w:szCs w:val="24"/>
          <w:lang w:val="kk-KZ"/>
        </w:rPr>
        <w:t>калық зерттеулерде де,</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 xml:space="preserve">АИТВ </w:t>
      </w:r>
      <w:r w:rsidRPr="00306051">
        <w:rPr>
          <w:rFonts w:ascii="Times New Roman" w:eastAsia="Times New Roman" w:hAnsi="Times New Roman" w:cs="Times New Roman"/>
          <w:sz w:val="20"/>
          <w:szCs w:val="24"/>
        </w:rPr>
        <w:t>инф</w:t>
      </w:r>
      <w:r w:rsidRPr="00306051">
        <w:rPr>
          <w:rFonts w:ascii="Times New Roman" w:eastAsia="Times New Roman" w:hAnsi="Times New Roman" w:cs="Times New Roman"/>
          <w:sz w:val="20"/>
          <w:szCs w:val="24"/>
          <w:lang w:val="kk-KZ"/>
        </w:rPr>
        <w:t>ек</w:t>
      </w:r>
      <w:proofErr w:type="spellStart"/>
      <w:r w:rsidRPr="00306051">
        <w:rPr>
          <w:rFonts w:ascii="Times New Roman" w:eastAsia="Times New Roman" w:hAnsi="Times New Roman" w:cs="Times New Roman"/>
          <w:sz w:val="20"/>
          <w:szCs w:val="24"/>
        </w:rPr>
        <w:t>ци</w:t>
      </w:r>
      <w:proofErr w:type="spellEnd"/>
      <w:r w:rsidRPr="00306051">
        <w:rPr>
          <w:rFonts w:ascii="Times New Roman" w:eastAsia="Times New Roman" w:hAnsi="Times New Roman" w:cs="Times New Roman"/>
          <w:sz w:val="20"/>
          <w:szCs w:val="24"/>
          <w:lang w:val="kk-KZ"/>
        </w:rPr>
        <w:t xml:space="preserve">ясы бар балалар қатысқан, </w:t>
      </w:r>
      <w:proofErr w:type="spellStart"/>
      <w:r w:rsidRPr="00306051">
        <w:rPr>
          <w:rFonts w:ascii="Times New Roman" w:eastAsia="Times New Roman" w:hAnsi="Times New Roman" w:cs="Times New Roman"/>
          <w:sz w:val="20"/>
          <w:szCs w:val="24"/>
        </w:rPr>
        <w:t>эмтрицитабин</w:t>
      </w:r>
      <w:proofErr w:type="spellEnd"/>
      <w:r w:rsidRPr="00306051">
        <w:rPr>
          <w:rFonts w:ascii="Times New Roman" w:eastAsia="Times New Roman" w:hAnsi="Times New Roman" w:cs="Times New Roman"/>
          <w:sz w:val="20"/>
          <w:szCs w:val="24"/>
          <w:lang w:val="kk-KZ"/>
        </w:rPr>
        <w:t xml:space="preserve">ді қолданып жүргізілген </w:t>
      </w:r>
      <w:proofErr w:type="spellStart"/>
      <w:r w:rsidRPr="00306051">
        <w:rPr>
          <w:rFonts w:ascii="Times New Roman" w:eastAsia="Times New Roman" w:hAnsi="Times New Roman" w:cs="Times New Roman"/>
          <w:sz w:val="20"/>
          <w:szCs w:val="24"/>
        </w:rPr>
        <w:t>клини</w:t>
      </w:r>
      <w:proofErr w:type="spellEnd"/>
      <w:r w:rsidRPr="00306051">
        <w:rPr>
          <w:rFonts w:ascii="Times New Roman" w:eastAsia="Times New Roman" w:hAnsi="Times New Roman" w:cs="Times New Roman"/>
          <w:sz w:val="20"/>
          <w:szCs w:val="24"/>
          <w:lang w:val="kk-KZ"/>
        </w:rPr>
        <w:t>калық зерттеулерде де</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рандомиз</w:t>
      </w:r>
      <w:proofErr w:type="spellEnd"/>
      <w:r w:rsidRPr="00306051">
        <w:rPr>
          <w:rFonts w:ascii="Times New Roman" w:eastAsia="Times New Roman" w:hAnsi="Times New Roman" w:cs="Times New Roman"/>
          <w:sz w:val="20"/>
          <w:szCs w:val="24"/>
          <w:lang w:val="kk-KZ"/>
        </w:rPr>
        <w:t>ац</w:t>
      </w:r>
      <w:r w:rsidRPr="00306051">
        <w:rPr>
          <w:rFonts w:ascii="Times New Roman" w:eastAsia="Times New Roman" w:hAnsi="Times New Roman" w:cs="Times New Roman"/>
          <w:sz w:val="20"/>
          <w:szCs w:val="24"/>
        </w:rPr>
        <w:t>и</w:t>
      </w:r>
      <w:r w:rsidRPr="00306051">
        <w:rPr>
          <w:rFonts w:ascii="Times New Roman" w:eastAsia="Times New Roman" w:hAnsi="Times New Roman" w:cs="Times New Roman"/>
          <w:sz w:val="20"/>
          <w:szCs w:val="24"/>
          <w:lang w:val="kk-KZ"/>
        </w:rPr>
        <w:t>яланған</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бақыланатын</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клини</w:t>
      </w:r>
      <w:proofErr w:type="spellEnd"/>
      <w:r w:rsidRPr="00306051">
        <w:rPr>
          <w:rFonts w:ascii="Times New Roman" w:eastAsia="Times New Roman" w:hAnsi="Times New Roman" w:cs="Times New Roman"/>
          <w:sz w:val="20"/>
          <w:szCs w:val="24"/>
          <w:lang w:val="kk-KZ"/>
        </w:rPr>
        <w:t>калық зерттеулерде де</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тенофовир</w:t>
      </w:r>
      <w:proofErr w:type="spellEnd"/>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дизопроксил</w:t>
      </w:r>
      <w:proofErr w:type="spellEnd"/>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фумарат</w:t>
      </w:r>
      <w:proofErr w:type="spellEnd"/>
      <w:r w:rsidRPr="00306051">
        <w:rPr>
          <w:rFonts w:ascii="Times New Roman" w:eastAsia="Times New Roman" w:hAnsi="Times New Roman" w:cs="Times New Roman"/>
          <w:sz w:val="20"/>
          <w:szCs w:val="24"/>
          <w:lang w:val="kk-KZ"/>
        </w:rPr>
        <w:t>ына қолжетімділіктің кеңейтілген бағдарламасында да тіркелмеген</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Ж</w:t>
      </w:r>
      <w:proofErr w:type="spellStart"/>
      <w:r w:rsidRPr="00306051">
        <w:rPr>
          <w:rFonts w:ascii="Times New Roman" w:eastAsia="Times New Roman" w:hAnsi="Times New Roman" w:cs="Times New Roman"/>
          <w:sz w:val="20"/>
          <w:szCs w:val="24"/>
        </w:rPr>
        <w:t>иі</w:t>
      </w:r>
      <w:proofErr w:type="spellEnd"/>
      <w:r w:rsidRPr="00306051">
        <w:rPr>
          <w:rFonts w:ascii="Times New Roman" w:eastAsia="Times New Roman" w:hAnsi="Times New Roman" w:cs="Times New Roman"/>
          <w:sz w:val="20"/>
          <w:szCs w:val="24"/>
          <w:lang w:val="kk-KZ"/>
        </w:rPr>
        <w:t>лік сана</w:t>
      </w:r>
      <w:r w:rsidRPr="00306051">
        <w:rPr>
          <w:rFonts w:ascii="Times New Roman" w:eastAsia="Times New Roman" w:hAnsi="Times New Roman" w:cs="Times New Roman"/>
          <w:sz w:val="20"/>
          <w:szCs w:val="24"/>
        </w:rPr>
        <w:t xml:space="preserve">ты </w:t>
      </w:r>
      <w:proofErr w:type="spellStart"/>
      <w:r w:rsidRPr="00306051">
        <w:rPr>
          <w:rFonts w:ascii="Times New Roman" w:eastAsia="Times New Roman" w:hAnsi="Times New Roman" w:cs="Times New Roman"/>
          <w:sz w:val="20"/>
          <w:szCs w:val="24"/>
        </w:rPr>
        <w:t>эмтрицитабин</w:t>
      </w:r>
      <w:proofErr w:type="spellEnd"/>
      <w:r w:rsidRPr="00306051">
        <w:rPr>
          <w:rFonts w:ascii="Times New Roman" w:eastAsia="Times New Roman" w:hAnsi="Times New Roman" w:cs="Times New Roman"/>
          <w:sz w:val="20"/>
          <w:szCs w:val="24"/>
          <w:lang w:val="kk-KZ"/>
        </w:rPr>
        <w:t>ді</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рандомиз</w:t>
      </w:r>
      <w:proofErr w:type="spellEnd"/>
      <w:r w:rsidRPr="00306051">
        <w:rPr>
          <w:rFonts w:ascii="Times New Roman" w:eastAsia="Times New Roman" w:hAnsi="Times New Roman" w:cs="Times New Roman"/>
          <w:sz w:val="20"/>
          <w:szCs w:val="24"/>
          <w:lang w:val="kk-KZ"/>
        </w:rPr>
        <w:t>ац</w:t>
      </w:r>
      <w:r w:rsidRPr="00306051">
        <w:rPr>
          <w:rFonts w:ascii="Times New Roman" w:eastAsia="Times New Roman" w:hAnsi="Times New Roman" w:cs="Times New Roman"/>
          <w:sz w:val="20"/>
          <w:szCs w:val="24"/>
        </w:rPr>
        <w:t>и</w:t>
      </w:r>
      <w:r w:rsidRPr="00306051">
        <w:rPr>
          <w:rFonts w:ascii="Times New Roman" w:eastAsia="Times New Roman" w:hAnsi="Times New Roman" w:cs="Times New Roman"/>
          <w:sz w:val="20"/>
          <w:szCs w:val="24"/>
          <w:lang w:val="kk-KZ"/>
        </w:rPr>
        <w:t xml:space="preserve">яланған бақыланатын </w:t>
      </w:r>
      <w:proofErr w:type="spellStart"/>
      <w:r w:rsidRPr="00306051">
        <w:rPr>
          <w:rFonts w:ascii="Times New Roman" w:eastAsia="Times New Roman" w:hAnsi="Times New Roman" w:cs="Times New Roman"/>
          <w:sz w:val="20"/>
          <w:szCs w:val="24"/>
        </w:rPr>
        <w:t>клини</w:t>
      </w:r>
      <w:proofErr w:type="spellEnd"/>
      <w:r w:rsidRPr="00306051">
        <w:rPr>
          <w:rFonts w:ascii="Times New Roman" w:eastAsia="Times New Roman" w:hAnsi="Times New Roman" w:cs="Times New Roman"/>
          <w:sz w:val="20"/>
          <w:szCs w:val="24"/>
          <w:lang w:val="kk-KZ"/>
        </w:rPr>
        <w:t>калық зерттеулерде</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немесе</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тенофовир</w:t>
      </w:r>
      <w:proofErr w:type="spellEnd"/>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дизопроксил</w:t>
      </w:r>
      <w:proofErr w:type="spellEnd"/>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фумарат</w:t>
      </w:r>
      <w:proofErr w:type="spellEnd"/>
      <w:r w:rsidRPr="00306051">
        <w:rPr>
          <w:rFonts w:ascii="Times New Roman" w:eastAsia="Times New Roman" w:hAnsi="Times New Roman" w:cs="Times New Roman"/>
          <w:sz w:val="20"/>
          <w:szCs w:val="24"/>
          <w:lang w:val="kk-KZ"/>
        </w:rPr>
        <w:t>ын</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рандомиз</w:t>
      </w:r>
      <w:proofErr w:type="spellEnd"/>
      <w:r w:rsidRPr="00306051">
        <w:rPr>
          <w:rFonts w:ascii="Times New Roman" w:eastAsia="Times New Roman" w:hAnsi="Times New Roman" w:cs="Times New Roman"/>
          <w:sz w:val="20"/>
          <w:szCs w:val="24"/>
          <w:lang w:val="kk-KZ"/>
        </w:rPr>
        <w:t>ац</w:t>
      </w:r>
      <w:r w:rsidRPr="00306051">
        <w:rPr>
          <w:rFonts w:ascii="Times New Roman" w:eastAsia="Times New Roman" w:hAnsi="Times New Roman" w:cs="Times New Roman"/>
          <w:sz w:val="20"/>
          <w:szCs w:val="24"/>
        </w:rPr>
        <w:t>и</w:t>
      </w:r>
      <w:r w:rsidRPr="00306051">
        <w:rPr>
          <w:rFonts w:ascii="Times New Roman" w:eastAsia="Times New Roman" w:hAnsi="Times New Roman" w:cs="Times New Roman"/>
          <w:sz w:val="20"/>
          <w:szCs w:val="24"/>
          <w:lang w:val="kk-KZ"/>
        </w:rPr>
        <w:t>яланған бақыланатын</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клини</w:t>
      </w:r>
      <w:proofErr w:type="spellEnd"/>
      <w:r w:rsidRPr="00306051">
        <w:rPr>
          <w:rFonts w:ascii="Times New Roman" w:eastAsia="Times New Roman" w:hAnsi="Times New Roman" w:cs="Times New Roman"/>
          <w:sz w:val="20"/>
          <w:szCs w:val="24"/>
          <w:lang w:val="kk-KZ"/>
        </w:rPr>
        <w:t xml:space="preserve">калық зерттеулерде </w:t>
      </w:r>
      <w:r w:rsidRPr="00306051">
        <w:rPr>
          <w:rFonts w:ascii="Times New Roman" w:eastAsia="Times New Roman" w:hAnsi="Times New Roman" w:cs="Times New Roman"/>
          <w:sz w:val="20"/>
          <w:szCs w:val="24"/>
        </w:rPr>
        <w:t xml:space="preserve">(n=1.563) </w:t>
      </w:r>
      <w:r w:rsidRPr="00306051">
        <w:rPr>
          <w:rFonts w:ascii="Times New Roman" w:eastAsia="Times New Roman" w:hAnsi="Times New Roman" w:cs="Times New Roman"/>
          <w:sz w:val="20"/>
          <w:szCs w:val="24"/>
          <w:lang w:val="kk-KZ"/>
        </w:rPr>
        <w:t>және кеңейтілген қолжетімділік</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бағдарламасында</w:t>
      </w:r>
      <w:r w:rsidRPr="00306051">
        <w:rPr>
          <w:rFonts w:ascii="Times New Roman" w:eastAsia="Times New Roman" w:hAnsi="Times New Roman" w:cs="Times New Roman"/>
          <w:sz w:val="20"/>
          <w:szCs w:val="24"/>
        </w:rPr>
        <w:t xml:space="preserve"> (n=7.319)</w:t>
      </w:r>
      <w:r w:rsidRPr="00306051">
        <w:rPr>
          <w:rFonts w:ascii="Times New Roman" w:eastAsia="Times New Roman" w:hAnsi="Times New Roman" w:cs="Times New Roman"/>
          <w:sz w:val="20"/>
          <w:szCs w:val="24"/>
          <w:lang w:val="kk-KZ"/>
        </w:rPr>
        <w:t xml:space="preserve"> қабылдаған</w:t>
      </w:r>
      <w:r w:rsidRPr="00306051">
        <w:rPr>
          <w:rFonts w:ascii="Times New Roman" w:eastAsia="Times New Roman" w:hAnsi="Times New Roman" w:cs="Times New Roman"/>
          <w:sz w:val="20"/>
          <w:szCs w:val="24"/>
        </w:rPr>
        <w:t xml:space="preserve"> пациент</w:t>
      </w:r>
      <w:r w:rsidRPr="00306051">
        <w:rPr>
          <w:rFonts w:ascii="Times New Roman" w:eastAsia="Times New Roman" w:hAnsi="Times New Roman" w:cs="Times New Roman"/>
          <w:sz w:val="20"/>
          <w:szCs w:val="24"/>
          <w:lang w:val="kk-KZ"/>
        </w:rPr>
        <w:t>тердің жалпы санына</w:t>
      </w:r>
      <w:r w:rsidRPr="00306051">
        <w:rPr>
          <w:rFonts w:ascii="Times New Roman" w:eastAsia="Times New Roman" w:hAnsi="Times New Roman" w:cs="Times New Roman"/>
          <w:sz w:val="20"/>
          <w:szCs w:val="24"/>
        </w:rPr>
        <w:t xml:space="preserve"> </w:t>
      </w:r>
      <w:r w:rsidRPr="00306051">
        <w:rPr>
          <w:rFonts w:ascii="Times New Roman" w:eastAsia="Times New Roman" w:hAnsi="Times New Roman" w:cs="Times New Roman"/>
          <w:sz w:val="20"/>
          <w:szCs w:val="24"/>
          <w:lang w:val="kk-KZ"/>
        </w:rPr>
        <w:t>байланысты,</w:t>
      </w:r>
      <w:r w:rsidRPr="00306051">
        <w:rPr>
          <w:rFonts w:ascii="Times New Roman" w:eastAsia="Times New Roman" w:hAnsi="Times New Roman" w:cs="Times New Roman"/>
          <w:sz w:val="20"/>
          <w:szCs w:val="24"/>
        </w:rPr>
        <w:t xml:space="preserve"> </w:t>
      </w:r>
      <w:proofErr w:type="spellStart"/>
      <w:r w:rsidRPr="00306051">
        <w:rPr>
          <w:rFonts w:ascii="Times New Roman" w:eastAsia="Times New Roman" w:hAnsi="Times New Roman" w:cs="Times New Roman"/>
          <w:sz w:val="20"/>
          <w:szCs w:val="24"/>
        </w:rPr>
        <w:t>статисти</w:t>
      </w:r>
      <w:proofErr w:type="spellEnd"/>
      <w:r w:rsidRPr="00306051">
        <w:rPr>
          <w:rFonts w:ascii="Times New Roman" w:eastAsia="Times New Roman" w:hAnsi="Times New Roman" w:cs="Times New Roman"/>
          <w:sz w:val="20"/>
          <w:szCs w:val="24"/>
          <w:lang w:val="kk-KZ"/>
        </w:rPr>
        <w:t>калық есептеу әдісімен анықталған</w:t>
      </w:r>
      <w:r w:rsidRPr="00306051">
        <w:rPr>
          <w:rFonts w:ascii="Times New Roman" w:eastAsia="Times New Roman" w:hAnsi="Times New Roman" w:cs="Times New Roman"/>
          <w:sz w:val="20"/>
          <w:szCs w:val="24"/>
        </w:rPr>
        <w:t>.</w:t>
      </w:r>
    </w:p>
    <w:p w14:paraId="0CA8410C" w14:textId="77777777" w:rsidR="00607595" w:rsidRPr="00306051" w:rsidRDefault="00607595">
      <w:pPr>
        <w:spacing w:after="0" w:line="100" w:lineRule="atLeast"/>
        <w:jc w:val="both"/>
        <w:rPr>
          <w:rFonts w:ascii="Times New Roman" w:eastAsia="Calibri" w:hAnsi="Times New Roman" w:cs="Times New Roman"/>
          <w:i/>
          <w:sz w:val="24"/>
          <w:szCs w:val="24"/>
          <w:lang w:val="kk-KZ"/>
        </w:rPr>
      </w:pPr>
      <w:r w:rsidRPr="00306051">
        <w:rPr>
          <w:rFonts w:ascii="Times New Roman" w:eastAsia="Times New Roman" w:hAnsi="Times New Roman" w:cs="Times New Roman"/>
          <w:i/>
          <w:sz w:val="24"/>
          <w:szCs w:val="24"/>
          <w:lang w:val="kk-KZ"/>
        </w:rPr>
        <w:t>Жекелеген жағымсыз реакциялардың сипаттамасы</w:t>
      </w:r>
    </w:p>
    <w:p w14:paraId="2DD42AD9" w14:textId="77777777" w:rsidR="00607595"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i/>
          <w:sz w:val="24"/>
          <w:szCs w:val="24"/>
          <w:lang w:val="kk-KZ"/>
        </w:rPr>
        <w:t xml:space="preserve">Бүйрек функциясының бұзылуы. </w:t>
      </w:r>
      <w:r w:rsidRPr="00306051">
        <w:rPr>
          <w:rFonts w:ascii="Times New Roman" w:eastAsia="Calibri" w:hAnsi="Times New Roman" w:cs="Times New Roman"/>
          <w:sz w:val="24"/>
          <w:szCs w:val="24"/>
          <w:lang w:val="kk-KZ"/>
        </w:rPr>
        <w:t>Эмтрицитабин және тенофовир дизопроксил фумараты препараты бүйректің зақымдануын туғызуы мүмкін болғандықтан, бүйрек функциясын мұқият қадағалау ұсынылады (4.4 бөлімін қараңыз). Бүйректің проксимальді тубулопатиясы, әдетте, басылған және оның ауырлығы тенофовир дизопроксил фумаратын тоқтатқаннан кейін төмендей түскен. Алайда, АИТВ-1 инфекциясы бар кейбір пациенттерде тенофовир дизопроксил фумаратының тоқтатылғанына қарамастан, бүйректік клиренсінің төмендеуі толығымен басылмаған. Бүйрек зақымдануының қаупі бар (мысалы, емдеуге дейін бүйрек зақымдануларының қауіп факторлары болған, АИТВ-инфекциясының кейінгі сатылары бар немесе нефроуытты препараттарды қатарлас қабылдап жүрген) пациенттерде тенофовир дизопроксил фумаратын тоқтатқаннан кейін бүйрек функциясының толық қалпына келмеу қаупі бар (4.4 бөлімін қараңыз).</w:t>
      </w:r>
    </w:p>
    <w:p w14:paraId="3F7C973B" w14:textId="77777777" w:rsidR="004C09ED" w:rsidRPr="00306051" w:rsidRDefault="004C09ED">
      <w:pPr>
        <w:spacing w:after="0" w:line="100" w:lineRule="atLeast"/>
        <w:jc w:val="both"/>
        <w:rPr>
          <w:rFonts w:ascii="Times New Roman" w:eastAsia="Calibri" w:hAnsi="Times New Roman" w:cs="Times New Roman"/>
          <w:iCs/>
          <w:sz w:val="24"/>
          <w:szCs w:val="24"/>
          <w:lang w:val="kk-KZ"/>
        </w:rPr>
      </w:pPr>
      <w:r w:rsidRPr="00306051">
        <w:rPr>
          <w:rFonts w:ascii="Times New Roman" w:eastAsia="Calibri" w:hAnsi="Times New Roman" w:cs="Times New Roman"/>
          <w:i/>
          <w:sz w:val="24"/>
          <w:szCs w:val="24"/>
          <w:lang w:val="kk-KZ"/>
        </w:rPr>
        <w:lastRenderedPageBreak/>
        <w:t xml:space="preserve">Лактоацидоз. </w:t>
      </w:r>
      <w:r w:rsidRPr="00306051">
        <w:rPr>
          <w:rFonts w:ascii="Times New Roman" w:eastAsia="Calibri" w:hAnsi="Times New Roman" w:cs="Times New Roman"/>
          <w:iCs/>
          <w:sz w:val="24"/>
          <w:szCs w:val="24"/>
          <w:lang w:val="kk-KZ"/>
        </w:rPr>
        <w:t xml:space="preserve">Тенофовир дизопроксилін </w:t>
      </w:r>
      <w:r w:rsidR="00D439E3" w:rsidRPr="00306051">
        <w:rPr>
          <w:rFonts w:ascii="Times New Roman" w:eastAsia="Calibri" w:hAnsi="Times New Roman" w:cs="Times New Roman"/>
          <w:iCs/>
          <w:sz w:val="24"/>
          <w:szCs w:val="24"/>
          <w:lang w:val="kk-KZ"/>
        </w:rPr>
        <w:t>жеке-дара</w:t>
      </w:r>
      <w:r w:rsidRPr="00306051">
        <w:rPr>
          <w:rFonts w:ascii="Times New Roman" w:eastAsia="Calibri" w:hAnsi="Times New Roman" w:cs="Times New Roman"/>
          <w:iCs/>
          <w:sz w:val="24"/>
          <w:szCs w:val="24"/>
          <w:lang w:val="kk-KZ"/>
        </w:rPr>
        <w:t xml:space="preserve"> немесе басқа антиретровирустық препараттармен біріктіріп қолданғанда лактоацидоз жағдайлары </w:t>
      </w:r>
      <w:r w:rsidR="00322AA5" w:rsidRPr="00306051">
        <w:rPr>
          <w:rFonts w:ascii="Times New Roman" w:eastAsia="Calibri" w:hAnsi="Times New Roman" w:cs="Times New Roman"/>
          <w:iCs/>
          <w:sz w:val="24"/>
          <w:szCs w:val="24"/>
          <w:lang w:val="kk-KZ"/>
        </w:rPr>
        <w:t xml:space="preserve">туралы </w:t>
      </w:r>
      <w:r w:rsidRPr="00306051">
        <w:rPr>
          <w:rFonts w:ascii="Times New Roman" w:eastAsia="Calibri" w:hAnsi="Times New Roman" w:cs="Times New Roman"/>
          <w:iCs/>
          <w:sz w:val="24"/>
          <w:szCs w:val="24"/>
          <w:lang w:val="kk-KZ"/>
        </w:rPr>
        <w:t xml:space="preserve">хабарланды. </w:t>
      </w:r>
      <w:r w:rsidR="00322AA5" w:rsidRPr="00306051">
        <w:rPr>
          <w:rFonts w:ascii="Times New Roman" w:eastAsia="Calibri" w:hAnsi="Times New Roman" w:cs="Times New Roman"/>
          <w:iCs/>
          <w:sz w:val="24"/>
          <w:szCs w:val="24"/>
          <w:lang w:val="kk-KZ"/>
        </w:rPr>
        <w:t>Бейімділік факторлары бар пациенттер, мысалы б</w:t>
      </w:r>
      <w:r w:rsidRPr="00306051">
        <w:rPr>
          <w:rFonts w:ascii="Times New Roman" w:eastAsia="Calibri" w:hAnsi="Times New Roman" w:cs="Times New Roman"/>
          <w:iCs/>
          <w:sz w:val="24"/>
          <w:szCs w:val="24"/>
          <w:lang w:val="kk-KZ"/>
        </w:rPr>
        <w:t xml:space="preserve">ауырдың декомпенсацияланған ауруы бар </w:t>
      </w:r>
      <w:r w:rsidR="00322AA5" w:rsidRPr="00306051">
        <w:rPr>
          <w:rFonts w:ascii="Times New Roman" w:eastAsia="Calibri" w:hAnsi="Times New Roman" w:cs="Times New Roman"/>
          <w:iCs/>
          <w:sz w:val="24"/>
          <w:szCs w:val="24"/>
          <w:lang w:val="kk-KZ"/>
        </w:rPr>
        <w:t>пациенттер</w:t>
      </w:r>
      <w:r w:rsidRPr="00306051">
        <w:rPr>
          <w:rFonts w:ascii="Times New Roman" w:eastAsia="Calibri" w:hAnsi="Times New Roman" w:cs="Times New Roman"/>
          <w:iCs/>
          <w:sz w:val="24"/>
          <w:szCs w:val="24"/>
          <w:lang w:val="kk-KZ"/>
        </w:rPr>
        <w:t xml:space="preserve"> немесе </w:t>
      </w:r>
      <w:r w:rsidR="00322AA5" w:rsidRPr="00306051">
        <w:rPr>
          <w:rFonts w:ascii="Times New Roman" w:eastAsia="Calibri" w:hAnsi="Times New Roman" w:cs="Times New Roman"/>
          <w:sz w:val="24"/>
          <w:szCs w:val="24"/>
          <w:lang w:val="kk-KZ"/>
        </w:rPr>
        <w:t xml:space="preserve">лактоацидозды </w:t>
      </w:r>
      <w:r w:rsidRPr="00306051">
        <w:rPr>
          <w:rFonts w:ascii="Times New Roman" w:eastAsia="Calibri" w:hAnsi="Times New Roman" w:cs="Times New Roman"/>
          <w:iCs/>
          <w:sz w:val="24"/>
          <w:szCs w:val="24"/>
          <w:lang w:val="kk-KZ"/>
        </w:rPr>
        <w:t>тудыруы белгілі қатарлас препараттарды қабылдап жүрген пациентте</w:t>
      </w:r>
      <w:r w:rsidR="00322AA5" w:rsidRPr="00306051">
        <w:rPr>
          <w:rFonts w:ascii="Times New Roman" w:eastAsia="Calibri" w:hAnsi="Times New Roman" w:cs="Times New Roman"/>
          <w:iCs/>
          <w:sz w:val="24"/>
          <w:szCs w:val="24"/>
          <w:lang w:val="kk-KZ"/>
        </w:rPr>
        <w:t xml:space="preserve">р өліммен аяқталуды қоса, тенофовир дизопроксилімен емдеу кезінде ауыр </w:t>
      </w:r>
      <w:r w:rsidR="00322AA5" w:rsidRPr="00306051">
        <w:rPr>
          <w:rFonts w:ascii="Times New Roman" w:eastAsia="Calibri" w:hAnsi="Times New Roman" w:cs="Times New Roman"/>
          <w:sz w:val="24"/>
          <w:szCs w:val="24"/>
          <w:lang w:val="kk-KZ"/>
        </w:rPr>
        <w:t>лактоацидоз</w:t>
      </w:r>
      <w:r w:rsidR="00322AA5" w:rsidRPr="00306051">
        <w:rPr>
          <w:rFonts w:ascii="Times New Roman" w:eastAsia="Calibri" w:hAnsi="Times New Roman" w:cs="Times New Roman"/>
          <w:iCs/>
          <w:sz w:val="24"/>
          <w:szCs w:val="24"/>
          <w:lang w:val="kk-KZ"/>
        </w:rPr>
        <w:t xml:space="preserve"> </w:t>
      </w:r>
      <w:r w:rsidRPr="00306051">
        <w:rPr>
          <w:rFonts w:ascii="Times New Roman" w:eastAsia="Calibri" w:hAnsi="Times New Roman" w:cs="Times New Roman"/>
          <w:iCs/>
          <w:sz w:val="24"/>
          <w:szCs w:val="24"/>
          <w:lang w:val="kk-KZ"/>
        </w:rPr>
        <w:t>даму</w:t>
      </w:r>
      <w:r w:rsidR="00322AA5" w:rsidRPr="00306051">
        <w:rPr>
          <w:rFonts w:ascii="Times New Roman" w:eastAsia="Calibri" w:hAnsi="Times New Roman" w:cs="Times New Roman"/>
          <w:iCs/>
          <w:sz w:val="24"/>
          <w:szCs w:val="24"/>
          <w:lang w:val="kk-KZ"/>
        </w:rPr>
        <w:t xml:space="preserve">ының жоғары  </w:t>
      </w:r>
      <w:r w:rsidRPr="00306051">
        <w:rPr>
          <w:rFonts w:ascii="Times New Roman" w:eastAsia="Calibri" w:hAnsi="Times New Roman" w:cs="Times New Roman"/>
          <w:iCs/>
          <w:sz w:val="24"/>
          <w:szCs w:val="24"/>
          <w:lang w:val="kk-KZ"/>
        </w:rPr>
        <w:t>қаупі</w:t>
      </w:r>
      <w:r w:rsidR="00322AA5" w:rsidRPr="00306051">
        <w:rPr>
          <w:rFonts w:ascii="Times New Roman" w:eastAsia="Calibri" w:hAnsi="Times New Roman" w:cs="Times New Roman"/>
          <w:iCs/>
          <w:sz w:val="24"/>
          <w:szCs w:val="24"/>
          <w:lang w:val="kk-KZ"/>
        </w:rPr>
        <w:t>не ұшырайды</w:t>
      </w:r>
      <w:r w:rsidRPr="00306051">
        <w:rPr>
          <w:rFonts w:ascii="Times New Roman" w:eastAsia="Calibri" w:hAnsi="Times New Roman" w:cs="Times New Roman"/>
          <w:iCs/>
          <w:sz w:val="24"/>
          <w:szCs w:val="24"/>
          <w:lang w:val="kk-KZ"/>
        </w:rPr>
        <w:t>.</w:t>
      </w:r>
    </w:p>
    <w:p w14:paraId="29C28874" w14:textId="77777777" w:rsidR="00607595" w:rsidRPr="00306051" w:rsidRDefault="00607595">
      <w:pPr>
        <w:spacing w:after="0" w:line="100" w:lineRule="atLeast"/>
        <w:jc w:val="both"/>
        <w:rPr>
          <w:rFonts w:ascii="Times New Roman" w:eastAsia="Calibri" w:hAnsi="Times New Roman" w:cs="Times New Roman"/>
          <w:i/>
          <w:sz w:val="24"/>
          <w:szCs w:val="24"/>
          <w:lang w:val="kk-KZ"/>
        </w:rPr>
      </w:pPr>
      <w:r w:rsidRPr="00306051">
        <w:rPr>
          <w:rFonts w:ascii="Times New Roman" w:eastAsia="Calibri" w:hAnsi="Times New Roman" w:cs="Times New Roman"/>
          <w:i/>
          <w:sz w:val="24"/>
          <w:szCs w:val="24"/>
          <w:lang w:val="kk-KZ"/>
        </w:rPr>
        <w:t xml:space="preserve">Метаболизм параметрлері. </w:t>
      </w:r>
      <w:r w:rsidRPr="00306051">
        <w:rPr>
          <w:rFonts w:ascii="Times New Roman" w:eastAsia="Calibri" w:hAnsi="Times New Roman" w:cs="Times New Roman"/>
          <w:sz w:val="24"/>
          <w:szCs w:val="24"/>
          <w:lang w:val="kk-KZ"/>
        </w:rPr>
        <w:t>Антиретровирустық ем кезінде дене салмағы, сондай-ақ, қандағы липидтер мен глюкоза деңгейлері жоғарылауы мүмкін (4.4 бөлімін қараңыз).</w:t>
      </w:r>
    </w:p>
    <w:p w14:paraId="26F991B3" w14:textId="77777777" w:rsidR="00607595" w:rsidRPr="00306051" w:rsidRDefault="00607595">
      <w:pPr>
        <w:spacing w:after="0" w:line="100" w:lineRule="atLeast"/>
        <w:jc w:val="both"/>
        <w:rPr>
          <w:rFonts w:ascii="Times New Roman" w:eastAsia="Calibri" w:hAnsi="Times New Roman" w:cs="Times New Roman"/>
          <w:i/>
          <w:sz w:val="24"/>
          <w:szCs w:val="24"/>
          <w:lang w:val="kk-KZ"/>
        </w:rPr>
      </w:pPr>
      <w:r w:rsidRPr="00306051">
        <w:rPr>
          <w:rFonts w:ascii="Times New Roman" w:eastAsia="Calibri" w:hAnsi="Times New Roman" w:cs="Times New Roman"/>
          <w:i/>
          <w:sz w:val="24"/>
          <w:szCs w:val="24"/>
          <w:lang w:val="kk-KZ"/>
        </w:rPr>
        <w:t xml:space="preserve">Иммундық реактивация синдромы. </w:t>
      </w:r>
      <w:r w:rsidRPr="00306051">
        <w:rPr>
          <w:rFonts w:ascii="Times New Roman" w:eastAsia="Calibri" w:hAnsi="Times New Roman" w:cs="Times New Roman"/>
          <w:sz w:val="24"/>
          <w:szCs w:val="24"/>
          <w:lang w:val="kk-KZ"/>
        </w:rPr>
        <w:t xml:space="preserve">Біріктірілген антиретровирустық ем (БАРЕ) жүргізу кезіндегі ауыр иммундық жеткіліксіздігімен, АИТВ инфекциясы бар пациенттерде симптомсыз немесе қалдықтық оппортунистік инфекцияларға қабыну реакциясы туындауы мүмкін. Сонымен қатар, аутоиммундық бұзылулар (мысалы, Грейвс ауруы) білінген, алайда, олардың туындауының тіркелген мерзімдері едәуір ауытқымалы және ол құбылыстар препаратты қабылдау басталғаннан кейін </w:t>
      </w:r>
      <w:r w:rsidR="00322AA5" w:rsidRPr="00306051">
        <w:rPr>
          <w:rFonts w:ascii="Times New Roman" w:eastAsia="Calibri" w:hAnsi="Times New Roman" w:cs="Times New Roman"/>
          <w:sz w:val="24"/>
          <w:szCs w:val="24"/>
          <w:lang w:val="kk-KZ"/>
        </w:rPr>
        <w:t>көп</w:t>
      </w:r>
      <w:r w:rsidRPr="00306051">
        <w:rPr>
          <w:rFonts w:ascii="Times New Roman" w:eastAsia="Calibri" w:hAnsi="Times New Roman" w:cs="Times New Roman"/>
          <w:sz w:val="24"/>
          <w:szCs w:val="24"/>
          <w:lang w:val="kk-KZ"/>
        </w:rPr>
        <w:t xml:space="preserve"> айдан соң дамуы мүмкін (4.4 бөлімін қараңыз).</w:t>
      </w:r>
    </w:p>
    <w:p w14:paraId="4F574569" w14:textId="77777777" w:rsidR="00607595" w:rsidRPr="00306051" w:rsidRDefault="00607595">
      <w:pPr>
        <w:spacing w:after="0" w:line="100" w:lineRule="atLeast"/>
        <w:jc w:val="both"/>
        <w:rPr>
          <w:rFonts w:ascii="Times New Roman" w:eastAsia="Calibri" w:hAnsi="Times New Roman" w:cs="Times New Roman"/>
          <w:i/>
          <w:sz w:val="24"/>
          <w:szCs w:val="24"/>
          <w:lang w:val="kk-KZ"/>
        </w:rPr>
      </w:pPr>
      <w:r w:rsidRPr="00306051">
        <w:rPr>
          <w:rFonts w:ascii="Times New Roman" w:eastAsia="Calibri" w:hAnsi="Times New Roman" w:cs="Times New Roman"/>
          <w:i/>
          <w:sz w:val="24"/>
          <w:szCs w:val="24"/>
          <w:lang w:val="kk-KZ"/>
        </w:rPr>
        <w:t xml:space="preserve">Остеонекроз. </w:t>
      </w:r>
      <w:r w:rsidRPr="00306051">
        <w:rPr>
          <w:rFonts w:ascii="Times New Roman" w:eastAsia="Calibri" w:hAnsi="Times New Roman" w:cs="Times New Roman"/>
          <w:sz w:val="24"/>
          <w:szCs w:val="24"/>
          <w:lang w:val="kk-KZ"/>
        </w:rPr>
        <w:t>Әсіресе, жалпыға ортақ қауіп факторлары бар, АИТ инфекциясының кейінгі сатылары бар немесе БАРЕ ұзақ уақыт қолданған  пациенттерде остеонекроз жағдайлары туралы хабарланған. Ондай жағдайлардың жиілігі белгісіз (4.4 бөлімін қараңыз).</w:t>
      </w:r>
    </w:p>
    <w:p w14:paraId="620EAEA0" w14:textId="77777777" w:rsidR="00607595" w:rsidRPr="00306051" w:rsidRDefault="00607595">
      <w:pPr>
        <w:spacing w:after="0" w:line="100" w:lineRule="atLeast"/>
        <w:jc w:val="both"/>
        <w:rPr>
          <w:rFonts w:ascii="Times New Roman" w:eastAsia="Calibri" w:hAnsi="Times New Roman" w:cs="Times New Roman"/>
          <w:i/>
          <w:sz w:val="24"/>
          <w:szCs w:val="24"/>
          <w:lang w:val="kk-KZ"/>
        </w:rPr>
      </w:pPr>
      <w:r w:rsidRPr="00306051">
        <w:rPr>
          <w:rFonts w:ascii="Times New Roman" w:eastAsia="Calibri" w:hAnsi="Times New Roman" w:cs="Times New Roman"/>
          <w:i/>
          <w:sz w:val="24"/>
          <w:szCs w:val="24"/>
          <w:lang w:val="kk-KZ"/>
        </w:rPr>
        <w:t>Басқа ерекше топтар</w:t>
      </w:r>
    </w:p>
    <w:p w14:paraId="684E1606" w14:textId="77777777" w:rsidR="004C09ED" w:rsidRPr="00306051" w:rsidRDefault="00607595">
      <w:pPr>
        <w:spacing w:after="0" w:line="100" w:lineRule="atLeast"/>
        <w:jc w:val="both"/>
        <w:rPr>
          <w:rFonts w:ascii="Times New Roman" w:eastAsia="Calibri" w:hAnsi="Times New Roman" w:cs="Times New Roman"/>
          <w:sz w:val="24"/>
          <w:szCs w:val="24"/>
          <w:lang w:val="kk-KZ"/>
        </w:rPr>
      </w:pPr>
      <w:r w:rsidRPr="00306051">
        <w:rPr>
          <w:rFonts w:ascii="Times New Roman" w:eastAsia="Calibri" w:hAnsi="Times New Roman" w:cs="Times New Roman"/>
          <w:i/>
          <w:sz w:val="24"/>
          <w:szCs w:val="24"/>
          <w:lang w:val="kk-KZ"/>
        </w:rPr>
        <w:t xml:space="preserve">Бүйрек функциясының бұзылуы бар пациенттер. </w:t>
      </w:r>
      <w:r w:rsidRPr="00306051">
        <w:rPr>
          <w:rFonts w:ascii="Times New Roman" w:eastAsia="Calibri" w:hAnsi="Times New Roman" w:cs="Times New Roman"/>
          <w:sz w:val="24"/>
          <w:szCs w:val="24"/>
          <w:lang w:val="kk-KZ"/>
        </w:rPr>
        <w:t xml:space="preserve">Тенофовир дизопроксил фумаратының бүйрекке уытты әсері болуы мүмкін болғандықтан,  бүйрек функциясы бұзылған, Эмтрицитабин және тенофовир дизопроксил фумараты препаратын қабылдап жүрген ересек пациенттердің барлығының бүйрек функцияларын мұқият қадағалау ұсынылады (4.2, 4.4 және 5.2 бөлімдерін қараңыз). </w:t>
      </w:r>
      <w:r w:rsidR="004C09ED" w:rsidRPr="00306051">
        <w:rPr>
          <w:rFonts w:ascii="Times New Roman" w:eastAsia="Calibri" w:hAnsi="Times New Roman" w:cs="Times New Roman"/>
          <w:sz w:val="24"/>
          <w:szCs w:val="24"/>
          <w:lang w:val="kk-KZ"/>
        </w:rPr>
        <w:t>Эмтрицитабин және тенофовир дизопроксил фумараты бүйрек жеткіліксіздігі бар 18 жас</w:t>
      </w:r>
      <w:r w:rsidR="00322AA5" w:rsidRPr="00306051">
        <w:rPr>
          <w:rFonts w:ascii="Times New Roman" w:eastAsia="Calibri" w:hAnsi="Times New Roman" w:cs="Times New Roman"/>
          <w:sz w:val="24"/>
          <w:szCs w:val="24"/>
          <w:lang w:val="kk-KZ"/>
        </w:rPr>
        <w:t xml:space="preserve">тан кіші тұлғаларға  </w:t>
      </w:r>
      <w:r w:rsidR="004C09ED" w:rsidRPr="00306051">
        <w:rPr>
          <w:rFonts w:ascii="Times New Roman" w:eastAsia="Calibri" w:hAnsi="Times New Roman" w:cs="Times New Roman"/>
          <w:sz w:val="24"/>
          <w:szCs w:val="24"/>
          <w:lang w:val="kk-KZ"/>
        </w:rPr>
        <w:t>ұсынылмайды (4.2 және 4.4 бөлімдерін қараңыз).</w:t>
      </w:r>
    </w:p>
    <w:p w14:paraId="16AFE595" w14:textId="77777777" w:rsidR="00607595" w:rsidRPr="00306051" w:rsidRDefault="00607595">
      <w:pPr>
        <w:spacing w:after="0" w:line="100" w:lineRule="atLeast"/>
        <w:jc w:val="both"/>
        <w:rPr>
          <w:rFonts w:ascii="Times New Roman" w:eastAsia="Calibri" w:hAnsi="Times New Roman" w:cs="Times New Roman"/>
          <w:i/>
          <w:sz w:val="24"/>
          <w:szCs w:val="24"/>
          <w:lang w:val="kk-KZ"/>
        </w:rPr>
      </w:pPr>
      <w:r w:rsidRPr="00306051">
        <w:rPr>
          <w:rFonts w:ascii="Times New Roman" w:eastAsia="Calibri" w:hAnsi="Times New Roman" w:cs="Times New Roman"/>
          <w:i/>
          <w:sz w:val="24"/>
          <w:szCs w:val="24"/>
          <w:lang w:val="kk-KZ"/>
        </w:rPr>
        <w:t>АИТВ</w:t>
      </w:r>
      <w:r w:rsidRPr="00306051">
        <w:rPr>
          <w:rFonts w:ascii="Times New Roman" w:eastAsia="Calibri" w:hAnsi="Times New Roman" w:cs="Times New Roman"/>
          <w:i/>
          <w:sz w:val="24"/>
          <w:szCs w:val="24"/>
        </w:rPr>
        <w:t xml:space="preserve">/ВГВ </w:t>
      </w:r>
      <w:r w:rsidRPr="00306051">
        <w:rPr>
          <w:rFonts w:ascii="Times New Roman" w:eastAsia="Calibri" w:hAnsi="Times New Roman" w:cs="Times New Roman"/>
          <w:i/>
          <w:sz w:val="24"/>
          <w:szCs w:val="24"/>
          <w:lang w:val="kk-KZ"/>
        </w:rPr>
        <w:t>немесе АИТВ</w:t>
      </w:r>
      <w:r w:rsidRPr="00306051">
        <w:rPr>
          <w:rFonts w:ascii="Times New Roman" w:eastAsia="Calibri" w:hAnsi="Times New Roman" w:cs="Times New Roman"/>
          <w:i/>
          <w:sz w:val="24"/>
          <w:szCs w:val="24"/>
        </w:rPr>
        <w:t xml:space="preserve">/СГВ </w:t>
      </w:r>
      <w:proofErr w:type="spellStart"/>
      <w:r w:rsidRPr="00306051">
        <w:rPr>
          <w:rFonts w:ascii="Times New Roman" w:eastAsia="Calibri" w:hAnsi="Times New Roman" w:cs="Times New Roman"/>
          <w:i/>
          <w:sz w:val="24"/>
          <w:szCs w:val="24"/>
        </w:rPr>
        <w:t>коинфекци</w:t>
      </w:r>
      <w:proofErr w:type="spellEnd"/>
      <w:r w:rsidR="002A5778" w:rsidRPr="00306051">
        <w:rPr>
          <w:rFonts w:ascii="Times New Roman" w:eastAsia="Calibri" w:hAnsi="Times New Roman" w:cs="Times New Roman"/>
          <w:i/>
          <w:sz w:val="24"/>
          <w:szCs w:val="24"/>
          <w:lang w:val="kk-KZ"/>
        </w:rPr>
        <w:t>ясы бар</w:t>
      </w:r>
      <w:r w:rsidRPr="00306051">
        <w:rPr>
          <w:rFonts w:ascii="Times New Roman" w:eastAsia="Calibri" w:hAnsi="Times New Roman" w:cs="Times New Roman"/>
          <w:i/>
          <w:sz w:val="24"/>
          <w:szCs w:val="24"/>
          <w:lang w:val="kk-KZ"/>
        </w:rPr>
        <w:t xml:space="preserve"> п</w:t>
      </w:r>
      <w:proofErr w:type="spellStart"/>
      <w:r w:rsidRPr="00306051">
        <w:rPr>
          <w:rFonts w:ascii="Times New Roman" w:eastAsia="Calibri" w:hAnsi="Times New Roman" w:cs="Times New Roman"/>
          <w:i/>
          <w:sz w:val="24"/>
          <w:szCs w:val="24"/>
        </w:rPr>
        <w:t>ациент</w:t>
      </w:r>
      <w:proofErr w:type="spellEnd"/>
      <w:r w:rsidRPr="00306051">
        <w:rPr>
          <w:rFonts w:ascii="Times New Roman" w:eastAsia="Calibri" w:hAnsi="Times New Roman" w:cs="Times New Roman"/>
          <w:i/>
          <w:sz w:val="24"/>
          <w:szCs w:val="24"/>
          <w:lang w:val="kk-KZ"/>
        </w:rPr>
        <w:t>тер</w:t>
      </w:r>
      <w:r w:rsidRPr="00306051">
        <w:rPr>
          <w:rFonts w:ascii="Times New Roman" w:eastAsia="Calibri" w:hAnsi="Times New Roman" w:cs="Times New Roman"/>
          <w:i/>
          <w:sz w:val="24"/>
          <w:szCs w:val="24"/>
        </w:rPr>
        <w:t xml:space="preserve">. </w:t>
      </w:r>
      <w:r w:rsidR="002A5778" w:rsidRPr="00306051">
        <w:rPr>
          <w:rFonts w:ascii="Times New Roman" w:eastAsia="Calibri" w:hAnsi="Times New Roman" w:cs="Times New Roman"/>
          <w:sz w:val="24"/>
          <w:szCs w:val="24"/>
        </w:rPr>
        <w:t>ВГВ</w:t>
      </w:r>
      <w:r w:rsidR="004C09ED" w:rsidRPr="00306051">
        <w:rPr>
          <w:rFonts w:ascii="Times New Roman" w:eastAsia="Calibri" w:hAnsi="Times New Roman" w:cs="Times New Roman"/>
          <w:sz w:val="24"/>
          <w:szCs w:val="24"/>
          <w:lang w:val="kk-KZ"/>
        </w:rPr>
        <w:t xml:space="preserve"> (</w:t>
      </w:r>
      <w:r w:rsidR="002A5778" w:rsidRPr="00306051">
        <w:rPr>
          <w:rFonts w:ascii="Times New Roman" w:eastAsia="Calibri" w:hAnsi="Times New Roman" w:cs="Times New Roman"/>
          <w:sz w:val="24"/>
          <w:szCs w:val="24"/>
        </w:rPr>
        <w:t>n</w:t>
      </w:r>
      <w:r w:rsidR="002A5778" w:rsidRPr="00306051">
        <w:rPr>
          <w:rFonts w:ascii="Times New Roman" w:eastAsia="Calibri" w:hAnsi="Times New Roman" w:cs="Times New Roman"/>
          <w:sz w:val="24"/>
          <w:szCs w:val="24"/>
          <w:lang w:val="kk-KZ"/>
        </w:rPr>
        <w:t xml:space="preserve"> = 13) немесе </w:t>
      </w:r>
      <w:r w:rsidR="004C09ED" w:rsidRPr="00306051">
        <w:rPr>
          <w:rFonts w:ascii="Times New Roman" w:eastAsia="Calibri" w:hAnsi="Times New Roman" w:cs="Times New Roman"/>
          <w:sz w:val="24"/>
          <w:szCs w:val="24"/>
          <w:lang w:val="kk-KZ"/>
        </w:rPr>
        <w:t>C</w:t>
      </w:r>
      <w:r w:rsidR="002A5778" w:rsidRPr="00306051">
        <w:rPr>
          <w:rFonts w:ascii="Times New Roman" w:eastAsia="Calibri" w:hAnsi="Times New Roman" w:cs="Times New Roman"/>
          <w:sz w:val="24"/>
          <w:szCs w:val="24"/>
        </w:rPr>
        <w:t>ГВ</w:t>
      </w:r>
      <w:r w:rsidR="004C09ED" w:rsidRPr="00306051">
        <w:rPr>
          <w:rFonts w:ascii="Times New Roman" w:eastAsia="Calibri" w:hAnsi="Times New Roman" w:cs="Times New Roman"/>
          <w:sz w:val="24"/>
          <w:szCs w:val="24"/>
          <w:lang w:val="kk-KZ"/>
        </w:rPr>
        <w:t xml:space="preserve"> (n = 26) коинфекцияланған GS-01-934 зерттеуіндегі АИТВ </w:t>
      </w:r>
      <w:r w:rsidR="002A5778" w:rsidRPr="00306051">
        <w:rPr>
          <w:rFonts w:ascii="Times New Roman" w:eastAsia="Calibri" w:hAnsi="Times New Roman" w:cs="Times New Roman"/>
          <w:sz w:val="24"/>
          <w:szCs w:val="24"/>
          <w:lang w:val="kk-KZ"/>
        </w:rPr>
        <w:t xml:space="preserve">инфекциясын </w:t>
      </w:r>
      <w:r w:rsidR="004C09ED" w:rsidRPr="00306051">
        <w:rPr>
          <w:rFonts w:ascii="Times New Roman" w:eastAsia="Calibri" w:hAnsi="Times New Roman" w:cs="Times New Roman"/>
          <w:sz w:val="24"/>
          <w:szCs w:val="24"/>
          <w:lang w:val="kk-KZ"/>
        </w:rPr>
        <w:t xml:space="preserve">жұқтырған пациенттердің шектеулі санындағы эмтрицитабин мен тенофовир дизопроксилінің жағымсыз реакцияларының </w:t>
      </w:r>
      <w:r w:rsidR="002A5778" w:rsidRPr="00306051">
        <w:rPr>
          <w:rFonts w:ascii="Times New Roman" w:eastAsia="Calibri" w:hAnsi="Times New Roman" w:cs="Times New Roman"/>
          <w:sz w:val="24"/>
          <w:szCs w:val="24"/>
          <w:lang w:val="kk-KZ"/>
        </w:rPr>
        <w:t>бейін</w:t>
      </w:r>
      <w:r w:rsidR="004C09ED" w:rsidRPr="00306051">
        <w:rPr>
          <w:rFonts w:ascii="Times New Roman" w:eastAsia="Calibri" w:hAnsi="Times New Roman" w:cs="Times New Roman"/>
          <w:sz w:val="24"/>
          <w:szCs w:val="24"/>
          <w:lang w:val="kk-KZ"/>
        </w:rPr>
        <w:t xml:space="preserve">і </w:t>
      </w:r>
      <w:r w:rsidR="002A5778" w:rsidRPr="00306051">
        <w:rPr>
          <w:rFonts w:ascii="Times New Roman" w:eastAsia="Calibri" w:hAnsi="Times New Roman" w:cs="Times New Roman"/>
          <w:sz w:val="24"/>
          <w:szCs w:val="24"/>
          <w:lang w:val="kk-KZ"/>
        </w:rPr>
        <w:t>қатарлас</w:t>
      </w:r>
      <w:r w:rsidR="004C09ED" w:rsidRPr="00306051">
        <w:rPr>
          <w:rFonts w:ascii="Times New Roman" w:eastAsia="Calibri" w:hAnsi="Times New Roman" w:cs="Times New Roman"/>
          <w:sz w:val="24"/>
          <w:szCs w:val="24"/>
          <w:lang w:val="kk-KZ"/>
        </w:rPr>
        <w:t xml:space="preserve"> инфекциясы жоқ</w:t>
      </w:r>
      <w:r w:rsidR="002A5778" w:rsidRPr="00306051">
        <w:rPr>
          <w:rFonts w:ascii="Times New Roman" w:eastAsia="Calibri" w:hAnsi="Times New Roman" w:cs="Times New Roman"/>
          <w:sz w:val="24"/>
          <w:szCs w:val="24"/>
          <w:lang w:val="kk-KZ"/>
        </w:rPr>
        <w:t>,</w:t>
      </w:r>
      <w:r w:rsidR="004C09ED" w:rsidRPr="00306051">
        <w:rPr>
          <w:rFonts w:ascii="Times New Roman" w:eastAsia="Calibri" w:hAnsi="Times New Roman" w:cs="Times New Roman"/>
          <w:sz w:val="24"/>
          <w:szCs w:val="24"/>
          <w:lang w:val="kk-KZ"/>
        </w:rPr>
        <w:t xml:space="preserve"> АИТВ</w:t>
      </w:r>
      <w:r w:rsidR="002A5778" w:rsidRPr="00306051">
        <w:rPr>
          <w:rFonts w:ascii="Times New Roman" w:eastAsia="Calibri" w:hAnsi="Times New Roman" w:cs="Times New Roman"/>
          <w:sz w:val="24"/>
          <w:szCs w:val="24"/>
          <w:lang w:val="kk-KZ"/>
        </w:rPr>
        <w:t xml:space="preserve"> инфекциясын</w:t>
      </w:r>
      <w:r w:rsidR="004C09ED" w:rsidRPr="00306051">
        <w:rPr>
          <w:rFonts w:ascii="Times New Roman" w:eastAsia="Calibri" w:hAnsi="Times New Roman" w:cs="Times New Roman"/>
          <w:sz w:val="24"/>
          <w:szCs w:val="24"/>
          <w:lang w:val="kk-KZ"/>
        </w:rPr>
        <w:t xml:space="preserve"> жұқтырған пациенттердегі GS 01-934 зерттеуіндегі </w:t>
      </w:r>
      <w:r w:rsidR="002A5778" w:rsidRPr="00306051">
        <w:rPr>
          <w:rFonts w:ascii="Times New Roman" w:eastAsia="Calibri" w:hAnsi="Times New Roman" w:cs="Times New Roman"/>
          <w:sz w:val="24"/>
          <w:szCs w:val="24"/>
          <w:lang w:val="kk-KZ"/>
        </w:rPr>
        <w:t>бейін</w:t>
      </w:r>
      <w:r w:rsidR="004C09ED" w:rsidRPr="00306051">
        <w:rPr>
          <w:rFonts w:ascii="Times New Roman" w:eastAsia="Calibri" w:hAnsi="Times New Roman" w:cs="Times New Roman"/>
          <w:sz w:val="24"/>
          <w:szCs w:val="24"/>
          <w:lang w:val="kk-KZ"/>
        </w:rPr>
        <w:t>ге ұқсас болды. Алайда, пациенттердің бұл тобында АИТВ-</w:t>
      </w:r>
      <w:r w:rsidR="002A5778" w:rsidRPr="00306051">
        <w:rPr>
          <w:rFonts w:ascii="Times New Roman" w:eastAsia="Calibri" w:hAnsi="Times New Roman" w:cs="Times New Roman"/>
          <w:sz w:val="24"/>
          <w:szCs w:val="24"/>
          <w:lang w:val="kk-KZ"/>
        </w:rPr>
        <w:t xml:space="preserve">инфекциясын </w:t>
      </w:r>
      <w:r w:rsidR="004C09ED" w:rsidRPr="00306051">
        <w:rPr>
          <w:rFonts w:ascii="Times New Roman" w:eastAsia="Calibri" w:hAnsi="Times New Roman" w:cs="Times New Roman"/>
          <w:sz w:val="24"/>
          <w:szCs w:val="24"/>
          <w:lang w:val="kk-KZ"/>
        </w:rPr>
        <w:t>жұқтырғандардың жалпы популяциясына қарағанда АСТ және АЛТ жоғарылауы жиі орын алды.</w:t>
      </w:r>
    </w:p>
    <w:p w14:paraId="75075334"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rPr>
        <w:t xml:space="preserve">Препаратты қабылдауды тоқтатқаннан кейін гепатиттің өршулері. </w:t>
      </w:r>
      <w:r w:rsidRPr="00306051">
        <w:rPr>
          <w:rFonts w:ascii="Times New Roman" w:eastAsia="Calibri" w:hAnsi="Times New Roman" w:cs="Times New Roman"/>
          <w:sz w:val="24"/>
          <w:szCs w:val="24"/>
          <w:lang w:val="kk-KZ"/>
        </w:rPr>
        <w:t>ВГВ инфекциясы бар пациенттерде препаратты қабылдау тоқтатылғаннан кейін гепатиттің клиникалық және зертханалық белгілері байқалған (4.4 бөлімін қараңыз)</w:t>
      </w:r>
      <w:r w:rsidRPr="00306051">
        <w:rPr>
          <w:rFonts w:ascii="Times New Roman" w:eastAsia="Calibri" w:hAnsi="Times New Roman" w:cs="Times New Roman"/>
          <w:i/>
          <w:sz w:val="24"/>
          <w:szCs w:val="24"/>
          <w:lang w:val="kk-KZ"/>
        </w:rPr>
        <w:t>.</w:t>
      </w:r>
    </w:p>
    <w:p w14:paraId="350FD612" w14:textId="77777777" w:rsidR="002A5778" w:rsidRPr="00306051" w:rsidRDefault="002A5778" w:rsidP="00CE7C2E">
      <w:pPr>
        <w:spacing w:after="0" w:line="240" w:lineRule="auto"/>
        <w:jc w:val="both"/>
        <w:rPr>
          <w:rFonts w:ascii="Times New Roman" w:eastAsia="Calibri" w:hAnsi="Times New Roman" w:cs="Times New Roman"/>
          <w:sz w:val="24"/>
          <w:szCs w:val="24"/>
          <w:lang w:val="kk-KZ" w:eastAsia="ar-IQ" w:bidi="ar-IQ"/>
        </w:rPr>
      </w:pPr>
    </w:p>
    <w:p w14:paraId="3B9444D6" w14:textId="77777777" w:rsidR="00CE7C2E" w:rsidRPr="00306051" w:rsidRDefault="00607595" w:rsidP="00CE7C2E">
      <w:pPr>
        <w:spacing w:after="0" w:line="240" w:lineRule="auto"/>
        <w:jc w:val="both"/>
        <w:rPr>
          <w:rFonts w:ascii="Times New Roman" w:hAnsi="Times New Roman" w:cs="Times New Roman"/>
          <w:sz w:val="24"/>
          <w:szCs w:val="24"/>
          <w:lang w:val="kk-KZ"/>
        </w:rPr>
      </w:pPr>
      <w:r w:rsidRPr="00306051">
        <w:rPr>
          <w:rFonts w:ascii="Times New Roman" w:hAnsi="Times New Roman" w:cs="Times New Roman"/>
          <w:b/>
          <w:sz w:val="24"/>
          <w:szCs w:val="24"/>
          <w:lang w:val="kk-KZ"/>
        </w:rPr>
        <w:t>Күдік тудырған жағымсыз реакциялар туралы хабарлау</w:t>
      </w:r>
    </w:p>
    <w:p w14:paraId="4221867B" w14:textId="77777777" w:rsidR="00607595" w:rsidRPr="00306051" w:rsidRDefault="00607595" w:rsidP="00E60F6A">
      <w:pPr>
        <w:spacing w:after="0" w:line="240" w:lineRule="auto"/>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ДП «пайдасы – қаупі» арақатынасына үздіксіз мониторинг жүргізілуін қамтамасыз ету мақсатында, ДП тіркеуден кейін күдік тудырған жағымсыз реакциялар туралы хабарлаудың маңызы зор. Медицина қызметкерлеріне ДП күдік тудырған кез келген жағымсыз реакциялары туралы ҚР жағымсыз реакциялар туралы хабарлаудың ұлттық жүйесі арқылы хабарлап отыру ұсынылады:</w:t>
      </w:r>
    </w:p>
    <w:p w14:paraId="1B30F421" w14:textId="77777777" w:rsidR="00E60F6A" w:rsidRDefault="00E60F6A" w:rsidP="00E60F6A">
      <w:pPr>
        <w:spacing w:after="0" w:line="240" w:lineRule="auto"/>
        <w:jc w:val="both"/>
        <w:rPr>
          <w:rFonts w:ascii="Times New Roman" w:hAnsi="Times New Roman" w:cs="Times New Roman"/>
          <w:sz w:val="24"/>
          <w:szCs w:val="24"/>
          <w:lang w:val="kk-KZ"/>
        </w:rPr>
      </w:pPr>
      <w:r w:rsidRPr="00E60F6A">
        <w:rPr>
          <w:rFonts w:ascii="Times New Roman" w:hAnsi="Times New Roman" w:cs="Times New Roman"/>
          <w:sz w:val="24"/>
          <w:szCs w:val="24"/>
          <w:lang w:val="kk-KZ"/>
        </w:rPr>
        <w:t>Қазақстан Республикасы Денсаулық сақтау министрлігі Медициналық және</w:t>
      </w:r>
      <w:r>
        <w:rPr>
          <w:rFonts w:ascii="Times New Roman" w:hAnsi="Times New Roman" w:cs="Times New Roman"/>
          <w:sz w:val="24"/>
          <w:szCs w:val="24"/>
          <w:lang w:val="kk-KZ"/>
        </w:rPr>
        <w:t xml:space="preserve"> </w:t>
      </w:r>
      <w:r w:rsidRPr="00E60F6A">
        <w:rPr>
          <w:rFonts w:ascii="Times New Roman" w:hAnsi="Times New Roman" w:cs="Times New Roman"/>
          <w:sz w:val="24"/>
          <w:szCs w:val="24"/>
          <w:lang w:val="kk-KZ"/>
        </w:rPr>
        <w:t>фармацевтикалық бақылау комитеті «Дәрілік заттар мен медициналық бұйымдарды</w:t>
      </w:r>
      <w:r>
        <w:rPr>
          <w:rFonts w:ascii="Times New Roman" w:hAnsi="Times New Roman" w:cs="Times New Roman"/>
          <w:sz w:val="24"/>
          <w:szCs w:val="24"/>
          <w:lang w:val="kk-KZ"/>
        </w:rPr>
        <w:t xml:space="preserve"> </w:t>
      </w:r>
      <w:r w:rsidRPr="00E60F6A">
        <w:rPr>
          <w:rFonts w:ascii="Times New Roman" w:hAnsi="Times New Roman" w:cs="Times New Roman"/>
          <w:sz w:val="24"/>
          <w:szCs w:val="24"/>
          <w:lang w:val="kk-KZ"/>
        </w:rPr>
        <w:t>сараптау ұлттық орталығы» ШЖҚ РМК</w:t>
      </w:r>
    </w:p>
    <w:p w14:paraId="4012487E" w14:textId="77777777" w:rsidR="00E60F6A" w:rsidRDefault="00525C29" w:rsidP="00CE7C2E">
      <w:pPr>
        <w:spacing w:after="0" w:line="240" w:lineRule="auto"/>
        <w:jc w:val="both"/>
        <w:rPr>
          <w:rFonts w:ascii="Times New Roman" w:hAnsi="Times New Roman" w:cs="Times New Roman"/>
          <w:bCs/>
          <w:sz w:val="24"/>
          <w:szCs w:val="24"/>
          <w:lang w:val="kk-KZ"/>
        </w:rPr>
      </w:pPr>
      <w:hyperlink r:id="rId8" w:history="1">
        <w:r w:rsidR="00E60F6A" w:rsidRPr="00734EC1">
          <w:rPr>
            <w:rStyle w:val="a4"/>
            <w:rFonts w:ascii="Times New Roman" w:hAnsi="Times New Roman" w:cs="Times New Roman"/>
            <w:bCs/>
            <w:sz w:val="24"/>
            <w:szCs w:val="24"/>
            <w:lang w:val="kk-KZ"/>
          </w:rPr>
          <w:t>http://www.ndda.kz</w:t>
        </w:r>
      </w:hyperlink>
    </w:p>
    <w:p w14:paraId="1873CD96" w14:textId="77777777" w:rsidR="00E60F6A" w:rsidRPr="00E60F6A" w:rsidRDefault="00E60F6A" w:rsidP="00CE7C2E">
      <w:pPr>
        <w:spacing w:after="0" w:line="240" w:lineRule="auto"/>
        <w:jc w:val="both"/>
        <w:rPr>
          <w:rFonts w:ascii="Times New Roman" w:hAnsi="Times New Roman" w:cs="Times New Roman"/>
          <w:bCs/>
          <w:sz w:val="24"/>
          <w:szCs w:val="24"/>
          <w:lang w:val="kk-KZ"/>
        </w:rPr>
      </w:pPr>
    </w:p>
    <w:p w14:paraId="2DA2B5BB" w14:textId="77777777" w:rsidR="00607595" w:rsidRPr="00306051" w:rsidRDefault="00607595" w:rsidP="00D5224D">
      <w:pPr>
        <w:spacing w:after="0" w:line="0" w:lineRule="atLeast"/>
        <w:jc w:val="both"/>
        <w:rPr>
          <w:rFonts w:ascii="Times New Roman" w:eastAsia="Calibri" w:hAnsi="Times New Roman" w:cs="Times New Roman"/>
          <w:i/>
          <w:spacing w:val="-1"/>
          <w:sz w:val="24"/>
          <w:szCs w:val="24"/>
          <w:lang w:val="kk-KZ"/>
        </w:rPr>
      </w:pPr>
      <w:r w:rsidRPr="00306051">
        <w:rPr>
          <w:rFonts w:ascii="Times New Roman" w:hAnsi="Times New Roman" w:cs="Times New Roman"/>
          <w:b/>
          <w:sz w:val="24"/>
          <w:szCs w:val="24"/>
        </w:rPr>
        <w:t xml:space="preserve">4.9. </w:t>
      </w:r>
      <w:r w:rsidRPr="00306051">
        <w:rPr>
          <w:rFonts w:ascii="Times New Roman" w:hAnsi="Times New Roman" w:cs="Times New Roman"/>
          <w:b/>
          <w:sz w:val="24"/>
          <w:szCs w:val="24"/>
          <w:lang w:val="kk-KZ"/>
        </w:rPr>
        <w:t>Артық дозалануы</w:t>
      </w:r>
    </w:p>
    <w:p w14:paraId="5622904A" w14:textId="77777777" w:rsidR="00607595" w:rsidRPr="00306051" w:rsidRDefault="00607595" w:rsidP="00D5224D">
      <w:pPr>
        <w:spacing w:after="0" w:line="0" w:lineRule="atLeast"/>
        <w:jc w:val="both"/>
        <w:rPr>
          <w:rFonts w:ascii="Times New Roman" w:eastAsia="Calibri" w:hAnsi="Times New Roman" w:cs="Times New Roman"/>
          <w:i/>
          <w:spacing w:val="-1"/>
          <w:sz w:val="24"/>
          <w:szCs w:val="24"/>
          <w:lang w:val="kk-KZ"/>
        </w:rPr>
      </w:pPr>
      <w:r w:rsidRPr="00306051">
        <w:rPr>
          <w:rFonts w:ascii="Times New Roman" w:eastAsia="Calibri" w:hAnsi="Times New Roman" w:cs="Times New Roman"/>
          <w:i/>
          <w:spacing w:val="-1"/>
          <w:sz w:val="24"/>
          <w:szCs w:val="24"/>
          <w:lang w:val="kk-KZ"/>
        </w:rPr>
        <w:t>Симптомдары:</w:t>
      </w:r>
      <w:r w:rsidRPr="00306051">
        <w:rPr>
          <w:rFonts w:ascii="Times New Roman" w:eastAsia="Calibri" w:hAnsi="Times New Roman" w:cs="Times New Roman"/>
          <w:spacing w:val="-1"/>
          <w:sz w:val="24"/>
          <w:szCs w:val="24"/>
          <w:lang w:val="kk-KZ"/>
        </w:rPr>
        <w:t xml:space="preserve"> артық дозаланған жағдайда, пациент уыттылық белгілеріне қатысты қадағалауда болуы тиіс </w:t>
      </w:r>
      <w:r w:rsidRPr="00306051">
        <w:rPr>
          <w:rFonts w:ascii="Times New Roman" w:hAnsi="Times New Roman" w:cs="Times New Roman"/>
          <w:sz w:val="24"/>
          <w:szCs w:val="24"/>
          <w:lang w:val="kk-KZ"/>
        </w:rPr>
        <w:t>(4.8 бөлімін қараңыз)</w:t>
      </w:r>
      <w:r w:rsidRPr="00306051">
        <w:rPr>
          <w:rFonts w:ascii="Times New Roman" w:eastAsia="Calibri" w:hAnsi="Times New Roman" w:cs="Times New Roman"/>
          <w:spacing w:val="-1"/>
          <w:sz w:val="24"/>
          <w:szCs w:val="24"/>
          <w:lang w:val="kk-KZ"/>
        </w:rPr>
        <w:t xml:space="preserve">. </w:t>
      </w:r>
    </w:p>
    <w:p w14:paraId="07063A0F" w14:textId="77777777" w:rsidR="00607595" w:rsidRPr="00306051" w:rsidRDefault="00607595" w:rsidP="00D5224D">
      <w:pPr>
        <w:spacing w:after="0" w:line="0" w:lineRule="atLeast"/>
        <w:jc w:val="both"/>
        <w:rPr>
          <w:rFonts w:ascii="Times New Roman" w:hAnsi="Times New Roman" w:cs="Times New Roman"/>
          <w:sz w:val="24"/>
          <w:szCs w:val="24"/>
          <w:lang w:val="kk-KZ"/>
        </w:rPr>
      </w:pPr>
      <w:r w:rsidRPr="00306051">
        <w:rPr>
          <w:rFonts w:ascii="Times New Roman" w:eastAsia="Calibri" w:hAnsi="Times New Roman" w:cs="Times New Roman"/>
          <w:i/>
          <w:spacing w:val="-1"/>
          <w:sz w:val="24"/>
          <w:szCs w:val="24"/>
          <w:lang w:val="kk-KZ"/>
        </w:rPr>
        <w:lastRenderedPageBreak/>
        <w:t>Емі:</w:t>
      </w:r>
      <w:r w:rsidRPr="00306051">
        <w:rPr>
          <w:rFonts w:ascii="Times New Roman" w:eastAsia="Calibri" w:hAnsi="Times New Roman" w:cs="Times New Roman"/>
          <w:spacing w:val="-1"/>
          <w:sz w:val="24"/>
          <w:szCs w:val="24"/>
          <w:lang w:val="kk-KZ"/>
        </w:rPr>
        <w:t xml:space="preserve"> қажет болған жағдайда, стандартты демеуші емді қолдану керек. Эмтрицитабин дозасының 30 %-ға дейінгісін және тенофовир дозасының шамамен 10 %-ын гемодиализдің көмегімен шығаруға болады. Эмтрицитабин</w:t>
      </w:r>
      <w:r w:rsidR="002A5778" w:rsidRPr="00306051">
        <w:rPr>
          <w:rFonts w:ascii="Times New Roman" w:eastAsia="Calibri" w:hAnsi="Times New Roman" w:cs="Times New Roman"/>
          <w:spacing w:val="-1"/>
          <w:sz w:val="24"/>
          <w:szCs w:val="24"/>
          <w:lang w:val="kk-KZ"/>
        </w:rPr>
        <w:t xml:space="preserve"> мен тенофовир перитонеалдық </w:t>
      </w:r>
      <w:r w:rsidRPr="00306051">
        <w:rPr>
          <w:rFonts w:ascii="Times New Roman" w:eastAsia="Calibri" w:hAnsi="Times New Roman" w:cs="Times New Roman"/>
          <w:spacing w:val="-1"/>
          <w:sz w:val="24"/>
          <w:szCs w:val="24"/>
          <w:lang w:val="kk-KZ"/>
        </w:rPr>
        <w:t>диализ көмегімен шығарылатын-шығарылмайтындығы белгісіз</w:t>
      </w:r>
      <w:r w:rsidRPr="00306051">
        <w:rPr>
          <w:rFonts w:ascii="Times New Roman" w:hAnsi="Times New Roman" w:cs="Times New Roman"/>
          <w:sz w:val="24"/>
          <w:szCs w:val="24"/>
          <w:lang w:val="kk-KZ"/>
        </w:rPr>
        <w:t>.</w:t>
      </w:r>
    </w:p>
    <w:p w14:paraId="14EDF664" w14:textId="77777777" w:rsidR="00607595" w:rsidRPr="00306051" w:rsidRDefault="00607595">
      <w:pPr>
        <w:spacing w:after="0" w:line="100" w:lineRule="atLeast"/>
        <w:jc w:val="both"/>
        <w:rPr>
          <w:rFonts w:ascii="Times New Roman" w:hAnsi="Times New Roman" w:cs="Times New Roman"/>
          <w:sz w:val="24"/>
          <w:szCs w:val="24"/>
          <w:lang w:val="kk-KZ"/>
        </w:rPr>
      </w:pPr>
    </w:p>
    <w:p w14:paraId="081222DD" w14:textId="77777777" w:rsidR="00607595" w:rsidRPr="00306051" w:rsidRDefault="00607595" w:rsidP="008F456B">
      <w:pPr>
        <w:spacing w:after="0" w:line="240" w:lineRule="auto"/>
        <w:jc w:val="both"/>
        <w:rPr>
          <w:rFonts w:ascii="Times New Roman" w:hAnsi="Times New Roman" w:cs="Times New Roman"/>
          <w:b/>
          <w:sz w:val="24"/>
          <w:szCs w:val="24"/>
          <w:lang w:val="kk-KZ"/>
        </w:rPr>
      </w:pPr>
      <w:r w:rsidRPr="00306051">
        <w:rPr>
          <w:rFonts w:ascii="Times New Roman" w:hAnsi="Times New Roman" w:cs="Times New Roman"/>
          <w:b/>
          <w:sz w:val="24"/>
          <w:szCs w:val="24"/>
          <w:lang w:val="kk-KZ"/>
        </w:rPr>
        <w:t xml:space="preserve">5. ФАРМАКОЛОГИЯЛЫҚ ҚАСИЕТТЕРІ </w:t>
      </w:r>
    </w:p>
    <w:p w14:paraId="3AD0252B" w14:textId="77777777" w:rsidR="00607595" w:rsidRPr="00306051" w:rsidRDefault="00607595" w:rsidP="008F456B">
      <w:pPr>
        <w:spacing w:after="0" w:line="240" w:lineRule="auto"/>
        <w:jc w:val="both"/>
        <w:rPr>
          <w:rFonts w:ascii="Times New Roman" w:eastAsia="TimesNewRomanPSMT" w:hAnsi="Times New Roman" w:cs="Times New Roman"/>
          <w:sz w:val="24"/>
          <w:szCs w:val="24"/>
          <w:lang w:val="kk-KZ"/>
        </w:rPr>
      </w:pPr>
      <w:r w:rsidRPr="00306051">
        <w:rPr>
          <w:rFonts w:ascii="Times New Roman" w:hAnsi="Times New Roman" w:cs="Times New Roman"/>
          <w:b/>
          <w:sz w:val="24"/>
          <w:szCs w:val="24"/>
          <w:lang w:val="kk-KZ"/>
        </w:rPr>
        <w:t xml:space="preserve">5.1 Фармакодинамикалық қасиеттері </w:t>
      </w:r>
    </w:p>
    <w:p w14:paraId="5E2EB4E4" w14:textId="77777777" w:rsidR="00607595" w:rsidRPr="00306051" w:rsidRDefault="00607595" w:rsidP="008F456B">
      <w:pPr>
        <w:widowControl w:val="0"/>
        <w:shd w:val="clear" w:color="auto" w:fill="FFFFFF"/>
        <w:spacing w:after="0" w:line="240" w:lineRule="auto"/>
        <w:jc w:val="both"/>
        <w:rPr>
          <w:rFonts w:ascii="Times New Roman" w:hAnsi="Times New Roman" w:cs="Times New Roman"/>
          <w:i/>
          <w:sz w:val="24"/>
          <w:szCs w:val="24"/>
          <w:lang w:val="kk-KZ"/>
        </w:rPr>
      </w:pPr>
      <w:r w:rsidRPr="00306051">
        <w:rPr>
          <w:rFonts w:ascii="Times New Roman" w:eastAsia="TimesNewRomanPSMT" w:hAnsi="Times New Roman" w:cs="Times New Roman"/>
          <w:sz w:val="24"/>
          <w:szCs w:val="24"/>
          <w:lang w:val="kk-KZ"/>
        </w:rPr>
        <w:t>Фармакотерапиялық тобы:</w:t>
      </w:r>
      <w:r w:rsidRPr="00306051">
        <w:rPr>
          <w:rFonts w:ascii="Times New Roman" w:eastAsia="Times New Roman" w:hAnsi="Times New Roman" w:cs="Times New Roman"/>
          <w:sz w:val="28"/>
          <w:szCs w:val="28"/>
          <w:lang w:val="kk-KZ"/>
        </w:rPr>
        <w:t xml:space="preserve"> </w:t>
      </w:r>
      <w:r w:rsidRPr="00306051">
        <w:rPr>
          <w:rFonts w:ascii="Times New Roman" w:eastAsia="Times New Roman" w:hAnsi="Times New Roman" w:cs="Times New Roman"/>
          <w:sz w:val="24"/>
          <w:szCs w:val="24"/>
          <w:lang w:val="kk-KZ"/>
        </w:rPr>
        <w:t>Жүйелі қолдануға арналған вирусқа қарсы препараттар. Тікелей әсер ететін вирусқа қарсы препараттар. АИТВ-инфекциясын емдеуге арналған вирусқа қарсы препараттар, біріктірілімдер. Тенофовир дизопроксилі және эмтрицитабин.</w:t>
      </w:r>
      <w:r w:rsidRPr="00306051">
        <w:rPr>
          <w:rFonts w:ascii="Times New Roman" w:eastAsia="Times New Roman" w:hAnsi="Times New Roman" w:cs="Times New Roman"/>
          <w:sz w:val="24"/>
          <w:szCs w:val="24"/>
          <w:lang w:val="kk-KZ"/>
        </w:rPr>
        <w:br/>
        <w:t>АТХ коды J05AR03</w:t>
      </w:r>
    </w:p>
    <w:p w14:paraId="40DE799A" w14:textId="77777777" w:rsidR="00607595" w:rsidRPr="00306051" w:rsidRDefault="00607595">
      <w:pPr>
        <w:widowControl w:val="0"/>
        <w:shd w:val="clear" w:color="auto" w:fill="FFFFFF"/>
        <w:spacing w:after="0" w:line="100" w:lineRule="atLeast"/>
        <w:jc w:val="both"/>
        <w:rPr>
          <w:rFonts w:ascii="Times New Roman" w:eastAsia="Calibri" w:hAnsi="Times New Roman" w:cs="Times New Roman"/>
          <w:sz w:val="24"/>
          <w:szCs w:val="24"/>
          <w:lang w:val="kk-KZ" w:eastAsia="ar-IQ" w:bidi="ar-IQ"/>
        </w:rPr>
      </w:pPr>
      <w:r w:rsidRPr="00306051">
        <w:rPr>
          <w:rFonts w:ascii="Times New Roman" w:hAnsi="Times New Roman" w:cs="Times New Roman"/>
          <w:i/>
          <w:sz w:val="24"/>
          <w:szCs w:val="24"/>
          <w:lang w:val="kk-KZ"/>
        </w:rPr>
        <w:t xml:space="preserve">Әсер ету механизмі </w:t>
      </w:r>
    </w:p>
    <w:p w14:paraId="31EBDC91"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 xml:space="preserve">Эмтрицитабин – бұл цитидиннің нуклеозидтік аналогы. Тенофовир дизопроксил фумараты </w:t>
      </w:r>
      <w:r w:rsidRPr="00306051">
        <w:rPr>
          <w:rFonts w:ascii="Times New Roman" w:eastAsia="Calibri" w:hAnsi="Times New Roman" w:cs="Times New Roman"/>
          <w:i/>
          <w:iCs/>
          <w:sz w:val="24"/>
          <w:szCs w:val="24"/>
          <w:lang w:val="kk-KZ" w:eastAsia="ar-IQ" w:bidi="ar-IQ"/>
        </w:rPr>
        <w:t>in vivo</w:t>
      </w:r>
      <w:r w:rsidRPr="00306051">
        <w:rPr>
          <w:rFonts w:ascii="Times New Roman" w:eastAsia="Calibri" w:hAnsi="Times New Roman" w:cs="Times New Roman"/>
          <w:sz w:val="24"/>
          <w:szCs w:val="24"/>
          <w:lang w:val="kk-KZ" w:eastAsia="ar-IQ" w:bidi="ar-IQ"/>
        </w:rPr>
        <w:t xml:space="preserve"> тенофовирге айналады, нуклеозиді монофосфат (нуклеотид) аденозин монофосфат аналогы. Эмтрицитабин де, тенофовир де адамдағы иммунтапшылығы (АИТВ-1 және АИТВ-2) вирусы мен В гепатиті вирусына тән  белсенділік танытады.</w:t>
      </w:r>
    </w:p>
    <w:p w14:paraId="4079756D"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 xml:space="preserve">Эмтрицитабин мен тенофовир жасуша ферменттері арқылы, сәйкесінше эмтрицитабин трифосфаты мен тенофовир дифосфатын түзе отырып фосфорланады. </w:t>
      </w:r>
      <w:r w:rsidRPr="00306051">
        <w:rPr>
          <w:rFonts w:ascii="Times New Roman" w:eastAsia="Calibri" w:hAnsi="Times New Roman" w:cs="Times New Roman"/>
          <w:i/>
          <w:sz w:val="24"/>
          <w:szCs w:val="24"/>
          <w:lang w:val="kk-KZ" w:eastAsia="ar-IQ" w:bidi="ar-IQ"/>
        </w:rPr>
        <w:t>Іn vitro</w:t>
      </w:r>
      <w:r w:rsidRPr="00306051">
        <w:rPr>
          <w:rFonts w:ascii="Times New Roman" w:eastAsia="Calibri" w:hAnsi="Times New Roman" w:cs="Times New Roman"/>
          <w:sz w:val="24"/>
          <w:szCs w:val="24"/>
          <w:lang w:val="kk-KZ" w:eastAsia="ar-IQ" w:bidi="ar-IQ"/>
        </w:rPr>
        <w:t xml:space="preserve"> зерттеулер, біріккен кезде эмтрицитабиннің де,  тенофовирдің де жасушаларда толығымен фосфорлануы мүмкіндігін көрсетті. Эмтрицитабин трифосфаты мен тенофовир дифосфаты АИТВ-1 кері транскриптазасын бәсекелесе тежейді, ол вирустың ДНҚ тізбегінің үзілуіне алып келеді.</w:t>
      </w:r>
    </w:p>
    <w:p w14:paraId="0E9AACC5"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 xml:space="preserve">Эмтрицитабин және тенофовир дифосфаты сүтқоректілердің ДНҚ полимеразасының әлсіз тежегіштері болып табылады, олардың </w:t>
      </w:r>
      <w:r w:rsidRPr="00306051">
        <w:rPr>
          <w:rFonts w:ascii="Times New Roman" w:eastAsia="Calibri" w:hAnsi="Times New Roman" w:cs="Times New Roman"/>
          <w:i/>
          <w:iCs/>
          <w:sz w:val="24"/>
          <w:szCs w:val="24"/>
          <w:lang w:val="kk-KZ" w:eastAsia="ar-IQ" w:bidi="ar-IQ"/>
        </w:rPr>
        <w:t>in vitro</w:t>
      </w:r>
      <w:r w:rsidRPr="00306051">
        <w:rPr>
          <w:rFonts w:ascii="Times New Roman" w:eastAsia="Calibri" w:hAnsi="Times New Roman" w:cs="Times New Roman"/>
          <w:sz w:val="24"/>
          <w:szCs w:val="24"/>
          <w:lang w:val="kk-KZ" w:eastAsia="ar-IQ" w:bidi="ar-IQ"/>
        </w:rPr>
        <w:t xml:space="preserve"> және </w:t>
      </w:r>
      <w:r w:rsidRPr="00306051">
        <w:rPr>
          <w:rFonts w:ascii="Times New Roman" w:eastAsia="Calibri" w:hAnsi="Times New Roman" w:cs="Times New Roman"/>
          <w:i/>
          <w:iCs/>
          <w:sz w:val="24"/>
          <w:szCs w:val="24"/>
          <w:lang w:val="kk-KZ" w:eastAsia="ar-IQ" w:bidi="ar-IQ"/>
        </w:rPr>
        <w:t>in vivo</w:t>
      </w:r>
      <w:r w:rsidRPr="00306051">
        <w:rPr>
          <w:rFonts w:ascii="Times New Roman" w:eastAsia="Calibri" w:hAnsi="Times New Roman" w:cs="Times New Roman"/>
          <w:iCs/>
          <w:sz w:val="24"/>
          <w:szCs w:val="24"/>
          <w:lang w:val="kk-KZ" w:eastAsia="ar-IQ" w:bidi="ar-IQ"/>
        </w:rPr>
        <w:t xml:space="preserve"> </w:t>
      </w:r>
      <w:r w:rsidRPr="00306051">
        <w:rPr>
          <w:rFonts w:ascii="Times New Roman" w:eastAsia="Calibri" w:hAnsi="Times New Roman" w:cs="Times New Roman"/>
          <w:sz w:val="24"/>
          <w:szCs w:val="24"/>
          <w:lang w:val="kk-KZ" w:eastAsia="ar-IQ" w:bidi="ar-IQ"/>
        </w:rPr>
        <w:t>митохондриялық уыттылығының белгілері жоқ.</w:t>
      </w:r>
    </w:p>
    <w:p w14:paraId="5EE2B0B2" w14:textId="77777777" w:rsidR="00607595" w:rsidRPr="00306051" w:rsidRDefault="005848F4">
      <w:pPr>
        <w:spacing w:after="0" w:line="100" w:lineRule="atLeast"/>
        <w:jc w:val="both"/>
        <w:rPr>
          <w:rFonts w:ascii="Times New Roman" w:eastAsia="Calibri" w:hAnsi="Times New Roman" w:cs="Times New Roman"/>
          <w:sz w:val="24"/>
          <w:szCs w:val="24"/>
          <w:lang w:val="kk-KZ" w:eastAsia="ar-IQ" w:bidi="ar-IQ"/>
        </w:rPr>
      </w:pPr>
      <w:r>
        <w:rPr>
          <w:rFonts w:ascii="Times New Roman" w:eastAsia="Calibri" w:hAnsi="Times New Roman" w:cs="Times New Roman"/>
          <w:i/>
          <w:iCs/>
          <w:sz w:val="24"/>
          <w:szCs w:val="24"/>
          <w:lang w:val="kk-KZ" w:eastAsia="ar-IQ" w:bidi="ar-IQ"/>
        </w:rPr>
        <w:t>Вирустарға қарсы</w:t>
      </w:r>
      <w:r w:rsidR="00607595" w:rsidRPr="00306051">
        <w:rPr>
          <w:rFonts w:ascii="Times New Roman" w:eastAsia="Calibri" w:hAnsi="Times New Roman" w:cs="Times New Roman"/>
          <w:i/>
          <w:iCs/>
          <w:sz w:val="24"/>
          <w:szCs w:val="24"/>
          <w:lang w:val="kk-KZ" w:eastAsia="ar-IQ" w:bidi="ar-IQ"/>
        </w:rPr>
        <w:t xml:space="preserve"> in vitro</w:t>
      </w:r>
      <w:r w:rsidR="00607595" w:rsidRPr="00306051">
        <w:rPr>
          <w:rFonts w:ascii="Times New Roman" w:eastAsia="Calibri" w:hAnsi="Times New Roman" w:cs="Times New Roman"/>
          <w:i/>
          <w:sz w:val="24"/>
          <w:szCs w:val="24"/>
          <w:lang w:val="kk-KZ" w:eastAsia="ar-IQ" w:bidi="ar-IQ"/>
        </w:rPr>
        <w:t xml:space="preserve"> белсенділігі</w:t>
      </w:r>
    </w:p>
    <w:p w14:paraId="39A1802B"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 xml:space="preserve">Синергиялық </w:t>
      </w:r>
      <w:r w:rsidR="005848F4">
        <w:rPr>
          <w:rFonts w:ascii="Times New Roman" w:eastAsia="Calibri" w:hAnsi="Times New Roman" w:cs="Times New Roman"/>
          <w:sz w:val="24"/>
          <w:szCs w:val="24"/>
          <w:lang w:val="kk-KZ" w:eastAsia="ar-IQ" w:bidi="ar-IQ"/>
        </w:rPr>
        <w:t>вирустарға қарсы</w:t>
      </w:r>
      <w:r w:rsidRPr="00306051">
        <w:rPr>
          <w:rFonts w:ascii="Times New Roman" w:eastAsia="Calibri" w:hAnsi="Times New Roman" w:cs="Times New Roman"/>
          <w:sz w:val="24"/>
          <w:szCs w:val="24"/>
          <w:lang w:val="kk-KZ" w:eastAsia="ar-IQ" w:bidi="ar-IQ"/>
        </w:rPr>
        <w:t xml:space="preserve"> белсенділік эмтрицитабин мен тенофовирдің </w:t>
      </w:r>
      <w:r w:rsidRPr="00306051">
        <w:rPr>
          <w:rFonts w:ascii="Times New Roman" w:eastAsia="Calibri" w:hAnsi="Times New Roman" w:cs="Times New Roman"/>
          <w:i/>
          <w:iCs/>
          <w:sz w:val="24"/>
          <w:szCs w:val="24"/>
          <w:lang w:val="kk-KZ" w:eastAsia="ar-IQ" w:bidi="ar-IQ"/>
        </w:rPr>
        <w:t>in vitro</w:t>
      </w:r>
      <w:r w:rsidRPr="00306051">
        <w:rPr>
          <w:rFonts w:ascii="Times New Roman" w:eastAsia="Calibri" w:hAnsi="Times New Roman" w:cs="Times New Roman"/>
          <w:sz w:val="24"/>
          <w:szCs w:val="24"/>
          <w:lang w:val="kk-KZ" w:eastAsia="ar-IQ" w:bidi="ar-IQ"/>
        </w:rPr>
        <w:t xml:space="preserve"> біріктірілімі жағдайында байқалды. Синергиялық әсерлеріне қосымша әсерлер протеаза тежегіштерімен және АИТВ кері транскриптазасы тежегіштерінің нуклеозидтік және нуклеозидтік емес аналогтарымен біріктірілімдерін зерттеулер кезінде байқалған.</w:t>
      </w:r>
    </w:p>
    <w:p w14:paraId="03BED3DB" w14:textId="77777777" w:rsidR="00607595" w:rsidRPr="00306051" w:rsidRDefault="00607595">
      <w:pPr>
        <w:spacing w:after="0" w:line="100" w:lineRule="atLeast"/>
        <w:jc w:val="both"/>
        <w:rPr>
          <w:rFonts w:ascii="Times New Roman" w:eastAsia="Calibri" w:hAnsi="Times New Roman" w:cs="Times New Roman"/>
          <w:i/>
          <w:sz w:val="24"/>
          <w:szCs w:val="24"/>
          <w:lang w:val="kk-KZ" w:eastAsia="ar-IQ" w:bidi="ar-IQ"/>
        </w:rPr>
      </w:pPr>
      <w:r w:rsidRPr="00306051">
        <w:rPr>
          <w:rFonts w:ascii="Times New Roman" w:eastAsia="Calibri" w:hAnsi="Times New Roman" w:cs="Times New Roman"/>
          <w:i/>
          <w:iCs/>
          <w:sz w:val="24"/>
          <w:szCs w:val="24"/>
          <w:lang w:val="kk-KZ" w:eastAsia="ar-IQ" w:bidi="ar-IQ"/>
        </w:rPr>
        <w:t>Резистенттілік</w:t>
      </w:r>
    </w:p>
    <w:p w14:paraId="4AD2310E"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sz w:val="24"/>
          <w:szCs w:val="24"/>
          <w:lang w:val="kk-KZ" w:eastAsia="ar-IQ" w:bidi="ar-IQ"/>
        </w:rPr>
        <w:t xml:space="preserve">In vitro. </w:t>
      </w:r>
      <w:r w:rsidRPr="00306051">
        <w:rPr>
          <w:rFonts w:ascii="Times New Roman" w:eastAsia="Calibri" w:hAnsi="Times New Roman" w:cs="Times New Roman"/>
          <w:sz w:val="24"/>
          <w:szCs w:val="24"/>
          <w:lang w:val="kk-KZ" w:eastAsia="ar-IQ" w:bidi="ar-IQ"/>
        </w:rPr>
        <w:t xml:space="preserve">Резистенттілік </w:t>
      </w:r>
      <w:r w:rsidRPr="00306051">
        <w:rPr>
          <w:rFonts w:ascii="Times New Roman" w:eastAsia="Calibri" w:hAnsi="Times New Roman" w:cs="Times New Roman"/>
          <w:i/>
          <w:iCs/>
          <w:sz w:val="24"/>
          <w:szCs w:val="24"/>
          <w:lang w:val="kk-KZ" w:eastAsia="ar-IQ" w:bidi="ar-IQ"/>
        </w:rPr>
        <w:t>in vitro</w:t>
      </w:r>
      <w:r w:rsidRPr="00306051">
        <w:rPr>
          <w:rFonts w:ascii="Times New Roman" w:eastAsia="Calibri" w:hAnsi="Times New Roman" w:cs="Times New Roman"/>
          <w:sz w:val="24"/>
          <w:szCs w:val="24"/>
          <w:lang w:val="kk-KZ" w:eastAsia="ar-IQ" w:bidi="ar-IQ"/>
        </w:rPr>
        <w:t xml:space="preserve"> және АИТВ-1 инфекциясы бар кейбір пациенттерде, эмтрицитабин жағдайында M184V/I орын</w:t>
      </w:r>
      <w:r w:rsidR="00F67426" w:rsidRPr="00306051">
        <w:rPr>
          <w:rFonts w:ascii="Times New Roman" w:eastAsia="Calibri" w:hAnsi="Times New Roman" w:cs="Times New Roman"/>
          <w:sz w:val="24"/>
          <w:szCs w:val="24"/>
          <w:lang w:val="kk-KZ" w:eastAsia="ar-IQ" w:bidi="ar-IQ"/>
        </w:rPr>
        <w:t xml:space="preserve"> </w:t>
      </w:r>
      <w:r w:rsidRPr="00306051">
        <w:rPr>
          <w:rFonts w:ascii="Times New Roman" w:eastAsia="Calibri" w:hAnsi="Times New Roman" w:cs="Times New Roman"/>
          <w:sz w:val="24"/>
          <w:szCs w:val="24"/>
          <w:lang w:val="kk-KZ" w:eastAsia="ar-IQ" w:bidi="ar-IQ"/>
        </w:rPr>
        <w:t>басуының немесе  тенофовир жағдайында K65R орын</w:t>
      </w:r>
      <w:r w:rsidR="00F67426" w:rsidRPr="00306051">
        <w:rPr>
          <w:rFonts w:ascii="Times New Roman" w:eastAsia="Calibri" w:hAnsi="Times New Roman" w:cs="Times New Roman"/>
          <w:sz w:val="24"/>
          <w:szCs w:val="24"/>
          <w:lang w:val="kk-KZ" w:eastAsia="ar-IQ" w:bidi="ar-IQ"/>
        </w:rPr>
        <w:t xml:space="preserve"> </w:t>
      </w:r>
      <w:r w:rsidRPr="00306051">
        <w:rPr>
          <w:rFonts w:ascii="Times New Roman" w:eastAsia="Calibri" w:hAnsi="Times New Roman" w:cs="Times New Roman"/>
          <w:sz w:val="24"/>
          <w:szCs w:val="24"/>
          <w:lang w:val="kk-KZ" w:eastAsia="ar-IQ" w:bidi="ar-IQ"/>
        </w:rPr>
        <w:t>басуының дамуына байланысты байқалған. M184V/I орынбасуымен Эмтрицитабин-резистентті вирустар ламивудинге кросс-резистентт</w:t>
      </w:r>
      <w:r w:rsidR="00F67426" w:rsidRPr="00306051">
        <w:rPr>
          <w:rFonts w:ascii="Times New Roman" w:eastAsia="Calibri" w:hAnsi="Times New Roman" w:cs="Times New Roman"/>
          <w:sz w:val="24"/>
          <w:szCs w:val="24"/>
          <w:lang w:val="kk-KZ" w:eastAsia="ar-IQ" w:bidi="ar-IQ"/>
        </w:rPr>
        <w:t>і</w:t>
      </w:r>
      <w:r w:rsidRPr="00306051">
        <w:rPr>
          <w:rFonts w:ascii="Times New Roman" w:eastAsia="Calibri" w:hAnsi="Times New Roman" w:cs="Times New Roman"/>
          <w:sz w:val="24"/>
          <w:szCs w:val="24"/>
          <w:lang w:val="kk-KZ" w:eastAsia="ar-IQ" w:bidi="ar-IQ"/>
        </w:rPr>
        <w:t xml:space="preserve"> болған, бірақ диданозинге, ставудинге, тенофовирге және зидовудинге сезімталдығы сақталған. Абакавирмен немесе диданозинмен K65R орын</w:t>
      </w:r>
      <w:r w:rsidR="00F67426" w:rsidRPr="00306051">
        <w:rPr>
          <w:rFonts w:ascii="Times New Roman" w:eastAsia="Calibri" w:hAnsi="Times New Roman" w:cs="Times New Roman"/>
          <w:sz w:val="24"/>
          <w:szCs w:val="24"/>
          <w:lang w:val="kk-KZ" w:eastAsia="ar-IQ" w:bidi="ar-IQ"/>
        </w:rPr>
        <w:t xml:space="preserve"> </w:t>
      </w:r>
      <w:r w:rsidRPr="00306051">
        <w:rPr>
          <w:rFonts w:ascii="Times New Roman" w:eastAsia="Calibri" w:hAnsi="Times New Roman" w:cs="Times New Roman"/>
          <w:sz w:val="24"/>
          <w:szCs w:val="24"/>
          <w:lang w:val="kk-KZ" w:eastAsia="ar-IQ" w:bidi="ar-IQ"/>
        </w:rPr>
        <w:t>басуы да алынуы мүмкін және аталған дәрілерге, сондай-ақ, ламивудинге, эмтрицитабинге және тенофовирге сезімталдығының төмендеуіне алып келеді. АИТВ-1 бар, K65R орын</w:t>
      </w:r>
      <w:r w:rsidR="00F67426" w:rsidRPr="00306051">
        <w:rPr>
          <w:rFonts w:ascii="Times New Roman" w:eastAsia="Calibri" w:hAnsi="Times New Roman" w:cs="Times New Roman"/>
          <w:sz w:val="24"/>
          <w:szCs w:val="24"/>
          <w:lang w:val="kk-KZ" w:eastAsia="ar-IQ" w:bidi="ar-IQ"/>
        </w:rPr>
        <w:t xml:space="preserve"> </w:t>
      </w:r>
      <w:r w:rsidRPr="00306051">
        <w:rPr>
          <w:rFonts w:ascii="Times New Roman" w:eastAsia="Calibri" w:hAnsi="Times New Roman" w:cs="Times New Roman"/>
          <w:sz w:val="24"/>
          <w:szCs w:val="24"/>
          <w:lang w:val="kk-KZ" w:eastAsia="ar-IQ" w:bidi="ar-IQ"/>
        </w:rPr>
        <w:t>басуымен пациенттер тенофовир дизопроксил фумаратын қолданбағаны дұрыс. Бұдан өзге, АИТВ-1 кері транскриптазасындағы K70E орын</w:t>
      </w:r>
      <w:r w:rsidR="00F67426" w:rsidRPr="00306051">
        <w:rPr>
          <w:rFonts w:ascii="Times New Roman" w:eastAsia="Calibri" w:hAnsi="Times New Roman" w:cs="Times New Roman"/>
          <w:sz w:val="24"/>
          <w:szCs w:val="24"/>
          <w:lang w:val="kk-KZ" w:eastAsia="ar-IQ" w:bidi="ar-IQ"/>
        </w:rPr>
        <w:t xml:space="preserve"> </w:t>
      </w:r>
      <w:r w:rsidRPr="00306051">
        <w:rPr>
          <w:rFonts w:ascii="Times New Roman" w:eastAsia="Calibri" w:hAnsi="Times New Roman" w:cs="Times New Roman"/>
          <w:sz w:val="24"/>
          <w:szCs w:val="24"/>
          <w:lang w:val="kk-KZ" w:eastAsia="ar-IQ" w:bidi="ar-IQ"/>
        </w:rPr>
        <w:t>басуы тенофовирдің көмегімен алынған және абакавирге, эмтрицитабинге, ламивудинге және тенофовирге сезімталдығының төмендеуіне алып келген.</w:t>
      </w:r>
    </w:p>
    <w:p w14:paraId="7CB0BE46"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 xml:space="preserve">Тимидин аналогымен (thymidine analogue associated mutations – TAMs) байланысты, </w:t>
      </w:r>
      <w:r w:rsidR="00F67426" w:rsidRPr="00306051">
        <w:rPr>
          <w:rFonts w:ascii="Times New Roman" w:eastAsia="Calibri" w:hAnsi="Times New Roman" w:cs="Times New Roman"/>
          <w:sz w:val="24"/>
          <w:szCs w:val="24"/>
          <w:lang w:val="kk-KZ" w:eastAsia="ar-IQ" w:bidi="ar-IQ"/>
        </w:rPr>
        <w:t>кері транскриптазада</w:t>
      </w:r>
      <w:r w:rsidRPr="00306051">
        <w:rPr>
          <w:rFonts w:ascii="Times New Roman" w:eastAsia="Calibri" w:hAnsi="Times New Roman" w:cs="Times New Roman"/>
          <w:sz w:val="24"/>
          <w:szCs w:val="24"/>
          <w:lang w:val="kk-KZ" w:eastAsia="ar-IQ" w:bidi="ar-IQ"/>
        </w:rPr>
        <w:t xml:space="preserve"> M41L немесе L210W орынбасуын қамтитын үш немесе одан көп орынбасуды экспрессиялайтын АИТВ-1, тенофовир дизопроксил фумаратына</w:t>
      </w:r>
      <w:r w:rsidR="00F67426" w:rsidRPr="00306051">
        <w:rPr>
          <w:rFonts w:ascii="Times New Roman" w:eastAsia="Calibri" w:hAnsi="Times New Roman" w:cs="Times New Roman"/>
          <w:sz w:val="24"/>
          <w:szCs w:val="24"/>
          <w:lang w:val="kk-KZ" w:eastAsia="ar-IQ" w:bidi="ar-IQ"/>
        </w:rPr>
        <w:t xml:space="preserve"> сезімталдығының төмендегенін кө</w:t>
      </w:r>
      <w:r w:rsidRPr="00306051">
        <w:rPr>
          <w:rFonts w:ascii="Times New Roman" w:eastAsia="Calibri" w:hAnsi="Times New Roman" w:cs="Times New Roman"/>
          <w:sz w:val="24"/>
          <w:szCs w:val="24"/>
          <w:lang w:val="kk-KZ" w:eastAsia="ar-IQ" w:bidi="ar-IQ"/>
        </w:rPr>
        <w:t>рсеткен.</w:t>
      </w:r>
    </w:p>
    <w:p w14:paraId="23807B9E"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 xml:space="preserve">АИТВ-1 іn vivo емі. </w:t>
      </w:r>
      <w:r w:rsidRPr="00306051">
        <w:rPr>
          <w:rFonts w:ascii="Times New Roman" w:eastAsia="Calibri" w:hAnsi="Times New Roman" w:cs="Times New Roman"/>
          <w:iCs/>
          <w:sz w:val="24"/>
          <w:szCs w:val="24"/>
          <w:lang w:val="kk-KZ" w:eastAsia="ar-IQ" w:bidi="ar-IQ"/>
        </w:rPr>
        <w:t xml:space="preserve">Бұрын </w:t>
      </w:r>
      <w:r w:rsidRPr="00306051">
        <w:rPr>
          <w:rFonts w:ascii="Times New Roman" w:eastAsia="Calibri" w:hAnsi="Times New Roman" w:cs="Times New Roman"/>
          <w:sz w:val="24"/>
          <w:szCs w:val="24"/>
          <w:lang w:val="kk-KZ" w:eastAsia="ar-IQ" w:bidi="ar-IQ"/>
        </w:rPr>
        <w:t xml:space="preserve">антиретровирустық препараттармен ем қабылдамаған пациенттерде рандомизацияланған ашық клиникалық зерттеуде (GS-01-934) генотиптеу 48, 96 немесе 144 аптада, не болмаса, зерттеліп отырған препаратты енгізу мерзімінен бұрын тоқтатылған сәтте АИТВ РНҚ &gt;400 көшірме/мл расталған пациенттердің </w:t>
      </w:r>
      <w:r w:rsidRPr="00306051">
        <w:rPr>
          <w:rFonts w:ascii="Times New Roman" w:eastAsia="Calibri" w:hAnsi="Times New Roman" w:cs="Times New Roman"/>
          <w:sz w:val="24"/>
          <w:szCs w:val="24"/>
          <w:lang w:val="kk-KZ" w:eastAsia="ar-IQ" w:bidi="ar-IQ"/>
        </w:rPr>
        <w:lastRenderedPageBreak/>
        <w:t xml:space="preserve">барлығында қан плазмасындағы АИТВ-1 изоляттарына жүргізілген. </w:t>
      </w:r>
      <w:r w:rsidRPr="00306051">
        <w:rPr>
          <w:rFonts w:ascii="Times New Roman" w:eastAsia="Calibri" w:hAnsi="Times New Roman" w:cs="Times New Roman"/>
          <w:sz w:val="24"/>
          <w:szCs w:val="24"/>
          <w:lang w:eastAsia="ar-IQ" w:bidi="ar-IQ"/>
        </w:rPr>
        <w:t xml:space="preserve">144 </w:t>
      </w:r>
      <w:r w:rsidRPr="00306051">
        <w:rPr>
          <w:rFonts w:ascii="Times New Roman" w:eastAsia="Calibri" w:hAnsi="Times New Roman" w:cs="Times New Roman"/>
          <w:sz w:val="24"/>
          <w:szCs w:val="24"/>
          <w:lang w:val="kk-KZ" w:eastAsia="ar-IQ" w:bidi="ar-IQ"/>
        </w:rPr>
        <w:t>аптадағы жағдай бойынша</w:t>
      </w:r>
      <w:r w:rsidRPr="00306051">
        <w:rPr>
          <w:rFonts w:ascii="Times New Roman" w:eastAsia="Calibri" w:hAnsi="Times New Roman" w:cs="Times New Roman"/>
          <w:sz w:val="24"/>
          <w:szCs w:val="24"/>
          <w:lang w:eastAsia="ar-IQ" w:bidi="ar-IQ"/>
        </w:rPr>
        <w:t>:</w:t>
      </w:r>
    </w:p>
    <w:p w14:paraId="13131D5D" w14:textId="77777777" w:rsidR="00607595" w:rsidRPr="00306051" w:rsidRDefault="00607595" w:rsidP="00B22B57">
      <w:pPr>
        <w:numPr>
          <w:ilvl w:val="0"/>
          <w:numId w:val="3"/>
        </w:numPr>
        <w:tabs>
          <w:tab w:val="left" w:pos="360"/>
        </w:tabs>
        <w:spacing w:after="0" w:line="100" w:lineRule="atLeast"/>
        <w:ind w:left="0" w:hanging="284"/>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жүргізілген талдауға сәйкес, M184V/I орын</w:t>
      </w:r>
      <w:r w:rsidR="00383AE1" w:rsidRPr="00306051">
        <w:rPr>
          <w:rFonts w:ascii="Times New Roman" w:eastAsia="Calibri" w:hAnsi="Times New Roman" w:cs="Times New Roman"/>
          <w:sz w:val="24"/>
          <w:szCs w:val="24"/>
          <w:lang w:val="kk-KZ" w:eastAsia="ar-IQ" w:bidi="ar-IQ"/>
        </w:rPr>
        <w:t xml:space="preserve"> </w:t>
      </w:r>
      <w:r w:rsidRPr="00306051">
        <w:rPr>
          <w:rFonts w:ascii="Times New Roman" w:eastAsia="Calibri" w:hAnsi="Times New Roman" w:cs="Times New Roman"/>
          <w:sz w:val="24"/>
          <w:szCs w:val="24"/>
          <w:lang w:val="kk-KZ" w:eastAsia="ar-IQ" w:bidi="ar-IQ"/>
        </w:rPr>
        <w:t>басуы эмтрицитабин/тенофовир дизопроксил фумаратын/эфавирензді қабылдаған топтағы пациенттерден алынған 19 изоляттың (10.5 %) 2-еуінде, және ламивудин/зидовудин/эфавирензді қабылдаған топтағы пациенттерде талданған 29 изоляттың 10-ында (34.5 %) дамыған (р мәні &lt; 0.05, эмтрицитабин + тенофовир дизопроксил фумаратын қабылдаған топтағы барлық пациенттер арасында Фишердің нақты критерийі бойынша, ламивудин/зидовудинді қабылдаған топтағы барлық пациенттермен салыстырылған);</w:t>
      </w:r>
    </w:p>
    <w:p w14:paraId="5F5A3EC4" w14:textId="77777777" w:rsidR="00607595" w:rsidRPr="00306051" w:rsidRDefault="00607595" w:rsidP="00B22B57">
      <w:pPr>
        <w:numPr>
          <w:ilvl w:val="0"/>
          <w:numId w:val="3"/>
        </w:numPr>
        <w:tabs>
          <w:tab w:val="left" w:pos="360"/>
        </w:tabs>
        <w:spacing w:after="0" w:line="100" w:lineRule="atLeast"/>
        <w:ind w:left="0" w:hanging="284"/>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талданған вирустардың бірде-біреуінде K65R немесе K70E орын</w:t>
      </w:r>
      <w:r w:rsidR="00383AE1" w:rsidRPr="00306051">
        <w:rPr>
          <w:rFonts w:ascii="Times New Roman" w:eastAsia="Calibri" w:hAnsi="Times New Roman" w:cs="Times New Roman"/>
          <w:sz w:val="24"/>
          <w:szCs w:val="24"/>
          <w:lang w:val="kk-KZ" w:eastAsia="ar-IQ" w:bidi="ar-IQ"/>
        </w:rPr>
        <w:t xml:space="preserve"> </w:t>
      </w:r>
      <w:r w:rsidRPr="00306051">
        <w:rPr>
          <w:rFonts w:ascii="Times New Roman" w:eastAsia="Calibri" w:hAnsi="Times New Roman" w:cs="Times New Roman"/>
          <w:sz w:val="24"/>
          <w:szCs w:val="24"/>
          <w:lang w:val="kk-KZ" w:eastAsia="ar-IQ" w:bidi="ar-IQ"/>
        </w:rPr>
        <w:t>басуы болмаған;</w:t>
      </w:r>
    </w:p>
    <w:p w14:paraId="2426D812" w14:textId="77777777" w:rsidR="00607595" w:rsidRPr="00306051" w:rsidRDefault="00607595" w:rsidP="00B22B57">
      <w:pPr>
        <w:numPr>
          <w:ilvl w:val="0"/>
          <w:numId w:val="3"/>
        </w:numPr>
        <w:tabs>
          <w:tab w:val="left" w:pos="360"/>
        </w:tabs>
        <w:spacing w:after="0" w:line="100" w:lineRule="atLeast"/>
        <w:ind w:left="0" w:hanging="284"/>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эфавирензге генотиптік резистенттілік, негізінен, K103N орын</w:t>
      </w:r>
      <w:r w:rsidR="00383AE1" w:rsidRPr="00306051">
        <w:rPr>
          <w:rFonts w:ascii="Times New Roman" w:eastAsia="Calibri" w:hAnsi="Times New Roman" w:cs="Times New Roman"/>
          <w:sz w:val="24"/>
          <w:szCs w:val="24"/>
          <w:lang w:val="kk-KZ" w:eastAsia="ar-IQ" w:bidi="ar-IQ"/>
        </w:rPr>
        <w:t xml:space="preserve"> </w:t>
      </w:r>
      <w:r w:rsidRPr="00306051">
        <w:rPr>
          <w:rFonts w:ascii="Times New Roman" w:eastAsia="Calibri" w:hAnsi="Times New Roman" w:cs="Times New Roman"/>
          <w:sz w:val="24"/>
          <w:szCs w:val="24"/>
          <w:lang w:val="kk-KZ" w:eastAsia="ar-IQ" w:bidi="ar-IQ"/>
        </w:rPr>
        <w:t>басуы салыстыру тобындағы 29 пациенттің 21-імен (72 %) салыстырғанда, эмтрицитабин/тенофовир дизопроксил фумаратын/эфавирензді қабылдаған 19 пациенттің 13-інен (68 %) алынған вируста дамыған.</w:t>
      </w:r>
    </w:p>
    <w:p w14:paraId="013BEF7A" w14:textId="77777777" w:rsidR="00607595" w:rsidRPr="00306051" w:rsidRDefault="00607595">
      <w:pPr>
        <w:spacing w:after="0" w:line="100" w:lineRule="atLeast"/>
        <w:jc w:val="both"/>
        <w:rPr>
          <w:rFonts w:ascii="Times New Roman" w:hAnsi="Times New Roman" w:cs="Times New Roman"/>
          <w:sz w:val="24"/>
          <w:szCs w:val="24"/>
          <w:u w:val="single"/>
          <w:lang w:val="kk-KZ"/>
        </w:rPr>
      </w:pPr>
      <w:r w:rsidRPr="00306051">
        <w:rPr>
          <w:rFonts w:ascii="Times New Roman" w:eastAsia="Calibri" w:hAnsi="Times New Roman" w:cs="Times New Roman"/>
          <w:i/>
          <w:iCs/>
          <w:sz w:val="24"/>
          <w:szCs w:val="24"/>
          <w:lang w:val="kk-KZ" w:eastAsia="ar-IQ" w:bidi="ar-IQ"/>
        </w:rPr>
        <w:t>In vivo (тірі организмдегі үдеріс немесе реакция) — жанасқанға дейінгі  профилактика.</w:t>
      </w:r>
      <w:r w:rsidRPr="00306051">
        <w:rPr>
          <w:rFonts w:ascii="Times New Roman" w:eastAsia="Calibri" w:hAnsi="Times New Roman" w:cs="Times New Roman"/>
          <w:sz w:val="24"/>
          <w:szCs w:val="24"/>
          <w:lang w:val="kk-KZ" w:eastAsia="ar-IQ" w:bidi="ar-IQ"/>
        </w:rPr>
        <w:t xml:space="preserve"> АИТВ инфекциясын жұқтырмаған пациенттердегі 2 клиникалық зерттеу барысында алынған плазма үлгілері АИТВ-1 аминқышқылды орын</w:t>
      </w:r>
      <w:r w:rsidR="00383AE1" w:rsidRPr="00306051">
        <w:rPr>
          <w:rFonts w:ascii="Times New Roman" w:eastAsia="Calibri" w:hAnsi="Times New Roman" w:cs="Times New Roman"/>
          <w:sz w:val="24"/>
          <w:szCs w:val="24"/>
          <w:lang w:val="kk-KZ" w:eastAsia="ar-IQ" w:bidi="ar-IQ"/>
        </w:rPr>
        <w:t xml:space="preserve"> </w:t>
      </w:r>
      <w:r w:rsidRPr="00306051">
        <w:rPr>
          <w:rFonts w:ascii="Times New Roman" w:eastAsia="Calibri" w:hAnsi="Times New Roman" w:cs="Times New Roman"/>
          <w:sz w:val="24"/>
          <w:szCs w:val="24"/>
          <w:lang w:val="kk-KZ" w:eastAsia="ar-IQ" w:bidi="ar-IQ"/>
        </w:rPr>
        <w:t>басуларын (яғни, K65R, К70Е, M184V және M184I) экспрессиялайтын, тенофовирге немесе эмтрицитабинге резистенттілікті қамтамасыз етуі ықтимал 4 нұсқада талданды. Зерттеулердің біреуінде сероконверсия сәтінде АИТВ-1 инфекциясын зерттеуге кірістірілгеннен кейін жұқтырған пациенттерде АИТВ-1 K65R, К70Е, M184V немесе M184I мутацияларын экспрессиялайтын ешқандай нұсқасы анықталмаған. Зерттеуге кірістірілген сәтте жедел АИТВ инфекциясы болған 10 пациенттің 3-еуінде вирустың M184I және M184V мутациялары Эмтрицитабин және тенофовир дизопроксил фумараты препарат қабылдаған топтағы 2 пациенттің 2-еуінде, плацебо тобындағы 8 пациенттің 1-еуінде анықталды. Басқа бір клиникалық зерттеу барысында АИТВ-1 инфекциясы болған пациенттерде сероконверсия сәтінде АИТВ-1 K65R, К70Е, M184V немесе M184I мутацияларын экспрессиялайтын ешқандай нұсқасы анықталмады.  Зерттеуге кірістірілген сәтте жедел АИТВ инфекциясы болған 14 пациенттің 2-еуінде, 245 мг тенофовир дизопроксилді (фумарат түріндегі) қабылдаған  топтағы 5 пациенттің 1-еуінде АИТВ K65R мутациясы анықталған, ал Эмтрицитабин және тенофовир дизопроксил фумараты препараты тобындағы 3 пациенттің 1-еуінде, M184V мутациясы (эмтрицитабинге резистенттілікпен байланысты) анықталды.</w:t>
      </w:r>
    </w:p>
    <w:p w14:paraId="735ED2FD" w14:textId="77777777" w:rsidR="00607595" w:rsidRPr="00306051" w:rsidRDefault="00607595">
      <w:pPr>
        <w:spacing w:after="0" w:line="100" w:lineRule="atLeast"/>
        <w:jc w:val="both"/>
        <w:rPr>
          <w:rFonts w:ascii="Times New Roman" w:hAnsi="Times New Roman" w:cs="Times New Roman"/>
          <w:i/>
          <w:iCs/>
          <w:sz w:val="24"/>
          <w:szCs w:val="24"/>
        </w:rPr>
      </w:pPr>
      <w:r w:rsidRPr="00306051">
        <w:rPr>
          <w:rFonts w:ascii="Times New Roman" w:hAnsi="Times New Roman" w:cs="Times New Roman"/>
          <w:sz w:val="24"/>
          <w:szCs w:val="24"/>
          <w:u w:val="single"/>
        </w:rPr>
        <w:t>Клини</w:t>
      </w:r>
      <w:r w:rsidRPr="00306051">
        <w:rPr>
          <w:rFonts w:ascii="Times New Roman" w:hAnsi="Times New Roman" w:cs="Times New Roman"/>
          <w:sz w:val="24"/>
          <w:szCs w:val="24"/>
          <w:u w:val="single"/>
          <w:lang w:val="kk-KZ"/>
        </w:rPr>
        <w:t>калық деректер</w:t>
      </w:r>
    </w:p>
    <w:p w14:paraId="17D1328B"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i/>
          <w:iCs/>
          <w:sz w:val="24"/>
          <w:szCs w:val="24"/>
        </w:rPr>
        <w:t xml:space="preserve">АИТВ-1 </w:t>
      </w:r>
      <w:proofErr w:type="spellStart"/>
      <w:r w:rsidRPr="00306051">
        <w:rPr>
          <w:rFonts w:ascii="Times New Roman" w:hAnsi="Times New Roman" w:cs="Times New Roman"/>
          <w:i/>
          <w:iCs/>
          <w:sz w:val="24"/>
          <w:szCs w:val="24"/>
        </w:rPr>
        <w:t>инфекци</w:t>
      </w:r>
      <w:proofErr w:type="spellEnd"/>
      <w:r w:rsidRPr="00306051">
        <w:rPr>
          <w:rFonts w:ascii="Times New Roman" w:hAnsi="Times New Roman" w:cs="Times New Roman"/>
          <w:i/>
          <w:iCs/>
          <w:sz w:val="24"/>
          <w:szCs w:val="24"/>
          <w:lang w:val="kk-KZ"/>
        </w:rPr>
        <w:t>ясын емдеу</w:t>
      </w:r>
      <w:r w:rsidRPr="00306051">
        <w:rPr>
          <w:rFonts w:ascii="Times New Roman" w:hAnsi="Times New Roman" w:cs="Times New Roman"/>
          <w:i/>
          <w:iCs/>
          <w:sz w:val="24"/>
          <w:szCs w:val="24"/>
        </w:rPr>
        <w:t>.</w:t>
      </w:r>
      <w:r w:rsidRPr="00306051">
        <w:rPr>
          <w:rFonts w:ascii="Times New Roman" w:hAnsi="Times New Roman" w:cs="Times New Roman"/>
          <w:sz w:val="24"/>
          <w:szCs w:val="24"/>
        </w:rPr>
        <w:t> </w:t>
      </w:r>
      <w:r w:rsidRPr="00306051">
        <w:rPr>
          <w:rFonts w:ascii="Times New Roman" w:hAnsi="Times New Roman" w:cs="Times New Roman"/>
          <w:sz w:val="24"/>
          <w:szCs w:val="24"/>
          <w:lang w:val="kk-KZ"/>
        </w:rPr>
        <w:t>Ашық</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рандомиз</w:t>
      </w:r>
      <w:proofErr w:type="spellEnd"/>
      <w:r w:rsidRPr="00306051">
        <w:rPr>
          <w:rFonts w:ascii="Times New Roman" w:hAnsi="Times New Roman" w:cs="Times New Roman"/>
          <w:sz w:val="24"/>
          <w:szCs w:val="24"/>
          <w:lang w:val="kk-KZ"/>
        </w:rPr>
        <w:t>ац</w:t>
      </w:r>
      <w:r w:rsidRPr="00306051">
        <w:rPr>
          <w:rFonts w:ascii="Times New Roman" w:hAnsi="Times New Roman" w:cs="Times New Roman"/>
          <w:sz w:val="24"/>
          <w:szCs w:val="24"/>
        </w:rPr>
        <w:t>и</w:t>
      </w:r>
      <w:r w:rsidRPr="00306051">
        <w:rPr>
          <w:rFonts w:ascii="Times New Roman" w:hAnsi="Times New Roman" w:cs="Times New Roman"/>
          <w:sz w:val="24"/>
          <w:szCs w:val="24"/>
          <w:lang w:val="kk-KZ"/>
        </w:rPr>
        <w:t xml:space="preserve">яланған </w:t>
      </w:r>
      <w:proofErr w:type="spellStart"/>
      <w:r w:rsidRPr="00306051">
        <w:rPr>
          <w:rFonts w:ascii="Times New Roman" w:hAnsi="Times New Roman" w:cs="Times New Roman"/>
          <w:sz w:val="24"/>
          <w:szCs w:val="24"/>
        </w:rPr>
        <w:t>клини</w:t>
      </w:r>
      <w:proofErr w:type="spellEnd"/>
      <w:r w:rsidRPr="00306051">
        <w:rPr>
          <w:rFonts w:ascii="Times New Roman" w:hAnsi="Times New Roman" w:cs="Times New Roman"/>
          <w:sz w:val="24"/>
          <w:szCs w:val="24"/>
          <w:lang w:val="kk-KZ"/>
        </w:rPr>
        <w:t xml:space="preserve">калық зерттеуде </w:t>
      </w:r>
      <w:r w:rsidRPr="00306051">
        <w:rPr>
          <w:rFonts w:ascii="Times New Roman" w:hAnsi="Times New Roman" w:cs="Times New Roman"/>
          <w:sz w:val="24"/>
          <w:szCs w:val="24"/>
        </w:rPr>
        <w:t>(GS-01-934) АИТВ-1 инф</w:t>
      </w:r>
      <w:r w:rsidRPr="00306051">
        <w:rPr>
          <w:rFonts w:ascii="Times New Roman" w:hAnsi="Times New Roman" w:cs="Times New Roman"/>
          <w:sz w:val="24"/>
          <w:szCs w:val="24"/>
          <w:lang w:val="kk-KZ"/>
        </w:rPr>
        <w:t>ек</w:t>
      </w:r>
      <w:proofErr w:type="spellStart"/>
      <w:r w:rsidRPr="00306051">
        <w:rPr>
          <w:rFonts w:ascii="Times New Roman" w:hAnsi="Times New Roman" w:cs="Times New Roman"/>
          <w:sz w:val="24"/>
          <w:szCs w:val="24"/>
        </w:rPr>
        <w:t>ци</w:t>
      </w:r>
      <w:proofErr w:type="spellEnd"/>
      <w:r w:rsidRPr="00306051">
        <w:rPr>
          <w:rFonts w:ascii="Times New Roman" w:hAnsi="Times New Roman" w:cs="Times New Roman"/>
          <w:sz w:val="24"/>
          <w:szCs w:val="24"/>
          <w:lang w:val="kk-KZ"/>
        </w:rPr>
        <w:t>ясы бар</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бұрын</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антиретровирус</w:t>
      </w:r>
      <w:proofErr w:type="spellEnd"/>
      <w:r w:rsidRPr="00306051">
        <w:rPr>
          <w:rFonts w:ascii="Times New Roman" w:hAnsi="Times New Roman" w:cs="Times New Roman"/>
          <w:sz w:val="24"/>
          <w:szCs w:val="24"/>
          <w:lang w:val="kk-KZ"/>
        </w:rPr>
        <w:t>тық</w:t>
      </w:r>
      <w:r w:rsidRPr="00306051">
        <w:rPr>
          <w:rFonts w:ascii="Times New Roman" w:hAnsi="Times New Roman" w:cs="Times New Roman"/>
          <w:sz w:val="24"/>
          <w:szCs w:val="24"/>
        </w:rPr>
        <w:t xml:space="preserve"> препарат</w:t>
      </w:r>
      <w:r w:rsidRPr="00306051">
        <w:rPr>
          <w:rFonts w:ascii="Times New Roman" w:hAnsi="Times New Roman" w:cs="Times New Roman"/>
          <w:sz w:val="24"/>
          <w:szCs w:val="24"/>
          <w:lang w:val="kk-KZ"/>
        </w:rPr>
        <w:t>тармен ем қабылдамаған ересек</w:t>
      </w:r>
      <w:r w:rsidRPr="00306051">
        <w:rPr>
          <w:rFonts w:ascii="Times New Roman" w:hAnsi="Times New Roman" w:cs="Times New Roman"/>
          <w:sz w:val="24"/>
          <w:szCs w:val="24"/>
        </w:rPr>
        <w:t xml:space="preserve"> пациент</w:t>
      </w:r>
      <w:r w:rsidRPr="00306051">
        <w:rPr>
          <w:rFonts w:ascii="Times New Roman" w:hAnsi="Times New Roman" w:cs="Times New Roman"/>
          <w:sz w:val="24"/>
          <w:szCs w:val="24"/>
          <w:lang w:val="kk-KZ"/>
        </w:rPr>
        <w:t>тер</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не</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эмтрицитабин</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тенофови</w:t>
      </w:r>
      <w:proofErr w:type="spellEnd"/>
      <w:r w:rsidRPr="00306051">
        <w:rPr>
          <w:rFonts w:ascii="Times New Roman" w:hAnsi="Times New Roman" w:cs="Times New Roman"/>
          <w:sz w:val="24"/>
          <w:szCs w:val="24"/>
          <w:lang w:val="kk-KZ"/>
        </w:rPr>
        <w:t>р</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және</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эфавиренз</w:t>
      </w:r>
      <w:proofErr w:type="spellEnd"/>
      <w:r w:rsidRPr="00306051">
        <w:rPr>
          <w:rFonts w:ascii="Times New Roman" w:hAnsi="Times New Roman" w:cs="Times New Roman"/>
          <w:sz w:val="24"/>
          <w:szCs w:val="24"/>
          <w:lang w:val="kk-KZ"/>
        </w:rPr>
        <w:t xml:space="preserve"> біріктірілімін тәулігіне бір рет </w:t>
      </w:r>
      <w:r w:rsidRPr="00306051">
        <w:rPr>
          <w:rFonts w:ascii="Times New Roman" w:hAnsi="Times New Roman" w:cs="Times New Roman"/>
          <w:sz w:val="24"/>
          <w:szCs w:val="24"/>
        </w:rPr>
        <w:t xml:space="preserve">(n=255), </w:t>
      </w:r>
      <w:r w:rsidRPr="00306051">
        <w:rPr>
          <w:rFonts w:ascii="Times New Roman" w:hAnsi="Times New Roman" w:cs="Times New Roman"/>
          <w:sz w:val="24"/>
          <w:szCs w:val="24"/>
          <w:lang w:val="kk-KZ"/>
        </w:rPr>
        <w:t>не болмаса</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ламивудин</w:t>
      </w:r>
      <w:proofErr w:type="spellEnd"/>
      <w:r w:rsidRPr="00306051">
        <w:rPr>
          <w:rFonts w:ascii="Times New Roman" w:hAnsi="Times New Roman" w:cs="Times New Roman"/>
          <w:sz w:val="24"/>
          <w:szCs w:val="24"/>
          <w:lang w:val="kk-KZ"/>
        </w:rPr>
        <w:t xml:space="preserve"> мен</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зидовудин</w:t>
      </w:r>
      <w:proofErr w:type="spellEnd"/>
      <w:r w:rsidRPr="00306051">
        <w:rPr>
          <w:rFonts w:ascii="Times New Roman" w:hAnsi="Times New Roman" w:cs="Times New Roman"/>
          <w:sz w:val="24"/>
          <w:szCs w:val="24"/>
          <w:lang w:val="kk-KZ"/>
        </w:rPr>
        <w:t>нің тәулігіне екі рет енгізілетін бекітілген біріктірілімін</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және тәулігіне бір рет</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эфавиренз</w:t>
      </w:r>
      <w:proofErr w:type="spellEnd"/>
      <w:r w:rsidRPr="00306051">
        <w:rPr>
          <w:rFonts w:ascii="Times New Roman" w:hAnsi="Times New Roman" w:cs="Times New Roman"/>
          <w:sz w:val="24"/>
          <w:szCs w:val="24"/>
          <w:lang w:val="kk-KZ"/>
        </w:rPr>
        <w:t xml:space="preserve">ді </w:t>
      </w:r>
      <w:r w:rsidRPr="00306051">
        <w:rPr>
          <w:rFonts w:ascii="Times New Roman" w:hAnsi="Times New Roman" w:cs="Times New Roman"/>
          <w:sz w:val="24"/>
          <w:szCs w:val="24"/>
        </w:rPr>
        <w:t>(n=254)</w:t>
      </w:r>
      <w:r w:rsidRPr="00306051">
        <w:rPr>
          <w:rFonts w:ascii="Times New Roman" w:hAnsi="Times New Roman" w:cs="Times New Roman"/>
          <w:sz w:val="24"/>
          <w:szCs w:val="24"/>
          <w:lang w:val="kk-KZ"/>
        </w:rPr>
        <w:t xml:space="preserve"> қабылдаған</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Э</w:t>
      </w:r>
      <w:proofErr w:type="spellStart"/>
      <w:r w:rsidRPr="00306051">
        <w:rPr>
          <w:rFonts w:ascii="Times New Roman" w:hAnsi="Times New Roman" w:cs="Times New Roman"/>
          <w:sz w:val="24"/>
          <w:szCs w:val="24"/>
        </w:rPr>
        <w:t>мтрицитабин</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мен</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lang w:val="kk-KZ"/>
        </w:rPr>
        <w:t>ді қабылдаған топтағы п</w:t>
      </w:r>
      <w:proofErr w:type="spellStart"/>
      <w:r w:rsidRPr="00306051">
        <w:rPr>
          <w:rFonts w:ascii="Times New Roman" w:hAnsi="Times New Roman" w:cs="Times New Roman"/>
          <w:sz w:val="24"/>
          <w:szCs w:val="24"/>
        </w:rPr>
        <w:t>ациент</w:t>
      </w:r>
      <w:proofErr w:type="spellEnd"/>
      <w:r w:rsidRPr="00306051">
        <w:rPr>
          <w:rFonts w:ascii="Times New Roman" w:hAnsi="Times New Roman" w:cs="Times New Roman"/>
          <w:sz w:val="24"/>
          <w:szCs w:val="24"/>
          <w:lang w:val="kk-KZ"/>
        </w:rPr>
        <w:t xml:space="preserve">терге </w:t>
      </w:r>
      <w:proofErr w:type="spellStart"/>
      <w:r w:rsidRPr="00306051">
        <w:rPr>
          <w:rFonts w:ascii="Times New Roman" w:hAnsi="Times New Roman" w:cs="Times New Roman"/>
          <w:sz w:val="24"/>
          <w:szCs w:val="24"/>
        </w:rPr>
        <w:t>эмтрицитабин</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және</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фумарат</w:t>
      </w:r>
      <w:proofErr w:type="spellEnd"/>
      <w:r w:rsidRPr="00306051">
        <w:rPr>
          <w:rFonts w:ascii="Times New Roman" w:hAnsi="Times New Roman" w:cs="Times New Roman"/>
          <w:sz w:val="24"/>
          <w:szCs w:val="24"/>
          <w:lang w:val="kk-KZ"/>
        </w:rPr>
        <w:t>ы мен</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эфавиренз</w:t>
      </w:r>
      <w:proofErr w:type="spellEnd"/>
      <w:r w:rsidRPr="00306051">
        <w:rPr>
          <w:rFonts w:ascii="Times New Roman" w:hAnsi="Times New Roman" w:cs="Times New Roman"/>
          <w:sz w:val="24"/>
          <w:szCs w:val="24"/>
        </w:rPr>
        <w:t xml:space="preserve"> 96</w:t>
      </w:r>
      <w:r w:rsidR="005848F4">
        <w:rPr>
          <w:rFonts w:ascii="Times New Roman" w:hAnsi="Times New Roman" w:cs="Times New Roman"/>
          <w:sz w:val="24"/>
          <w:szCs w:val="24"/>
          <w:lang w:val="kk-KZ"/>
        </w:rPr>
        <w:t>-</w:t>
      </w:r>
      <w:r w:rsidRPr="00306051">
        <w:rPr>
          <w:rFonts w:ascii="Times New Roman" w:hAnsi="Times New Roman" w:cs="Times New Roman"/>
          <w:sz w:val="24"/>
          <w:szCs w:val="24"/>
          <w:lang w:val="kk-KZ"/>
        </w:rPr>
        <w:t>шы аптадан</w:t>
      </w:r>
      <w:r w:rsidRPr="00306051">
        <w:rPr>
          <w:rFonts w:ascii="Times New Roman" w:hAnsi="Times New Roman" w:cs="Times New Roman"/>
          <w:sz w:val="24"/>
          <w:szCs w:val="24"/>
        </w:rPr>
        <w:t xml:space="preserve"> 144 </w:t>
      </w:r>
      <w:r w:rsidRPr="00306051">
        <w:rPr>
          <w:rFonts w:ascii="Times New Roman" w:hAnsi="Times New Roman" w:cs="Times New Roman"/>
          <w:sz w:val="24"/>
          <w:szCs w:val="24"/>
          <w:lang w:val="kk-KZ"/>
        </w:rPr>
        <w:t>аптаға дейін енгізілген</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Зерттеудің басында</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рандомиз</w:t>
      </w:r>
      <w:proofErr w:type="spellEnd"/>
      <w:r w:rsidRPr="00306051">
        <w:rPr>
          <w:rFonts w:ascii="Times New Roman" w:hAnsi="Times New Roman" w:cs="Times New Roman"/>
          <w:sz w:val="24"/>
          <w:szCs w:val="24"/>
          <w:lang w:val="kk-KZ"/>
        </w:rPr>
        <w:t>ац</w:t>
      </w:r>
      <w:r w:rsidRPr="00306051">
        <w:rPr>
          <w:rFonts w:ascii="Times New Roman" w:hAnsi="Times New Roman" w:cs="Times New Roman"/>
          <w:sz w:val="24"/>
          <w:szCs w:val="24"/>
        </w:rPr>
        <w:t>и</w:t>
      </w:r>
      <w:r w:rsidRPr="00306051">
        <w:rPr>
          <w:rFonts w:ascii="Times New Roman" w:hAnsi="Times New Roman" w:cs="Times New Roman"/>
          <w:sz w:val="24"/>
          <w:szCs w:val="24"/>
          <w:lang w:val="kk-KZ"/>
        </w:rPr>
        <w:t xml:space="preserve">яланған топтар </w:t>
      </w:r>
      <w:r w:rsidRPr="00306051">
        <w:rPr>
          <w:rFonts w:ascii="Times New Roman" w:hAnsi="Times New Roman" w:cs="Times New Roman"/>
          <w:sz w:val="24"/>
          <w:szCs w:val="24"/>
        </w:rPr>
        <w:t>плазм</w:t>
      </w:r>
      <w:r w:rsidRPr="00306051">
        <w:rPr>
          <w:rFonts w:ascii="Times New Roman" w:hAnsi="Times New Roman" w:cs="Times New Roman"/>
          <w:sz w:val="24"/>
          <w:szCs w:val="24"/>
          <w:lang w:val="kk-KZ"/>
        </w:rPr>
        <w:t>адағы</w:t>
      </w:r>
      <w:r w:rsidRPr="00306051">
        <w:rPr>
          <w:rFonts w:ascii="Times New Roman" w:hAnsi="Times New Roman" w:cs="Times New Roman"/>
          <w:sz w:val="24"/>
          <w:szCs w:val="24"/>
        </w:rPr>
        <w:t xml:space="preserve"> АИТВ-1 РН</w:t>
      </w:r>
      <w:r w:rsidRPr="00306051">
        <w:rPr>
          <w:rFonts w:ascii="Times New Roman" w:hAnsi="Times New Roman" w:cs="Times New Roman"/>
          <w:sz w:val="24"/>
          <w:szCs w:val="24"/>
          <w:lang w:val="kk-KZ"/>
        </w:rPr>
        <w:t xml:space="preserve">Қ </w:t>
      </w:r>
      <w:r w:rsidRPr="00306051">
        <w:rPr>
          <w:rFonts w:ascii="Times New Roman" w:hAnsi="Times New Roman" w:cs="Times New Roman"/>
          <w:sz w:val="24"/>
          <w:szCs w:val="24"/>
        </w:rPr>
        <w:t xml:space="preserve">(5,02 </w:t>
      </w:r>
      <w:r w:rsidRPr="00306051">
        <w:rPr>
          <w:rFonts w:ascii="Times New Roman" w:hAnsi="Times New Roman" w:cs="Times New Roman"/>
          <w:sz w:val="24"/>
          <w:szCs w:val="24"/>
          <w:lang w:val="kk-KZ"/>
        </w:rPr>
        <w:t>және</w:t>
      </w:r>
      <w:r w:rsidRPr="00306051">
        <w:rPr>
          <w:rFonts w:ascii="Times New Roman" w:hAnsi="Times New Roman" w:cs="Times New Roman"/>
          <w:sz w:val="24"/>
          <w:szCs w:val="24"/>
        </w:rPr>
        <w:t xml:space="preserve"> 5,00 log</w:t>
      </w:r>
      <w:r w:rsidRPr="00306051">
        <w:rPr>
          <w:rFonts w:ascii="Times New Roman" w:hAnsi="Times New Roman" w:cs="Times New Roman"/>
          <w:sz w:val="24"/>
          <w:szCs w:val="24"/>
          <w:vertAlign w:val="subscript"/>
        </w:rPr>
        <w:t>10</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көшірме</w:t>
      </w:r>
      <w:proofErr w:type="spellEnd"/>
      <w:r w:rsidRPr="00306051">
        <w:rPr>
          <w:rFonts w:ascii="Times New Roman" w:hAnsi="Times New Roman" w:cs="Times New Roman"/>
          <w:sz w:val="24"/>
          <w:szCs w:val="24"/>
        </w:rPr>
        <w:t xml:space="preserve">/мл) </w:t>
      </w:r>
      <w:r w:rsidRPr="00306051">
        <w:rPr>
          <w:rFonts w:ascii="Times New Roman" w:hAnsi="Times New Roman" w:cs="Times New Roman"/>
          <w:sz w:val="24"/>
          <w:szCs w:val="24"/>
          <w:lang w:val="kk-KZ"/>
        </w:rPr>
        <w:t>мен</w:t>
      </w:r>
      <w:r w:rsidRPr="00306051">
        <w:rPr>
          <w:rFonts w:ascii="Times New Roman" w:hAnsi="Times New Roman" w:cs="Times New Roman"/>
          <w:sz w:val="24"/>
          <w:szCs w:val="24"/>
        </w:rPr>
        <w:t xml:space="preserve"> CD4 </w:t>
      </w:r>
      <w:r w:rsidRPr="00306051">
        <w:rPr>
          <w:rFonts w:ascii="Times New Roman" w:hAnsi="Times New Roman" w:cs="Times New Roman"/>
          <w:sz w:val="24"/>
          <w:szCs w:val="24"/>
          <w:lang w:val="kk-KZ"/>
        </w:rPr>
        <w:t xml:space="preserve">жасушалары санының </w:t>
      </w:r>
      <w:r w:rsidRPr="00306051">
        <w:rPr>
          <w:rFonts w:ascii="Times New Roman" w:hAnsi="Times New Roman" w:cs="Times New Roman"/>
          <w:sz w:val="24"/>
          <w:szCs w:val="24"/>
        </w:rPr>
        <w:t xml:space="preserve">(233 </w:t>
      </w:r>
      <w:r w:rsidRPr="00306051">
        <w:rPr>
          <w:rFonts w:ascii="Times New Roman" w:hAnsi="Times New Roman" w:cs="Times New Roman"/>
          <w:sz w:val="24"/>
          <w:szCs w:val="24"/>
          <w:lang w:val="kk-KZ"/>
        </w:rPr>
        <w:t>және</w:t>
      </w:r>
      <w:r w:rsidRPr="00306051">
        <w:rPr>
          <w:rFonts w:ascii="Times New Roman" w:hAnsi="Times New Roman" w:cs="Times New Roman"/>
          <w:sz w:val="24"/>
          <w:szCs w:val="24"/>
        </w:rPr>
        <w:t xml:space="preserve"> 241 </w:t>
      </w:r>
      <w:r w:rsidRPr="00306051">
        <w:rPr>
          <w:rFonts w:ascii="Times New Roman" w:hAnsi="Times New Roman" w:cs="Times New Roman"/>
          <w:sz w:val="24"/>
          <w:szCs w:val="24"/>
          <w:lang w:val="kk-KZ"/>
        </w:rPr>
        <w:t>жасуша</w:t>
      </w:r>
      <w:r w:rsidRPr="00306051">
        <w:rPr>
          <w:rFonts w:ascii="Times New Roman" w:hAnsi="Times New Roman" w:cs="Times New Roman"/>
          <w:sz w:val="24"/>
          <w:szCs w:val="24"/>
        </w:rPr>
        <w:t>/мм</w:t>
      </w:r>
      <w:r w:rsidRPr="00306051">
        <w:rPr>
          <w:rFonts w:ascii="Times New Roman" w:hAnsi="Times New Roman" w:cs="Times New Roman"/>
          <w:sz w:val="24"/>
          <w:szCs w:val="24"/>
          <w:vertAlign w:val="superscript"/>
        </w:rPr>
        <w:t>3</w:t>
      </w:r>
      <w:r w:rsidRPr="00306051">
        <w:rPr>
          <w:rFonts w:ascii="Times New Roman" w:hAnsi="Times New Roman" w:cs="Times New Roman"/>
          <w:sz w:val="24"/>
          <w:szCs w:val="24"/>
        </w:rPr>
        <w:t>)</w:t>
      </w:r>
      <w:r w:rsidRPr="00306051">
        <w:rPr>
          <w:rFonts w:ascii="Times New Roman" w:hAnsi="Times New Roman" w:cs="Times New Roman"/>
          <w:sz w:val="24"/>
          <w:szCs w:val="24"/>
          <w:lang w:val="kk-KZ"/>
        </w:rPr>
        <w:t xml:space="preserve"> ұқсас</w:t>
      </w:r>
      <w:r w:rsidRPr="00306051">
        <w:rPr>
          <w:rFonts w:ascii="Times New Roman" w:hAnsi="Times New Roman" w:cs="Times New Roman"/>
          <w:sz w:val="24"/>
          <w:szCs w:val="24"/>
        </w:rPr>
        <w:t xml:space="preserve"> медиан</w:t>
      </w:r>
      <w:r w:rsidRPr="00306051">
        <w:rPr>
          <w:rFonts w:ascii="Times New Roman" w:hAnsi="Times New Roman" w:cs="Times New Roman"/>
          <w:sz w:val="24"/>
          <w:szCs w:val="24"/>
          <w:lang w:val="kk-KZ"/>
        </w:rPr>
        <w:t>алық</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көрсеткіштерін көрсеткен</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Бұл зерттеу үшін тиімділігін анықтаудың бастапқы ақырғы нүктесі</w:t>
      </w:r>
      <w:r w:rsidRPr="00306051">
        <w:rPr>
          <w:rFonts w:ascii="Times New Roman" w:hAnsi="Times New Roman" w:cs="Times New Roman"/>
          <w:sz w:val="24"/>
          <w:szCs w:val="24"/>
        </w:rPr>
        <w:t xml:space="preserve"> 48 </w:t>
      </w:r>
      <w:r w:rsidRPr="00306051">
        <w:rPr>
          <w:rFonts w:ascii="Times New Roman" w:hAnsi="Times New Roman" w:cs="Times New Roman"/>
          <w:sz w:val="24"/>
          <w:szCs w:val="24"/>
          <w:lang w:val="kk-KZ"/>
        </w:rPr>
        <w:t>апта ішінде</w:t>
      </w:r>
      <w:r w:rsidRPr="00306051">
        <w:rPr>
          <w:rFonts w:ascii="Times New Roman" w:hAnsi="Times New Roman" w:cs="Times New Roman"/>
          <w:sz w:val="24"/>
          <w:szCs w:val="24"/>
        </w:rPr>
        <w:t xml:space="preserve"> АИТВ-1 РН</w:t>
      </w:r>
      <w:r w:rsidRPr="00306051">
        <w:rPr>
          <w:rFonts w:ascii="Times New Roman" w:hAnsi="Times New Roman" w:cs="Times New Roman"/>
          <w:sz w:val="24"/>
          <w:szCs w:val="24"/>
          <w:lang w:val="kk-KZ"/>
        </w:rPr>
        <w:t>Қ</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 xml:space="preserve">расталған </w:t>
      </w:r>
      <w:r w:rsidRPr="00306051">
        <w:rPr>
          <w:rFonts w:ascii="Times New Roman" w:hAnsi="Times New Roman" w:cs="Times New Roman"/>
          <w:sz w:val="24"/>
          <w:szCs w:val="24"/>
        </w:rPr>
        <w:t xml:space="preserve">&lt; 400 </w:t>
      </w:r>
      <w:proofErr w:type="spellStart"/>
      <w:r w:rsidRPr="00306051">
        <w:rPr>
          <w:rFonts w:ascii="Times New Roman" w:hAnsi="Times New Roman" w:cs="Times New Roman"/>
          <w:sz w:val="24"/>
          <w:szCs w:val="24"/>
        </w:rPr>
        <w:t>көшірме</w:t>
      </w:r>
      <w:proofErr w:type="spellEnd"/>
      <w:r w:rsidRPr="00306051">
        <w:rPr>
          <w:rFonts w:ascii="Times New Roman" w:hAnsi="Times New Roman" w:cs="Times New Roman"/>
          <w:sz w:val="24"/>
          <w:szCs w:val="24"/>
        </w:rPr>
        <w:t xml:space="preserve">/мл </w:t>
      </w:r>
      <w:proofErr w:type="spellStart"/>
      <w:r w:rsidRPr="00306051">
        <w:rPr>
          <w:rFonts w:ascii="Times New Roman" w:hAnsi="Times New Roman" w:cs="Times New Roman"/>
          <w:sz w:val="24"/>
          <w:szCs w:val="24"/>
        </w:rPr>
        <w:t>концентраци</w:t>
      </w:r>
      <w:proofErr w:type="spellEnd"/>
      <w:r w:rsidRPr="00306051">
        <w:rPr>
          <w:rFonts w:ascii="Times New Roman" w:hAnsi="Times New Roman" w:cs="Times New Roman"/>
          <w:sz w:val="24"/>
          <w:szCs w:val="24"/>
          <w:lang w:val="kk-KZ"/>
        </w:rPr>
        <w:t>яларына жетуі мен сақталуы болып есептелді</w:t>
      </w:r>
      <w:r w:rsidRPr="00306051">
        <w:rPr>
          <w:rFonts w:ascii="Times New Roman" w:hAnsi="Times New Roman" w:cs="Times New Roman"/>
          <w:sz w:val="24"/>
          <w:szCs w:val="24"/>
        </w:rPr>
        <w:t xml:space="preserve">. 144 </w:t>
      </w:r>
      <w:r w:rsidRPr="00306051">
        <w:rPr>
          <w:rFonts w:ascii="Times New Roman" w:hAnsi="Times New Roman" w:cs="Times New Roman"/>
          <w:sz w:val="24"/>
          <w:szCs w:val="24"/>
          <w:lang w:val="kk-KZ"/>
        </w:rPr>
        <w:t>апта ішінде тиімділігіне жүргізілген екінші талдау</w:t>
      </w:r>
      <w:r w:rsidRPr="00306051">
        <w:rPr>
          <w:rFonts w:ascii="Times New Roman" w:hAnsi="Times New Roman" w:cs="Times New Roman"/>
          <w:sz w:val="24"/>
          <w:szCs w:val="24"/>
        </w:rPr>
        <w:t xml:space="preserve"> АИТВ-1 РН</w:t>
      </w:r>
      <w:r w:rsidRPr="00306051">
        <w:rPr>
          <w:rFonts w:ascii="Times New Roman" w:hAnsi="Times New Roman" w:cs="Times New Roman"/>
          <w:sz w:val="24"/>
          <w:szCs w:val="24"/>
          <w:lang w:val="kk-KZ"/>
        </w:rPr>
        <w:t>Қ</w:t>
      </w:r>
      <w:r w:rsidRPr="00306051">
        <w:rPr>
          <w:rFonts w:ascii="Times New Roman" w:hAnsi="Times New Roman" w:cs="Times New Roman"/>
          <w:sz w:val="24"/>
          <w:szCs w:val="24"/>
        </w:rPr>
        <w:t xml:space="preserve"> концентрация</w:t>
      </w:r>
      <w:r w:rsidRPr="00306051">
        <w:rPr>
          <w:rFonts w:ascii="Times New Roman" w:hAnsi="Times New Roman" w:cs="Times New Roman"/>
          <w:sz w:val="24"/>
          <w:szCs w:val="24"/>
          <w:lang w:val="kk-KZ"/>
        </w:rPr>
        <w:t>лары</w:t>
      </w:r>
      <w:r w:rsidRPr="00306051">
        <w:rPr>
          <w:rFonts w:ascii="Times New Roman" w:hAnsi="Times New Roman" w:cs="Times New Roman"/>
          <w:sz w:val="24"/>
          <w:szCs w:val="24"/>
        </w:rPr>
        <w:t xml:space="preserve"> &lt; 400 </w:t>
      </w:r>
      <w:r w:rsidRPr="00306051">
        <w:rPr>
          <w:rFonts w:ascii="Times New Roman" w:hAnsi="Times New Roman" w:cs="Times New Roman"/>
          <w:sz w:val="24"/>
          <w:szCs w:val="24"/>
          <w:lang w:val="kk-KZ"/>
        </w:rPr>
        <w:t>немесе</w:t>
      </w:r>
      <w:r w:rsidRPr="00306051">
        <w:rPr>
          <w:rFonts w:ascii="Times New Roman" w:hAnsi="Times New Roman" w:cs="Times New Roman"/>
          <w:sz w:val="24"/>
          <w:szCs w:val="24"/>
        </w:rPr>
        <w:t xml:space="preserve"> &lt; 50 </w:t>
      </w:r>
      <w:proofErr w:type="spellStart"/>
      <w:r w:rsidRPr="00306051">
        <w:rPr>
          <w:rFonts w:ascii="Times New Roman" w:hAnsi="Times New Roman" w:cs="Times New Roman"/>
          <w:sz w:val="24"/>
          <w:szCs w:val="24"/>
        </w:rPr>
        <w:t>көшірме</w:t>
      </w:r>
      <w:proofErr w:type="spellEnd"/>
      <w:r w:rsidRPr="00306051">
        <w:rPr>
          <w:rFonts w:ascii="Times New Roman" w:hAnsi="Times New Roman" w:cs="Times New Roman"/>
          <w:sz w:val="24"/>
          <w:szCs w:val="24"/>
        </w:rPr>
        <w:t xml:space="preserve">/мл </w:t>
      </w:r>
      <w:r w:rsidRPr="00306051">
        <w:rPr>
          <w:rFonts w:ascii="Times New Roman" w:hAnsi="Times New Roman" w:cs="Times New Roman"/>
          <w:sz w:val="24"/>
          <w:szCs w:val="24"/>
          <w:lang w:val="kk-KZ"/>
        </w:rPr>
        <w:t>және</w:t>
      </w:r>
      <w:r w:rsidRPr="00306051">
        <w:rPr>
          <w:rFonts w:ascii="Times New Roman" w:hAnsi="Times New Roman" w:cs="Times New Roman"/>
          <w:sz w:val="24"/>
          <w:szCs w:val="24"/>
        </w:rPr>
        <w:t xml:space="preserve"> CD4 </w:t>
      </w:r>
      <w:r w:rsidRPr="00306051">
        <w:rPr>
          <w:rFonts w:ascii="Times New Roman" w:hAnsi="Times New Roman" w:cs="Times New Roman"/>
          <w:sz w:val="24"/>
          <w:szCs w:val="24"/>
          <w:lang w:val="kk-KZ"/>
        </w:rPr>
        <w:t>жасушалары санының бастапқы деңгейімен салыстырғандағы өзгерістері бар</w:t>
      </w:r>
      <w:r w:rsidRPr="00306051">
        <w:rPr>
          <w:rFonts w:ascii="Times New Roman" w:hAnsi="Times New Roman" w:cs="Times New Roman"/>
          <w:sz w:val="24"/>
          <w:szCs w:val="24"/>
        </w:rPr>
        <w:t xml:space="preserve"> пациент</w:t>
      </w:r>
      <w:r w:rsidRPr="00306051">
        <w:rPr>
          <w:rFonts w:ascii="Times New Roman" w:hAnsi="Times New Roman" w:cs="Times New Roman"/>
          <w:sz w:val="24"/>
          <w:szCs w:val="24"/>
          <w:lang w:val="kk-KZ"/>
        </w:rPr>
        <w:t xml:space="preserve">тердің </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үлесін қамтыды</w:t>
      </w:r>
      <w:r w:rsidRPr="00306051">
        <w:rPr>
          <w:rFonts w:ascii="Times New Roman" w:hAnsi="Times New Roman" w:cs="Times New Roman"/>
          <w:sz w:val="24"/>
          <w:szCs w:val="24"/>
        </w:rPr>
        <w:t>.</w:t>
      </w:r>
    </w:p>
    <w:p w14:paraId="4F8CBC76" w14:textId="77777777" w:rsidR="00607595" w:rsidRPr="00306051" w:rsidRDefault="00607595">
      <w:pPr>
        <w:shd w:val="clear" w:color="auto" w:fill="FFFFFF"/>
        <w:spacing w:after="0" w:line="100" w:lineRule="atLeast"/>
        <w:jc w:val="both"/>
        <w:rPr>
          <w:rFonts w:ascii="Times New Roman" w:eastAsia="Times New Roman" w:hAnsi="Times New Roman" w:cs="Times New Roman"/>
          <w:bCs/>
          <w:sz w:val="24"/>
          <w:szCs w:val="24"/>
        </w:rPr>
      </w:pPr>
      <w:r w:rsidRPr="00306051">
        <w:rPr>
          <w:rFonts w:ascii="Times New Roman" w:hAnsi="Times New Roman" w:cs="Times New Roman"/>
          <w:sz w:val="24"/>
          <w:szCs w:val="24"/>
        </w:rPr>
        <w:lastRenderedPageBreak/>
        <w:t xml:space="preserve">48 </w:t>
      </w:r>
      <w:r w:rsidRPr="00306051">
        <w:rPr>
          <w:rFonts w:ascii="Times New Roman" w:hAnsi="Times New Roman" w:cs="Times New Roman"/>
          <w:sz w:val="24"/>
          <w:szCs w:val="24"/>
          <w:lang w:val="kk-KZ"/>
        </w:rPr>
        <w:t>апта ішіндегі бастапқы ақырғы нүктесі</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жөніндегі деректер</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ламивудин</w:t>
      </w:r>
      <w:proofErr w:type="spellEnd"/>
      <w:r w:rsidRPr="00306051">
        <w:rPr>
          <w:rFonts w:ascii="Times New Roman" w:hAnsi="Times New Roman" w:cs="Times New Roman"/>
          <w:sz w:val="24"/>
          <w:szCs w:val="24"/>
          <w:lang w:val="kk-KZ"/>
        </w:rPr>
        <w:t xml:space="preserve"> мен</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зидовудин</w:t>
      </w:r>
      <w:proofErr w:type="spellEnd"/>
      <w:r w:rsidRPr="00306051">
        <w:rPr>
          <w:rFonts w:ascii="Times New Roman" w:hAnsi="Times New Roman" w:cs="Times New Roman"/>
          <w:sz w:val="24"/>
          <w:szCs w:val="24"/>
          <w:lang w:val="kk-KZ"/>
        </w:rPr>
        <w:t>нің</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эфавиренз</w:t>
      </w:r>
      <w:proofErr w:type="spellEnd"/>
      <w:r w:rsidRPr="00306051">
        <w:rPr>
          <w:rFonts w:ascii="Times New Roman" w:hAnsi="Times New Roman" w:cs="Times New Roman"/>
          <w:sz w:val="24"/>
          <w:szCs w:val="24"/>
          <w:lang w:val="kk-KZ"/>
        </w:rPr>
        <w:t>бен бекітілген біріктірілімімен салыстырғанда,</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эмтрицитабин</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lang w:val="kk-KZ"/>
        </w:rPr>
        <w:t xml:space="preserve"> және</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эфавиренз</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 xml:space="preserve">біріктірілімі </w:t>
      </w:r>
      <w:proofErr w:type="spellStart"/>
      <w:r w:rsidR="005848F4">
        <w:rPr>
          <w:rFonts w:ascii="Times New Roman" w:hAnsi="Times New Roman" w:cs="Times New Roman"/>
          <w:sz w:val="24"/>
          <w:szCs w:val="24"/>
        </w:rPr>
        <w:t>вирустарға</w:t>
      </w:r>
      <w:proofErr w:type="spellEnd"/>
      <w:r w:rsidR="005848F4">
        <w:rPr>
          <w:rFonts w:ascii="Times New Roman" w:hAnsi="Times New Roman" w:cs="Times New Roman"/>
          <w:sz w:val="24"/>
          <w:szCs w:val="24"/>
        </w:rPr>
        <w:t xml:space="preserve"> </w:t>
      </w:r>
      <w:proofErr w:type="spellStart"/>
      <w:r w:rsidR="005848F4">
        <w:rPr>
          <w:rFonts w:ascii="Times New Roman" w:hAnsi="Times New Roman" w:cs="Times New Roman"/>
          <w:sz w:val="24"/>
          <w:szCs w:val="24"/>
        </w:rPr>
        <w:t>қарсы</w:t>
      </w:r>
      <w:proofErr w:type="spellEnd"/>
      <w:r w:rsidRPr="00306051">
        <w:rPr>
          <w:rFonts w:ascii="Times New Roman" w:hAnsi="Times New Roman" w:cs="Times New Roman"/>
          <w:sz w:val="24"/>
          <w:szCs w:val="24"/>
          <w:lang w:val="kk-KZ"/>
        </w:rPr>
        <w:t xml:space="preserve"> тиімділігі</w:t>
      </w:r>
      <w:r w:rsidRPr="00306051">
        <w:rPr>
          <w:rFonts w:ascii="Times New Roman" w:hAnsi="Times New Roman" w:cs="Times New Roman"/>
          <w:sz w:val="24"/>
          <w:szCs w:val="24"/>
        </w:rPr>
        <w:t xml:space="preserve"> 4</w:t>
      </w:r>
      <w:r w:rsidRPr="00306051">
        <w:rPr>
          <w:rFonts w:ascii="Times New Roman" w:hAnsi="Times New Roman" w:cs="Times New Roman"/>
          <w:sz w:val="24"/>
          <w:szCs w:val="24"/>
          <w:lang w:val="kk-KZ"/>
        </w:rPr>
        <w:t xml:space="preserve"> кестеде көрсетілгенге сәйкес жоғарырақ болуын қамтамасыз ететіні көрсетті</w:t>
      </w:r>
      <w:r w:rsidRPr="00306051">
        <w:rPr>
          <w:rFonts w:ascii="Times New Roman" w:hAnsi="Times New Roman" w:cs="Times New Roman"/>
          <w:sz w:val="24"/>
          <w:szCs w:val="24"/>
        </w:rPr>
        <w:t xml:space="preserve">. 144 </w:t>
      </w:r>
      <w:r w:rsidRPr="00306051">
        <w:rPr>
          <w:rFonts w:ascii="Times New Roman" w:hAnsi="Times New Roman" w:cs="Times New Roman"/>
          <w:sz w:val="24"/>
          <w:szCs w:val="24"/>
          <w:lang w:val="kk-KZ"/>
        </w:rPr>
        <w:t>апта ішіндегі екінші ақырғы нүктесі жөніндегі</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деректер де</w:t>
      </w:r>
      <w:r w:rsidRPr="00306051">
        <w:rPr>
          <w:rFonts w:ascii="Times New Roman" w:hAnsi="Times New Roman" w:cs="Times New Roman"/>
          <w:sz w:val="24"/>
          <w:szCs w:val="24"/>
        </w:rPr>
        <w:t xml:space="preserve"> 4</w:t>
      </w:r>
      <w:r w:rsidRPr="00306051">
        <w:rPr>
          <w:rFonts w:ascii="Times New Roman" w:hAnsi="Times New Roman" w:cs="Times New Roman"/>
          <w:sz w:val="24"/>
          <w:szCs w:val="24"/>
          <w:lang w:val="kk-KZ"/>
        </w:rPr>
        <w:t xml:space="preserve"> кестеде келтірілген</w:t>
      </w:r>
      <w:r w:rsidRPr="00306051">
        <w:rPr>
          <w:rFonts w:ascii="Times New Roman" w:hAnsi="Times New Roman" w:cs="Times New Roman"/>
          <w:sz w:val="24"/>
          <w:szCs w:val="24"/>
        </w:rPr>
        <w:t>.</w:t>
      </w:r>
    </w:p>
    <w:p w14:paraId="6526DD05" w14:textId="77777777" w:rsidR="00607595" w:rsidRPr="00306051" w:rsidRDefault="00607595">
      <w:pPr>
        <w:shd w:val="clear" w:color="auto" w:fill="FFFFFF"/>
        <w:spacing w:after="0" w:line="100" w:lineRule="atLeast"/>
        <w:jc w:val="both"/>
      </w:pPr>
      <w:r w:rsidRPr="00306051">
        <w:rPr>
          <w:rFonts w:ascii="Times New Roman" w:eastAsia="Times New Roman" w:hAnsi="Times New Roman" w:cs="Times New Roman"/>
          <w:bCs/>
          <w:sz w:val="24"/>
          <w:szCs w:val="24"/>
        </w:rPr>
        <w:t>4</w:t>
      </w:r>
      <w:r w:rsidRPr="00306051">
        <w:rPr>
          <w:rFonts w:ascii="Times New Roman" w:eastAsia="Times New Roman" w:hAnsi="Times New Roman" w:cs="Times New Roman"/>
          <w:bCs/>
          <w:sz w:val="24"/>
          <w:szCs w:val="24"/>
          <w:lang w:val="kk-KZ"/>
        </w:rPr>
        <w:t xml:space="preserve"> кесте</w:t>
      </w:r>
      <w:r w:rsidRPr="00306051">
        <w:rPr>
          <w:rFonts w:ascii="Times New Roman" w:eastAsia="Times New Roman" w:hAnsi="Times New Roman" w:cs="Times New Roman"/>
          <w:bCs/>
          <w:sz w:val="24"/>
          <w:szCs w:val="24"/>
        </w:rPr>
        <w:t xml:space="preserve">: </w:t>
      </w:r>
      <w:r w:rsidRPr="00306051">
        <w:rPr>
          <w:rFonts w:ascii="Times New Roman" w:eastAsia="Times New Roman" w:hAnsi="Times New Roman" w:cs="Times New Roman"/>
          <w:bCs/>
          <w:sz w:val="24"/>
          <w:szCs w:val="24"/>
          <w:lang w:val="kk-KZ"/>
        </w:rPr>
        <w:t>Э</w:t>
      </w:r>
      <w:proofErr w:type="spellStart"/>
      <w:r w:rsidRPr="00306051">
        <w:rPr>
          <w:rFonts w:ascii="Times New Roman" w:eastAsia="Times New Roman" w:hAnsi="Times New Roman" w:cs="Times New Roman"/>
          <w:bCs/>
          <w:sz w:val="24"/>
          <w:szCs w:val="24"/>
        </w:rPr>
        <w:t>мтрицитабин</w:t>
      </w:r>
      <w:proofErr w:type="spellEnd"/>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тенофовир</w:t>
      </w:r>
      <w:proofErr w:type="spellEnd"/>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дизопроксил</w:t>
      </w:r>
      <w:proofErr w:type="spellEnd"/>
      <w:r w:rsidRPr="00306051">
        <w:rPr>
          <w:rFonts w:ascii="Times New Roman" w:eastAsia="Times New Roman" w:hAnsi="Times New Roman" w:cs="Times New Roman"/>
          <w:bCs/>
          <w:sz w:val="24"/>
          <w:szCs w:val="24"/>
        </w:rPr>
        <w:t xml:space="preserve"> </w:t>
      </w:r>
      <w:r w:rsidRPr="00306051">
        <w:rPr>
          <w:rFonts w:ascii="Times New Roman" w:eastAsia="Times New Roman" w:hAnsi="Times New Roman" w:cs="Times New Roman"/>
          <w:bCs/>
          <w:sz w:val="24"/>
          <w:szCs w:val="24"/>
          <w:lang w:val="kk-KZ"/>
        </w:rPr>
        <w:t>және</w:t>
      </w:r>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эфавиренз</w:t>
      </w:r>
      <w:proofErr w:type="spellEnd"/>
      <w:r w:rsidRPr="00306051">
        <w:rPr>
          <w:rFonts w:ascii="Times New Roman" w:eastAsia="Times New Roman" w:hAnsi="Times New Roman" w:cs="Times New Roman"/>
          <w:bCs/>
          <w:sz w:val="24"/>
          <w:szCs w:val="24"/>
        </w:rPr>
        <w:t xml:space="preserve"> АИТВ-1 инф</w:t>
      </w:r>
      <w:r w:rsidRPr="00306051">
        <w:rPr>
          <w:rFonts w:ascii="Times New Roman" w:eastAsia="Times New Roman" w:hAnsi="Times New Roman" w:cs="Times New Roman"/>
          <w:bCs/>
          <w:sz w:val="24"/>
          <w:szCs w:val="24"/>
          <w:lang w:val="kk-KZ"/>
        </w:rPr>
        <w:t>ек</w:t>
      </w:r>
      <w:proofErr w:type="spellStart"/>
      <w:r w:rsidRPr="00306051">
        <w:rPr>
          <w:rFonts w:ascii="Times New Roman" w:eastAsia="Times New Roman" w:hAnsi="Times New Roman" w:cs="Times New Roman"/>
          <w:bCs/>
          <w:sz w:val="24"/>
          <w:szCs w:val="24"/>
        </w:rPr>
        <w:t>ци</w:t>
      </w:r>
      <w:proofErr w:type="spellEnd"/>
      <w:r w:rsidRPr="00306051">
        <w:rPr>
          <w:rFonts w:ascii="Times New Roman" w:eastAsia="Times New Roman" w:hAnsi="Times New Roman" w:cs="Times New Roman"/>
          <w:bCs/>
          <w:sz w:val="24"/>
          <w:szCs w:val="24"/>
          <w:lang w:val="kk-KZ"/>
        </w:rPr>
        <w:t>ясы бар</w:t>
      </w:r>
      <w:r w:rsidRPr="00306051">
        <w:rPr>
          <w:rFonts w:ascii="Times New Roman" w:eastAsia="Times New Roman" w:hAnsi="Times New Roman" w:cs="Times New Roman"/>
          <w:bCs/>
          <w:sz w:val="24"/>
          <w:szCs w:val="24"/>
        </w:rPr>
        <w:t xml:space="preserve">, </w:t>
      </w:r>
      <w:r w:rsidRPr="00306051">
        <w:rPr>
          <w:rFonts w:ascii="Times New Roman" w:eastAsia="Times New Roman" w:hAnsi="Times New Roman" w:cs="Times New Roman"/>
          <w:bCs/>
          <w:sz w:val="24"/>
          <w:szCs w:val="24"/>
          <w:lang w:val="kk-KZ"/>
        </w:rPr>
        <w:t>бұрын</w:t>
      </w:r>
      <w:r w:rsidRPr="00306051">
        <w:rPr>
          <w:rFonts w:ascii="Times New Roman" w:eastAsia="Times New Roman" w:hAnsi="Times New Roman" w:cs="Times New Roman"/>
          <w:bCs/>
          <w:sz w:val="24"/>
          <w:szCs w:val="24"/>
        </w:rPr>
        <w:t xml:space="preserve"> </w:t>
      </w:r>
      <w:proofErr w:type="spellStart"/>
      <w:r w:rsidRPr="00306051">
        <w:rPr>
          <w:rFonts w:ascii="Times New Roman" w:eastAsia="Times New Roman" w:hAnsi="Times New Roman" w:cs="Times New Roman"/>
          <w:bCs/>
          <w:sz w:val="24"/>
          <w:szCs w:val="24"/>
        </w:rPr>
        <w:t>антиретровирус</w:t>
      </w:r>
      <w:proofErr w:type="spellEnd"/>
      <w:r w:rsidRPr="00306051">
        <w:rPr>
          <w:rFonts w:ascii="Times New Roman" w:eastAsia="Times New Roman" w:hAnsi="Times New Roman" w:cs="Times New Roman"/>
          <w:bCs/>
          <w:sz w:val="24"/>
          <w:szCs w:val="24"/>
          <w:lang w:val="kk-KZ"/>
        </w:rPr>
        <w:t>тық</w:t>
      </w:r>
      <w:r w:rsidRPr="00306051">
        <w:rPr>
          <w:rFonts w:ascii="Times New Roman" w:eastAsia="Times New Roman" w:hAnsi="Times New Roman" w:cs="Times New Roman"/>
          <w:bCs/>
          <w:sz w:val="24"/>
          <w:szCs w:val="24"/>
        </w:rPr>
        <w:t xml:space="preserve"> препарат</w:t>
      </w:r>
      <w:r w:rsidRPr="00306051">
        <w:rPr>
          <w:rFonts w:ascii="Times New Roman" w:eastAsia="Times New Roman" w:hAnsi="Times New Roman" w:cs="Times New Roman"/>
          <w:bCs/>
          <w:sz w:val="24"/>
          <w:szCs w:val="24"/>
          <w:lang w:val="kk-KZ"/>
        </w:rPr>
        <w:t>тармен ем қабылдамаған</w:t>
      </w:r>
      <w:r w:rsidRPr="00306051">
        <w:rPr>
          <w:rFonts w:ascii="Times New Roman" w:eastAsia="Times New Roman" w:hAnsi="Times New Roman" w:cs="Times New Roman"/>
          <w:bCs/>
          <w:sz w:val="24"/>
          <w:szCs w:val="24"/>
        </w:rPr>
        <w:t xml:space="preserve"> пациент</w:t>
      </w:r>
      <w:r w:rsidRPr="00306051">
        <w:rPr>
          <w:rFonts w:ascii="Times New Roman" w:eastAsia="Times New Roman" w:hAnsi="Times New Roman" w:cs="Times New Roman"/>
          <w:bCs/>
          <w:sz w:val="24"/>
          <w:szCs w:val="24"/>
          <w:lang w:val="kk-KZ"/>
        </w:rPr>
        <w:t>терге енгізілген</w:t>
      </w:r>
      <w:r w:rsidRPr="00306051">
        <w:rPr>
          <w:rFonts w:ascii="Times New Roman" w:eastAsia="Times New Roman" w:hAnsi="Times New Roman" w:cs="Times New Roman"/>
          <w:bCs/>
          <w:sz w:val="24"/>
          <w:szCs w:val="24"/>
        </w:rPr>
        <w:t xml:space="preserve"> GS-01-934</w:t>
      </w:r>
      <w:r w:rsidRPr="00306051">
        <w:rPr>
          <w:rFonts w:ascii="Times New Roman" w:eastAsia="Times New Roman" w:hAnsi="Times New Roman" w:cs="Times New Roman"/>
          <w:bCs/>
          <w:sz w:val="24"/>
          <w:szCs w:val="24"/>
          <w:lang w:val="kk-KZ"/>
        </w:rPr>
        <w:t xml:space="preserve"> зерттеуіндегі </w:t>
      </w:r>
      <w:r w:rsidRPr="00306051">
        <w:rPr>
          <w:rFonts w:ascii="Times New Roman" w:eastAsia="Times New Roman" w:hAnsi="Times New Roman" w:cs="Times New Roman"/>
          <w:bCs/>
          <w:sz w:val="24"/>
          <w:szCs w:val="24"/>
        </w:rPr>
        <w:t xml:space="preserve">48 </w:t>
      </w:r>
      <w:r w:rsidRPr="00306051">
        <w:rPr>
          <w:rFonts w:ascii="Times New Roman" w:eastAsia="Times New Roman" w:hAnsi="Times New Roman" w:cs="Times New Roman"/>
          <w:bCs/>
          <w:sz w:val="24"/>
          <w:szCs w:val="24"/>
          <w:lang w:val="kk-KZ"/>
        </w:rPr>
        <w:t>және</w:t>
      </w:r>
      <w:r w:rsidRPr="00306051">
        <w:rPr>
          <w:rFonts w:ascii="Times New Roman" w:eastAsia="Times New Roman" w:hAnsi="Times New Roman" w:cs="Times New Roman"/>
          <w:bCs/>
          <w:sz w:val="24"/>
          <w:szCs w:val="24"/>
        </w:rPr>
        <w:t xml:space="preserve"> 144</w:t>
      </w:r>
      <w:r w:rsidRPr="00306051">
        <w:rPr>
          <w:rFonts w:ascii="Times New Roman" w:eastAsia="Times New Roman" w:hAnsi="Times New Roman" w:cs="Times New Roman"/>
          <w:bCs/>
          <w:sz w:val="24"/>
          <w:szCs w:val="24"/>
          <w:lang w:val="kk-KZ"/>
        </w:rPr>
        <w:t xml:space="preserve"> апта ішіндегі тиімділігі жөніндегі деректер</w:t>
      </w:r>
    </w:p>
    <w:tbl>
      <w:tblPr>
        <w:tblpPr w:leftFromText="180" w:rightFromText="180"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2300"/>
        <w:gridCol w:w="1796"/>
        <w:gridCol w:w="1500"/>
        <w:gridCol w:w="1905"/>
        <w:gridCol w:w="1580"/>
      </w:tblGrid>
      <w:tr w:rsidR="000A3F61" w:rsidRPr="00306051" w14:paraId="23BF98F5" w14:textId="77777777" w:rsidTr="000A3F61">
        <w:tc>
          <w:tcPr>
            <w:tcW w:w="1266" w:type="pct"/>
            <w:shd w:val="clear" w:color="auto" w:fill="FFFFFF"/>
          </w:tcPr>
          <w:p w14:paraId="1EFA0713" w14:textId="77777777" w:rsidR="000A3F61" w:rsidRPr="00306051" w:rsidRDefault="000A3F61" w:rsidP="00696E13">
            <w:pPr>
              <w:snapToGrid w:val="0"/>
              <w:spacing w:after="0" w:line="100" w:lineRule="atLeast"/>
              <w:jc w:val="both"/>
            </w:pPr>
          </w:p>
        </w:tc>
        <w:tc>
          <w:tcPr>
            <w:tcW w:w="1815" w:type="pct"/>
            <w:gridSpan w:val="2"/>
            <w:shd w:val="clear" w:color="auto" w:fill="FFFFFF"/>
          </w:tcPr>
          <w:p w14:paraId="78EE19D9" w14:textId="77777777" w:rsidR="000A3F61" w:rsidRPr="00306051" w:rsidRDefault="000A3F61" w:rsidP="00696E13">
            <w:pPr>
              <w:spacing w:after="0" w:line="100" w:lineRule="atLeast"/>
              <w:jc w:val="center"/>
              <w:rPr>
                <w:rFonts w:ascii="Times New Roman" w:hAnsi="Times New Roman" w:cs="Times New Roman"/>
                <w:b/>
                <w:bCs/>
                <w:sz w:val="24"/>
                <w:szCs w:val="24"/>
              </w:rPr>
            </w:pPr>
            <w:r w:rsidRPr="00306051">
              <w:rPr>
                <w:rFonts w:ascii="Times New Roman" w:hAnsi="Times New Roman" w:cs="Times New Roman"/>
                <w:b/>
                <w:bCs/>
                <w:sz w:val="24"/>
                <w:szCs w:val="24"/>
              </w:rPr>
              <w:t>GS-01-934</w:t>
            </w:r>
          </w:p>
          <w:p w14:paraId="616291A4" w14:textId="77777777" w:rsidR="000A3F61" w:rsidRPr="00306051" w:rsidRDefault="000A3F61" w:rsidP="00696E13">
            <w:pPr>
              <w:spacing w:after="0" w:line="100" w:lineRule="atLeast"/>
              <w:jc w:val="center"/>
              <w:rPr>
                <w:rFonts w:ascii="Times New Roman" w:hAnsi="Times New Roman" w:cs="Times New Roman"/>
                <w:b/>
                <w:bCs/>
                <w:sz w:val="24"/>
                <w:szCs w:val="24"/>
              </w:rPr>
            </w:pPr>
            <w:r w:rsidRPr="00306051">
              <w:rPr>
                <w:rFonts w:ascii="Times New Roman" w:hAnsi="Times New Roman" w:cs="Times New Roman"/>
                <w:b/>
                <w:bCs/>
                <w:sz w:val="24"/>
                <w:szCs w:val="24"/>
              </w:rPr>
              <w:t xml:space="preserve">48 </w:t>
            </w:r>
            <w:r w:rsidRPr="00306051">
              <w:rPr>
                <w:rFonts w:ascii="Times New Roman" w:hAnsi="Times New Roman" w:cs="Times New Roman"/>
                <w:b/>
                <w:bCs/>
                <w:sz w:val="24"/>
                <w:szCs w:val="24"/>
                <w:lang w:val="kk-KZ"/>
              </w:rPr>
              <w:t>апта бойы емдеу</w:t>
            </w:r>
          </w:p>
        </w:tc>
        <w:tc>
          <w:tcPr>
            <w:tcW w:w="1919" w:type="pct"/>
            <w:gridSpan w:val="2"/>
            <w:shd w:val="clear" w:color="auto" w:fill="FFFFFF"/>
          </w:tcPr>
          <w:p w14:paraId="1D7A2B81" w14:textId="77777777" w:rsidR="000A3F61" w:rsidRPr="00306051" w:rsidRDefault="000A3F61" w:rsidP="00696E13">
            <w:pPr>
              <w:spacing w:after="0" w:line="100" w:lineRule="atLeast"/>
              <w:jc w:val="center"/>
              <w:rPr>
                <w:rFonts w:ascii="Times New Roman" w:hAnsi="Times New Roman" w:cs="Times New Roman"/>
                <w:b/>
                <w:bCs/>
                <w:sz w:val="24"/>
                <w:szCs w:val="24"/>
              </w:rPr>
            </w:pPr>
            <w:r w:rsidRPr="00306051">
              <w:rPr>
                <w:rFonts w:ascii="Times New Roman" w:hAnsi="Times New Roman" w:cs="Times New Roman"/>
                <w:b/>
                <w:bCs/>
                <w:sz w:val="24"/>
                <w:szCs w:val="24"/>
              </w:rPr>
              <w:t>GS-01-934</w:t>
            </w:r>
          </w:p>
          <w:p w14:paraId="72E3AF0E" w14:textId="77777777" w:rsidR="000A3F61" w:rsidRPr="00306051" w:rsidRDefault="000A3F61" w:rsidP="00696E13">
            <w:pPr>
              <w:snapToGrid w:val="0"/>
            </w:pPr>
            <w:r w:rsidRPr="00306051">
              <w:rPr>
                <w:rFonts w:ascii="Times New Roman" w:hAnsi="Times New Roman" w:cs="Times New Roman"/>
                <w:b/>
                <w:bCs/>
                <w:sz w:val="24"/>
                <w:szCs w:val="24"/>
              </w:rPr>
              <w:t xml:space="preserve">144 </w:t>
            </w:r>
            <w:r w:rsidRPr="00306051">
              <w:rPr>
                <w:rFonts w:ascii="Times New Roman" w:hAnsi="Times New Roman" w:cs="Times New Roman"/>
                <w:b/>
                <w:bCs/>
                <w:sz w:val="24"/>
                <w:szCs w:val="24"/>
                <w:lang w:val="kk-KZ"/>
              </w:rPr>
              <w:t>апта бойы емдеу</w:t>
            </w:r>
          </w:p>
        </w:tc>
      </w:tr>
      <w:tr w:rsidR="000A3F61" w:rsidRPr="00306051" w14:paraId="1D759688" w14:textId="77777777" w:rsidTr="000A3F61">
        <w:tblPrEx>
          <w:tblCellMar>
            <w:top w:w="30" w:type="dxa"/>
            <w:left w:w="30" w:type="dxa"/>
            <w:bottom w:w="30" w:type="dxa"/>
            <w:right w:w="30" w:type="dxa"/>
          </w:tblCellMar>
        </w:tblPrEx>
        <w:tc>
          <w:tcPr>
            <w:tcW w:w="1266" w:type="pct"/>
            <w:shd w:val="clear" w:color="auto" w:fill="FFFFFF"/>
          </w:tcPr>
          <w:p w14:paraId="085BC600" w14:textId="77777777" w:rsidR="00607595" w:rsidRPr="00306051" w:rsidRDefault="00607595" w:rsidP="00696E13">
            <w:pPr>
              <w:snapToGrid w:val="0"/>
              <w:spacing w:after="0" w:line="100" w:lineRule="atLeast"/>
              <w:jc w:val="both"/>
              <w:rPr>
                <w:rFonts w:ascii="Times New Roman" w:eastAsia="Times New Roman" w:hAnsi="Times New Roman" w:cs="Times New Roman"/>
                <w:sz w:val="24"/>
                <w:szCs w:val="24"/>
              </w:rPr>
            </w:pPr>
          </w:p>
        </w:tc>
        <w:tc>
          <w:tcPr>
            <w:tcW w:w="989" w:type="pct"/>
            <w:shd w:val="clear" w:color="auto" w:fill="FFFFFF"/>
          </w:tcPr>
          <w:p w14:paraId="43C79D0E" w14:textId="77777777" w:rsidR="00607595" w:rsidRPr="00306051" w:rsidRDefault="00607595" w:rsidP="00696E13">
            <w:pPr>
              <w:spacing w:after="0" w:line="100" w:lineRule="atLeast"/>
              <w:jc w:val="center"/>
              <w:rPr>
                <w:rFonts w:ascii="Times New Roman" w:hAnsi="Times New Roman" w:cs="Times New Roman"/>
                <w:sz w:val="24"/>
                <w:szCs w:val="24"/>
              </w:rPr>
            </w:pPr>
            <w:proofErr w:type="spellStart"/>
            <w:r w:rsidRPr="00306051">
              <w:rPr>
                <w:rFonts w:ascii="Times New Roman" w:hAnsi="Times New Roman" w:cs="Times New Roman"/>
                <w:sz w:val="24"/>
                <w:szCs w:val="24"/>
              </w:rPr>
              <w:t>Эмтрицитабин</w:t>
            </w:r>
            <w:proofErr w:type="spellEnd"/>
            <w:r w:rsidRPr="00306051">
              <w:rPr>
                <w:rFonts w:ascii="Times New Roman" w:hAnsi="Times New Roman" w:cs="Times New Roman"/>
                <w:sz w:val="24"/>
                <w:szCs w:val="24"/>
              </w:rPr>
              <w:t xml:space="preserve"> + </w:t>
            </w: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xml:space="preserve"> + </w:t>
            </w:r>
            <w:proofErr w:type="spellStart"/>
            <w:r w:rsidRPr="00306051">
              <w:rPr>
                <w:rFonts w:ascii="Times New Roman" w:hAnsi="Times New Roman" w:cs="Times New Roman"/>
                <w:sz w:val="24"/>
                <w:szCs w:val="24"/>
              </w:rPr>
              <w:t>эфавиренз</w:t>
            </w:r>
            <w:proofErr w:type="spellEnd"/>
          </w:p>
        </w:tc>
        <w:tc>
          <w:tcPr>
            <w:tcW w:w="826" w:type="pct"/>
            <w:shd w:val="clear" w:color="auto" w:fill="FFFFFF"/>
          </w:tcPr>
          <w:p w14:paraId="5BE0FE9F" w14:textId="77777777" w:rsidR="00607595" w:rsidRPr="00306051" w:rsidRDefault="00607595" w:rsidP="00696E13">
            <w:pPr>
              <w:spacing w:after="0" w:line="100" w:lineRule="atLeast"/>
              <w:jc w:val="center"/>
              <w:rPr>
                <w:rFonts w:ascii="Times New Roman" w:hAnsi="Times New Roman" w:cs="Times New Roman"/>
                <w:sz w:val="24"/>
                <w:szCs w:val="24"/>
              </w:rPr>
            </w:pPr>
            <w:proofErr w:type="spellStart"/>
            <w:r w:rsidRPr="00306051">
              <w:rPr>
                <w:rFonts w:ascii="Times New Roman" w:hAnsi="Times New Roman" w:cs="Times New Roman"/>
                <w:sz w:val="24"/>
                <w:szCs w:val="24"/>
              </w:rPr>
              <w:t>Ламивудин</w:t>
            </w:r>
            <w:proofErr w:type="spellEnd"/>
            <w:r w:rsidRPr="00306051">
              <w:rPr>
                <w:rFonts w:ascii="Times New Roman" w:hAnsi="Times New Roman" w:cs="Times New Roman"/>
                <w:sz w:val="24"/>
                <w:szCs w:val="24"/>
              </w:rPr>
              <w:t xml:space="preserve"> + </w:t>
            </w:r>
            <w:proofErr w:type="spellStart"/>
            <w:r w:rsidRPr="00306051">
              <w:rPr>
                <w:rFonts w:ascii="Times New Roman" w:hAnsi="Times New Roman" w:cs="Times New Roman"/>
                <w:sz w:val="24"/>
                <w:szCs w:val="24"/>
              </w:rPr>
              <w:t>зидовудин</w:t>
            </w:r>
            <w:proofErr w:type="spellEnd"/>
            <w:r w:rsidRPr="00306051">
              <w:rPr>
                <w:rFonts w:ascii="Times New Roman" w:hAnsi="Times New Roman" w:cs="Times New Roman"/>
                <w:sz w:val="24"/>
                <w:szCs w:val="24"/>
              </w:rPr>
              <w:t xml:space="preserve"> + </w:t>
            </w:r>
            <w:proofErr w:type="spellStart"/>
            <w:r w:rsidRPr="00306051">
              <w:rPr>
                <w:rFonts w:ascii="Times New Roman" w:hAnsi="Times New Roman" w:cs="Times New Roman"/>
                <w:sz w:val="24"/>
                <w:szCs w:val="24"/>
              </w:rPr>
              <w:t>эфавиренз</w:t>
            </w:r>
            <w:proofErr w:type="spellEnd"/>
          </w:p>
        </w:tc>
        <w:tc>
          <w:tcPr>
            <w:tcW w:w="1049" w:type="pct"/>
            <w:shd w:val="clear" w:color="auto" w:fill="FFFFFF"/>
          </w:tcPr>
          <w:p w14:paraId="6195001D" w14:textId="77777777" w:rsidR="00607595" w:rsidRPr="00306051" w:rsidRDefault="00607595" w:rsidP="00696E13">
            <w:pPr>
              <w:spacing w:after="0" w:line="100" w:lineRule="atLeast"/>
              <w:jc w:val="center"/>
              <w:rPr>
                <w:rFonts w:ascii="Times New Roman" w:hAnsi="Times New Roman" w:cs="Times New Roman"/>
                <w:sz w:val="24"/>
                <w:szCs w:val="24"/>
              </w:rPr>
            </w:pPr>
            <w:proofErr w:type="spellStart"/>
            <w:r w:rsidRPr="00306051">
              <w:rPr>
                <w:rFonts w:ascii="Times New Roman" w:hAnsi="Times New Roman" w:cs="Times New Roman"/>
                <w:sz w:val="24"/>
                <w:szCs w:val="24"/>
              </w:rPr>
              <w:t>Эмтрицитабин</w:t>
            </w:r>
            <w:proofErr w:type="spellEnd"/>
            <w:r w:rsidRPr="00306051">
              <w:rPr>
                <w:rFonts w:ascii="Times New Roman" w:hAnsi="Times New Roman" w:cs="Times New Roman"/>
                <w:sz w:val="24"/>
                <w:szCs w:val="24"/>
              </w:rPr>
              <w:t xml:space="preserve"> + </w:t>
            </w: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xml:space="preserve"> + </w:t>
            </w:r>
            <w:proofErr w:type="spellStart"/>
            <w:r w:rsidRPr="00306051">
              <w:rPr>
                <w:rFonts w:ascii="Times New Roman" w:hAnsi="Times New Roman" w:cs="Times New Roman"/>
                <w:sz w:val="24"/>
                <w:szCs w:val="24"/>
              </w:rPr>
              <w:t>эфавиренз</w:t>
            </w:r>
            <w:proofErr w:type="spellEnd"/>
            <w:r w:rsidRPr="00306051">
              <w:rPr>
                <w:rFonts w:ascii="Times New Roman" w:hAnsi="Times New Roman" w:cs="Times New Roman"/>
                <w:sz w:val="24"/>
                <w:szCs w:val="24"/>
              </w:rPr>
              <w:t>*</w:t>
            </w:r>
          </w:p>
        </w:tc>
        <w:tc>
          <w:tcPr>
            <w:tcW w:w="870" w:type="pct"/>
            <w:shd w:val="clear" w:color="auto" w:fill="FFFFFF"/>
          </w:tcPr>
          <w:p w14:paraId="2C323705" w14:textId="77777777" w:rsidR="00607595" w:rsidRPr="00306051" w:rsidRDefault="00607595" w:rsidP="00696E13">
            <w:pPr>
              <w:spacing w:after="0" w:line="100" w:lineRule="atLeast"/>
              <w:jc w:val="center"/>
            </w:pPr>
            <w:proofErr w:type="spellStart"/>
            <w:r w:rsidRPr="00306051">
              <w:rPr>
                <w:rFonts w:ascii="Times New Roman" w:hAnsi="Times New Roman" w:cs="Times New Roman"/>
                <w:sz w:val="24"/>
                <w:szCs w:val="24"/>
              </w:rPr>
              <w:t>Ламивудин</w:t>
            </w:r>
            <w:proofErr w:type="spellEnd"/>
            <w:r w:rsidRPr="00306051">
              <w:rPr>
                <w:rFonts w:ascii="Times New Roman" w:hAnsi="Times New Roman" w:cs="Times New Roman"/>
                <w:sz w:val="24"/>
                <w:szCs w:val="24"/>
              </w:rPr>
              <w:t xml:space="preserve"> + </w:t>
            </w:r>
            <w:proofErr w:type="spellStart"/>
            <w:r w:rsidRPr="00306051">
              <w:rPr>
                <w:rFonts w:ascii="Times New Roman" w:hAnsi="Times New Roman" w:cs="Times New Roman"/>
                <w:sz w:val="24"/>
                <w:szCs w:val="24"/>
              </w:rPr>
              <w:t>зидовудин</w:t>
            </w:r>
            <w:proofErr w:type="spellEnd"/>
            <w:r w:rsidRPr="00306051">
              <w:rPr>
                <w:rFonts w:ascii="Times New Roman" w:hAnsi="Times New Roman" w:cs="Times New Roman"/>
                <w:sz w:val="24"/>
                <w:szCs w:val="24"/>
              </w:rPr>
              <w:t xml:space="preserve"> + </w:t>
            </w:r>
            <w:proofErr w:type="spellStart"/>
            <w:r w:rsidRPr="00306051">
              <w:rPr>
                <w:rFonts w:ascii="Times New Roman" w:hAnsi="Times New Roman" w:cs="Times New Roman"/>
                <w:sz w:val="24"/>
                <w:szCs w:val="24"/>
              </w:rPr>
              <w:t>эфавиренз</w:t>
            </w:r>
            <w:proofErr w:type="spellEnd"/>
          </w:p>
        </w:tc>
      </w:tr>
      <w:tr w:rsidR="000A3F61" w:rsidRPr="00306051" w14:paraId="3565D084" w14:textId="77777777" w:rsidTr="000A3F61">
        <w:tblPrEx>
          <w:tblCellMar>
            <w:top w:w="30" w:type="dxa"/>
            <w:left w:w="30" w:type="dxa"/>
            <w:bottom w:w="30" w:type="dxa"/>
            <w:right w:w="30" w:type="dxa"/>
          </w:tblCellMar>
        </w:tblPrEx>
        <w:tc>
          <w:tcPr>
            <w:tcW w:w="1266" w:type="pct"/>
            <w:shd w:val="clear" w:color="auto" w:fill="FFFFFF"/>
          </w:tcPr>
          <w:p w14:paraId="431C9F78" w14:textId="77777777" w:rsidR="00607595" w:rsidRPr="00306051" w:rsidRDefault="00607595" w:rsidP="00696E13">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АИТВ-1 РН</w:t>
            </w:r>
            <w:r w:rsidRPr="00306051">
              <w:rPr>
                <w:rFonts w:ascii="Times New Roman" w:hAnsi="Times New Roman" w:cs="Times New Roman"/>
                <w:sz w:val="24"/>
                <w:szCs w:val="24"/>
                <w:lang w:val="kk-KZ"/>
              </w:rPr>
              <w:t>Қ</w:t>
            </w:r>
            <w:r w:rsidRPr="00306051">
              <w:rPr>
                <w:rFonts w:ascii="Times New Roman" w:hAnsi="Times New Roman" w:cs="Times New Roman"/>
                <w:sz w:val="24"/>
                <w:szCs w:val="24"/>
              </w:rPr>
              <w:t xml:space="preserve"> &lt; 400 </w:t>
            </w:r>
            <w:proofErr w:type="spellStart"/>
            <w:r w:rsidRPr="00306051">
              <w:rPr>
                <w:rFonts w:ascii="Times New Roman" w:hAnsi="Times New Roman" w:cs="Times New Roman"/>
                <w:sz w:val="24"/>
                <w:szCs w:val="24"/>
              </w:rPr>
              <w:t>көшірме</w:t>
            </w:r>
            <w:proofErr w:type="spellEnd"/>
            <w:r w:rsidRPr="00306051">
              <w:rPr>
                <w:rFonts w:ascii="Times New Roman" w:hAnsi="Times New Roman" w:cs="Times New Roman"/>
                <w:sz w:val="24"/>
                <w:szCs w:val="24"/>
              </w:rPr>
              <w:t>/мл (TLOVR)</w:t>
            </w:r>
          </w:p>
        </w:tc>
        <w:tc>
          <w:tcPr>
            <w:tcW w:w="989" w:type="pct"/>
            <w:shd w:val="clear" w:color="auto" w:fill="FFFFFF"/>
          </w:tcPr>
          <w:p w14:paraId="3C1EA40C" w14:textId="77777777" w:rsidR="00607595" w:rsidRPr="00306051" w:rsidRDefault="00607595"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84% (206/244)</w:t>
            </w:r>
          </w:p>
        </w:tc>
        <w:tc>
          <w:tcPr>
            <w:tcW w:w="826" w:type="pct"/>
            <w:shd w:val="clear" w:color="auto" w:fill="FFFFFF"/>
          </w:tcPr>
          <w:p w14:paraId="7E8837F2" w14:textId="77777777" w:rsidR="00607595" w:rsidRPr="00306051" w:rsidRDefault="00607595"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73% (177/243)</w:t>
            </w:r>
          </w:p>
        </w:tc>
        <w:tc>
          <w:tcPr>
            <w:tcW w:w="1049" w:type="pct"/>
            <w:shd w:val="clear" w:color="auto" w:fill="FFFFFF"/>
          </w:tcPr>
          <w:p w14:paraId="4AD74C14" w14:textId="77777777" w:rsidR="00607595" w:rsidRPr="00306051" w:rsidRDefault="00607595"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71% (161/227)</w:t>
            </w:r>
          </w:p>
        </w:tc>
        <w:tc>
          <w:tcPr>
            <w:tcW w:w="870" w:type="pct"/>
            <w:shd w:val="clear" w:color="auto" w:fill="FFFFFF"/>
          </w:tcPr>
          <w:p w14:paraId="408E7D32" w14:textId="77777777" w:rsidR="00607595" w:rsidRPr="00306051" w:rsidRDefault="00607595" w:rsidP="00696E13">
            <w:pPr>
              <w:spacing w:after="0" w:line="100" w:lineRule="atLeast"/>
              <w:jc w:val="center"/>
            </w:pPr>
            <w:r w:rsidRPr="00306051">
              <w:rPr>
                <w:rFonts w:ascii="Times New Roman" w:hAnsi="Times New Roman" w:cs="Times New Roman"/>
                <w:sz w:val="24"/>
                <w:szCs w:val="24"/>
              </w:rPr>
              <w:t>58% (133/229)</w:t>
            </w:r>
          </w:p>
        </w:tc>
      </w:tr>
      <w:tr w:rsidR="000A3F61" w:rsidRPr="00306051" w14:paraId="3DBC6CE6" w14:textId="77777777" w:rsidTr="000A3F61">
        <w:tc>
          <w:tcPr>
            <w:tcW w:w="1266" w:type="pct"/>
            <w:shd w:val="clear" w:color="auto" w:fill="FFFFFF"/>
          </w:tcPr>
          <w:p w14:paraId="1DFD1A44" w14:textId="77777777" w:rsidR="000A3F61" w:rsidRPr="00306051" w:rsidRDefault="000A3F61" w:rsidP="00696E13">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p-</w:t>
            </w:r>
            <w:r w:rsidRPr="00306051">
              <w:rPr>
                <w:rFonts w:ascii="Times New Roman" w:hAnsi="Times New Roman" w:cs="Times New Roman"/>
                <w:sz w:val="24"/>
                <w:szCs w:val="24"/>
                <w:lang w:val="kk-KZ"/>
              </w:rPr>
              <w:t>мәні</w:t>
            </w:r>
          </w:p>
        </w:tc>
        <w:tc>
          <w:tcPr>
            <w:tcW w:w="1815" w:type="pct"/>
            <w:gridSpan w:val="2"/>
            <w:shd w:val="clear" w:color="auto" w:fill="FFFFFF"/>
          </w:tcPr>
          <w:p w14:paraId="11E57308" w14:textId="77777777" w:rsidR="000A3F61" w:rsidRPr="00306051" w:rsidRDefault="000A3F61"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0,002**</w:t>
            </w:r>
          </w:p>
        </w:tc>
        <w:tc>
          <w:tcPr>
            <w:tcW w:w="1919" w:type="pct"/>
            <w:gridSpan w:val="2"/>
            <w:shd w:val="clear" w:color="auto" w:fill="FFFFFF"/>
          </w:tcPr>
          <w:p w14:paraId="2A7AA298" w14:textId="77777777" w:rsidR="000A3F61" w:rsidRPr="00306051" w:rsidRDefault="000A3F61" w:rsidP="00E5133F">
            <w:pPr>
              <w:snapToGrid w:val="0"/>
              <w:jc w:val="center"/>
            </w:pPr>
            <w:r w:rsidRPr="00306051">
              <w:rPr>
                <w:rFonts w:ascii="Times New Roman" w:hAnsi="Times New Roman" w:cs="Times New Roman"/>
                <w:sz w:val="24"/>
                <w:szCs w:val="24"/>
              </w:rPr>
              <w:t>0,004**</w:t>
            </w:r>
          </w:p>
        </w:tc>
      </w:tr>
      <w:tr w:rsidR="000A3F61" w:rsidRPr="00306051" w14:paraId="4958D9B4" w14:textId="77777777" w:rsidTr="000A3F61">
        <w:tc>
          <w:tcPr>
            <w:tcW w:w="1266" w:type="pct"/>
            <w:shd w:val="clear" w:color="auto" w:fill="FFFFFF"/>
          </w:tcPr>
          <w:p w14:paraId="00AA7891" w14:textId="77777777" w:rsidR="000A3F61" w:rsidRPr="00306051" w:rsidRDefault="000A3F61" w:rsidP="00696E13">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 (</w:t>
            </w:r>
            <w:r w:rsidRPr="00306051">
              <w:rPr>
                <w:rFonts w:ascii="Times New Roman" w:hAnsi="Times New Roman" w:cs="Times New Roman"/>
                <w:sz w:val="24"/>
                <w:szCs w:val="24"/>
                <w:lang w:val="kk-KZ"/>
              </w:rPr>
              <w:t>СА</w:t>
            </w:r>
            <w:r w:rsidRPr="00306051">
              <w:rPr>
                <w:rFonts w:ascii="Times New Roman" w:hAnsi="Times New Roman" w:cs="Times New Roman"/>
                <w:sz w:val="24"/>
                <w:szCs w:val="24"/>
              </w:rPr>
              <w:t xml:space="preserve"> – 95%:</w:t>
            </w:r>
          </w:p>
        </w:tc>
        <w:tc>
          <w:tcPr>
            <w:tcW w:w="1815" w:type="pct"/>
            <w:gridSpan w:val="2"/>
            <w:shd w:val="clear" w:color="auto" w:fill="FFFFFF"/>
          </w:tcPr>
          <w:p w14:paraId="26E01151" w14:textId="77777777" w:rsidR="000A3F61" w:rsidRPr="00306051" w:rsidRDefault="000A3F61"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11% (4%</w:t>
            </w:r>
            <w:r w:rsidRPr="00306051">
              <w:rPr>
                <w:rFonts w:ascii="Times New Roman" w:hAnsi="Times New Roman" w:cs="Times New Roman"/>
                <w:sz w:val="24"/>
                <w:szCs w:val="24"/>
                <w:lang w:val="kk-KZ"/>
              </w:rPr>
              <w:t>-</w:t>
            </w:r>
            <w:r w:rsidRPr="00306051">
              <w:rPr>
                <w:rFonts w:ascii="Times New Roman" w:hAnsi="Times New Roman" w:cs="Times New Roman"/>
                <w:sz w:val="24"/>
                <w:szCs w:val="24"/>
              </w:rPr>
              <w:t>д</w:t>
            </w:r>
            <w:r w:rsidRPr="00306051">
              <w:rPr>
                <w:rFonts w:ascii="Times New Roman" w:hAnsi="Times New Roman" w:cs="Times New Roman"/>
                <w:sz w:val="24"/>
                <w:szCs w:val="24"/>
                <w:lang w:val="kk-KZ"/>
              </w:rPr>
              <w:t>ан</w:t>
            </w:r>
            <w:r w:rsidRPr="00306051">
              <w:rPr>
                <w:rFonts w:ascii="Times New Roman" w:hAnsi="Times New Roman" w:cs="Times New Roman"/>
                <w:sz w:val="24"/>
                <w:szCs w:val="24"/>
              </w:rPr>
              <w:t xml:space="preserve"> 19%</w:t>
            </w:r>
            <w:r w:rsidRPr="00306051">
              <w:rPr>
                <w:rFonts w:ascii="Times New Roman" w:hAnsi="Times New Roman" w:cs="Times New Roman"/>
                <w:sz w:val="24"/>
                <w:szCs w:val="24"/>
                <w:lang w:val="kk-KZ"/>
              </w:rPr>
              <w:t>-ға дейін</w:t>
            </w:r>
            <w:r w:rsidRPr="00306051">
              <w:rPr>
                <w:rFonts w:ascii="Times New Roman" w:hAnsi="Times New Roman" w:cs="Times New Roman"/>
                <w:sz w:val="24"/>
                <w:szCs w:val="24"/>
              </w:rPr>
              <w:t>)</w:t>
            </w:r>
          </w:p>
        </w:tc>
        <w:tc>
          <w:tcPr>
            <w:tcW w:w="1919" w:type="pct"/>
            <w:gridSpan w:val="2"/>
            <w:shd w:val="clear" w:color="auto" w:fill="FFFFFF"/>
          </w:tcPr>
          <w:p w14:paraId="7D052491" w14:textId="77777777" w:rsidR="000A3F61" w:rsidRPr="00306051" w:rsidRDefault="000A3F61" w:rsidP="00E5133F">
            <w:pPr>
              <w:snapToGrid w:val="0"/>
              <w:jc w:val="center"/>
            </w:pPr>
            <w:r w:rsidRPr="00306051">
              <w:rPr>
                <w:rFonts w:ascii="Times New Roman" w:hAnsi="Times New Roman" w:cs="Times New Roman"/>
                <w:sz w:val="24"/>
                <w:szCs w:val="24"/>
              </w:rPr>
              <w:t>13% (4%</w:t>
            </w:r>
            <w:r w:rsidRPr="00306051">
              <w:rPr>
                <w:rFonts w:ascii="Times New Roman" w:hAnsi="Times New Roman" w:cs="Times New Roman"/>
                <w:sz w:val="24"/>
                <w:szCs w:val="24"/>
                <w:lang w:val="kk-KZ"/>
              </w:rPr>
              <w:t>-</w:t>
            </w:r>
            <w:r w:rsidRPr="00306051">
              <w:rPr>
                <w:rFonts w:ascii="Times New Roman" w:hAnsi="Times New Roman" w:cs="Times New Roman"/>
                <w:sz w:val="24"/>
                <w:szCs w:val="24"/>
              </w:rPr>
              <w:t>д</w:t>
            </w:r>
            <w:r w:rsidRPr="00306051">
              <w:rPr>
                <w:rFonts w:ascii="Times New Roman" w:hAnsi="Times New Roman" w:cs="Times New Roman"/>
                <w:sz w:val="24"/>
                <w:szCs w:val="24"/>
                <w:lang w:val="kk-KZ"/>
              </w:rPr>
              <w:t>ан</w:t>
            </w:r>
            <w:r w:rsidRPr="00306051">
              <w:rPr>
                <w:rFonts w:ascii="Times New Roman" w:hAnsi="Times New Roman" w:cs="Times New Roman"/>
                <w:sz w:val="24"/>
                <w:szCs w:val="24"/>
              </w:rPr>
              <w:t xml:space="preserve"> 22%</w:t>
            </w:r>
            <w:r w:rsidRPr="00306051">
              <w:rPr>
                <w:rFonts w:ascii="Times New Roman" w:hAnsi="Times New Roman" w:cs="Times New Roman"/>
                <w:sz w:val="24"/>
                <w:szCs w:val="24"/>
                <w:lang w:val="kk-KZ"/>
              </w:rPr>
              <w:t>-ға дейін</w:t>
            </w:r>
            <w:r w:rsidRPr="00306051">
              <w:rPr>
                <w:rFonts w:ascii="Times New Roman" w:hAnsi="Times New Roman" w:cs="Times New Roman"/>
                <w:sz w:val="24"/>
                <w:szCs w:val="24"/>
              </w:rPr>
              <w:t>)</w:t>
            </w:r>
          </w:p>
        </w:tc>
      </w:tr>
      <w:tr w:rsidR="000A3F61" w:rsidRPr="00306051" w14:paraId="502B0DE1" w14:textId="77777777" w:rsidTr="000A3F61">
        <w:tblPrEx>
          <w:tblCellMar>
            <w:top w:w="30" w:type="dxa"/>
            <w:left w:w="30" w:type="dxa"/>
            <w:bottom w:w="30" w:type="dxa"/>
            <w:right w:w="30" w:type="dxa"/>
          </w:tblCellMar>
        </w:tblPrEx>
        <w:tc>
          <w:tcPr>
            <w:tcW w:w="1266" w:type="pct"/>
            <w:shd w:val="clear" w:color="auto" w:fill="FFFFFF"/>
          </w:tcPr>
          <w:p w14:paraId="70A4BCC2" w14:textId="77777777" w:rsidR="00607595" w:rsidRPr="00306051" w:rsidRDefault="00607595" w:rsidP="00696E13">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АИТВ-1 РН</w:t>
            </w:r>
            <w:r w:rsidRPr="00306051">
              <w:rPr>
                <w:rFonts w:ascii="Times New Roman" w:hAnsi="Times New Roman" w:cs="Times New Roman"/>
                <w:sz w:val="24"/>
                <w:szCs w:val="24"/>
                <w:lang w:val="kk-KZ"/>
              </w:rPr>
              <w:t>Қ</w:t>
            </w:r>
            <w:r w:rsidRPr="00306051">
              <w:rPr>
                <w:rFonts w:ascii="Times New Roman" w:hAnsi="Times New Roman" w:cs="Times New Roman"/>
                <w:sz w:val="24"/>
                <w:szCs w:val="24"/>
              </w:rPr>
              <w:t xml:space="preserve"> &lt; 50 </w:t>
            </w:r>
            <w:proofErr w:type="spellStart"/>
            <w:r w:rsidRPr="00306051">
              <w:rPr>
                <w:rFonts w:ascii="Times New Roman" w:hAnsi="Times New Roman" w:cs="Times New Roman"/>
                <w:sz w:val="24"/>
                <w:szCs w:val="24"/>
              </w:rPr>
              <w:t>көшірме</w:t>
            </w:r>
            <w:proofErr w:type="spellEnd"/>
            <w:r w:rsidRPr="00306051">
              <w:rPr>
                <w:rFonts w:ascii="Times New Roman" w:hAnsi="Times New Roman" w:cs="Times New Roman"/>
                <w:sz w:val="24"/>
                <w:szCs w:val="24"/>
              </w:rPr>
              <w:t>/мл (TLOVR)</w:t>
            </w:r>
          </w:p>
        </w:tc>
        <w:tc>
          <w:tcPr>
            <w:tcW w:w="989" w:type="pct"/>
            <w:shd w:val="clear" w:color="auto" w:fill="FFFFFF"/>
          </w:tcPr>
          <w:p w14:paraId="7AEA4DAB" w14:textId="77777777" w:rsidR="00607595" w:rsidRPr="00306051" w:rsidRDefault="00607595"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80% (194/244)</w:t>
            </w:r>
          </w:p>
        </w:tc>
        <w:tc>
          <w:tcPr>
            <w:tcW w:w="826" w:type="pct"/>
            <w:shd w:val="clear" w:color="auto" w:fill="FFFFFF"/>
          </w:tcPr>
          <w:p w14:paraId="09B2883E" w14:textId="77777777" w:rsidR="00607595" w:rsidRPr="00306051" w:rsidRDefault="00607595"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70% (171/243)</w:t>
            </w:r>
          </w:p>
        </w:tc>
        <w:tc>
          <w:tcPr>
            <w:tcW w:w="1049" w:type="pct"/>
            <w:shd w:val="clear" w:color="auto" w:fill="FFFFFF"/>
          </w:tcPr>
          <w:p w14:paraId="21217463" w14:textId="77777777" w:rsidR="00607595" w:rsidRPr="00306051" w:rsidRDefault="00607595"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64% (146/227)</w:t>
            </w:r>
          </w:p>
        </w:tc>
        <w:tc>
          <w:tcPr>
            <w:tcW w:w="870" w:type="pct"/>
            <w:shd w:val="clear" w:color="auto" w:fill="FFFFFF"/>
          </w:tcPr>
          <w:p w14:paraId="1B7AC6D8" w14:textId="77777777" w:rsidR="00607595" w:rsidRPr="00306051" w:rsidRDefault="00607595" w:rsidP="00696E13">
            <w:pPr>
              <w:spacing w:after="0" w:line="100" w:lineRule="atLeast"/>
              <w:jc w:val="center"/>
            </w:pPr>
            <w:r w:rsidRPr="00306051">
              <w:rPr>
                <w:rFonts w:ascii="Times New Roman" w:hAnsi="Times New Roman" w:cs="Times New Roman"/>
                <w:sz w:val="24"/>
                <w:szCs w:val="24"/>
              </w:rPr>
              <w:t>56% (130/231)</w:t>
            </w:r>
          </w:p>
        </w:tc>
      </w:tr>
      <w:tr w:rsidR="000A3F61" w:rsidRPr="00306051" w14:paraId="58861BE6" w14:textId="77777777" w:rsidTr="000A3F61">
        <w:tc>
          <w:tcPr>
            <w:tcW w:w="1266" w:type="pct"/>
            <w:shd w:val="clear" w:color="auto" w:fill="FFFFFF"/>
          </w:tcPr>
          <w:p w14:paraId="1EC06089" w14:textId="77777777" w:rsidR="000A3F61" w:rsidRPr="00306051" w:rsidRDefault="000A3F61" w:rsidP="00696E13">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p-</w:t>
            </w:r>
            <w:r w:rsidRPr="00306051">
              <w:rPr>
                <w:rFonts w:ascii="Times New Roman" w:hAnsi="Times New Roman" w:cs="Times New Roman"/>
                <w:sz w:val="24"/>
                <w:szCs w:val="24"/>
                <w:lang w:val="kk-KZ"/>
              </w:rPr>
              <w:t>мәні</w:t>
            </w:r>
          </w:p>
        </w:tc>
        <w:tc>
          <w:tcPr>
            <w:tcW w:w="1815" w:type="pct"/>
            <w:gridSpan w:val="2"/>
            <w:shd w:val="clear" w:color="auto" w:fill="FFFFFF"/>
          </w:tcPr>
          <w:p w14:paraId="55441B8B" w14:textId="77777777" w:rsidR="000A3F61" w:rsidRPr="00306051" w:rsidRDefault="000A3F61"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0,021**</w:t>
            </w:r>
          </w:p>
        </w:tc>
        <w:tc>
          <w:tcPr>
            <w:tcW w:w="1919" w:type="pct"/>
            <w:gridSpan w:val="2"/>
            <w:shd w:val="clear" w:color="auto" w:fill="FFFFFF"/>
          </w:tcPr>
          <w:p w14:paraId="30E1910B" w14:textId="77777777" w:rsidR="000A3F61" w:rsidRPr="00306051" w:rsidRDefault="000A3F61" w:rsidP="00696E13">
            <w:pPr>
              <w:snapToGrid w:val="0"/>
            </w:pPr>
            <w:r w:rsidRPr="00306051">
              <w:rPr>
                <w:rFonts w:ascii="Times New Roman" w:hAnsi="Times New Roman" w:cs="Times New Roman"/>
                <w:sz w:val="24"/>
                <w:szCs w:val="24"/>
              </w:rPr>
              <w:t>0,082**</w:t>
            </w:r>
          </w:p>
        </w:tc>
      </w:tr>
      <w:tr w:rsidR="000A3F61" w:rsidRPr="00306051" w14:paraId="1DAAE205" w14:textId="77777777" w:rsidTr="000A3F61">
        <w:tc>
          <w:tcPr>
            <w:tcW w:w="1266" w:type="pct"/>
            <w:shd w:val="clear" w:color="auto" w:fill="FFFFFF"/>
          </w:tcPr>
          <w:p w14:paraId="2BE93CA5" w14:textId="77777777" w:rsidR="000A3F61" w:rsidRPr="00306051" w:rsidRDefault="000A3F61" w:rsidP="00696E13">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 (</w:t>
            </w:r>
            <w:r w:rsidRPr="00306051">
              <w:rPr>
                <w:rFonts w:ascii="Times New Roman" w:hAnsi="Times New Roman" w:cs="Times New Roman"/>
                <w:sz w:val="24"/>
                <w:szCs w:val="24"/>
                <w:lang w:val="kk-KZ"/>
              </w:rPr>
              <w:t>СА</w:t>
            </w:r>
            <w:r w:rsidRPr="00306051">
              <w:rPr>
                <w:rFonts w:ascii="Times New Roman" w:hAnsi="Times New Roman" w:cs="Times New Roman"/>
                <w:sz w:val="24"/>
                <w:szCs w:val="24"/>
              </w:rPr>
              <w:t xml:space="preserve"> – 95%:</w:t>
            </w:r>
          </w:p>
        </w:tc>
        <w:tc>
          <w:tcPr>
            <w:tcW w:w="1815" w:type="pct"/>
            <w:gridSpan w:val="2"/>
            <w:shd w:val="clear" w:color="auto" w:fill="FFFFFF"/>
          </w:tcPr>
          <w:p w14:paraId="2DC8439C" w14:textId="77777777" w:rsidR="000A3F61" w:rsidRPr="00306051" w:rsidRDefault="000A3F61"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9% (2%</w:t>
            </w:r>
            <w:r w:rsidRPr="00306051">
              <w:rPr>
                <w:rFonts w:ascii="Times New Roman" w:hAnsi="Times New Roman" w:cs="Times New Roman"/>
                <w:sz w:val="24"/>
                <w:szCs w:val="24"/>
                <w:lang w:val="kk-KZ"/>
              </w:rPr>
              <w:t>-</w:t>
            </w:r>
            <w:r w:rsidRPr="00306051">
              <w:rPr>
                <w:rFonts w:ascii="Times New Roman" w:hAnsi="Times New Roman" w:cs="Times New Roman"/>
                <w:sz w:val="24"/>
                <w:szCs w:val="24"/>
              </w:rPr>
              <w:t>д</w:t>
            </w:r>
            <w:r w:rsidRPr="00306051">
              <w:rPr>
                <w:rFonts w:ascii="Times New Roman" w:hAnsi="Times New Roman" w:cs="Times New Roman"/>
                <w:sz w:val="24"/>
                <w:szCs w:val="24"/>
                <w:lang w:val="kk-KZ"/>
              </w:rPr>
              <w:t>ан</w:t>
            </w:r>
            <w:r w:rsidRPr="00306051">
              <w:rPr>
                <w:rFonts w:ascii="Times New Roman" w:hAnsi="Times New Roman" w:cs="Times New Roman"/>
                <w:sz w:val="24"/>
                <w:szCs w:val="24"/>
              </w:rPr>
              <w:t xml:space="preserve"> 17%</w:t>
            </w:r>
            <w:r w:rsidRPr="00306051">
              <w:rPr>
                <w:rFonts w:ascii="Times New Roman" w:hAnsi="Times New Roman" w:cs="Times New Roman"/>
                <w:sz w:val="24"/>
                <w:szCs w:val="24"/>
                <w:lang w:val="kk-KZ"/>
              </w:rPr>
              <w:t>-ға дейін</w:t>
            </w:r>
            <w:r w:rsidRPr="00306051">
              <w:rPr>
                <w:rFonts w:ascii="Times New Roman" w:hAnsi="Times New Roman" w:cs="Times New Roman"/>
                <w:sz w:val="24"/>
                <w:szCs w:val="24"/>
              </w:rPr>
              <w:t>)</w:t>
            </w:r>
          </w:p>
        </w:tc>
        <w:tc>
          <w:tcPr>
            <w:tcW w:w="1919" w:type="pct"/>
            <w:gridSpan w:val="2"/>
            <w:shd w:val="clear" w:color="auto" w:fill="FFFFFF"/>
          </w:tcPr>
          <w:p w14:paraId="76D67DF4" w14:textId="77777777" w:rsidR="000A3F61" w:rsidRPr="00306051" w:rsidRDefault="000A3F61" w:rsidP="00E5133F">
            <w:pPr>
              <w:snapToGrid w:val="0"/>
              <w:jc w:val="center"/>
            </w:pPr>
            <w:r w:rsidRPr="00306051">
              <w:rPr>
                <w:rFonts w:ascii="Times New Roman" w:hAnsi="Times New Roman" w:cs="Times New Roman"/>
                <w:sz w:val="24"/>
                <w:szCs w:val="24"/>
              </w:rPr>
              <w:t>8% ( -1%</w:t>
            </w:r>
            <w:r w:rsidRPr="00306051">
              <w:rPr>
                <w:rFonts w:ascii="Times New Roman" w:hAnsi="Times New Roman" w:cs="Times New Roman"/>
                <w:sz w:val="24"/>
                <w:szCs w:val="24"/>
                <w:lang w:val="kk-KZ"/>
              </w:rPr>
              <w:t>-</w:t>
            </w:r>
            <w:r w:rsidRPr="00306051">
              <w:rPr>
                <w:rFonts w:ascii="Times New Roman" w:hAnsi="Times New Roman" w:cs="Times New Roman"/>
                <w:sz w:val="24"/>
                <w:szCs w:val="24"/>
              </w:rPr>
              <w:t>д</w:t>
            </w:r>
            <w:r w:rsidRPr="00306051">
              <w:rPr>
                <w:rFonts w:ascii="Times New Roman" w:hAnsi="Times New Roman" w:cs="Times New Roman"/>
                <w:sz w:val="24"/>
                <w:szCs w:val="24"/>
                <w:lang w:val="kk-KZ"/>
              </w:rPr>
              <w:t>ан</w:t>
            </w:r>
            <w:r w:rsidRPr="00306051">
              <w:rPr>
                <w:rFonts w:ascii="Times New Roman" w:hAnsi="Times New Roman" w:cs="Times New Roman"/>
                <w:sz w:val="24"/>
                <w:szCs w:val="24"/>
              </w:rPr>
              <w:t xml:space="preserve"> 17%</w:t>
            </w:r>
            <w:r w:rsidRPr="00306051">
              <w:rPr>
                <w:rFonts w:ascii="Times New Roman" w:hAnsi="Times New Roman" w:cs="Times New Roman"/>
                <w:sz w:val="24"/>
                <w:szCs w:val="24"/>
                <w:lang w:val="kk-KZ"/>
              </w:rPr>
              <w:t>-ға дейін</w:t>
            </w:r>
            <w:r w:rsidRPr="00306051">
              <w:rPr>
                <w:rFonts w:ascii="Times New Roman" w:hAnsi="Times New Roman" w:cs="Times New Roman"/>
                <w:sz w:val="24"/>
                <w:szCs w:val="24"/>
              </w:rPr>
              <w:t>)</w:t>
            </w:r>
          </w:p>
        </w:tc>
      </w:tr>
      <w:tr w:rsidR="000A3F61" w:rsidRPr="00306051" w14:paraId="5084674C" w14:textId="77777777" w:rsidTr="000A3F61">
        <w:tblPrEx>
          <w:tblCellMar>
            <w:top w:w="30" w:type="dxa"/>
            <w:left w:w="30" w:type="dxa"/>
            <w:bottom w:w="30" w:type="dxa"/>
            <w:right w:w="30" w:type="dxa"/>
          </w:tblCellMar>
        </w:tblPrEx>
        <w:tc>
          <w:tcPr>
            <w:tcW w:w="1266" w:type="pct"/>
            <w:shd w:val="clear" w:color="auto" w:fill="FFFFFF"/>
          </w:tcPr>
          <w:p w14:paraId="3FAD8E57" w14:textId="77777777" w:rsidR="00607595" w:rsidRPr="00306051" w:rsidRDefault="00607595" w:rsidP="00696E13">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 xml:space="preserve">CD4 </w:t>
            </w:r>
            <w:r w:rsidRPr="00306051">
              <w:rPr>
                <w:rFonts w:ascii="Times New Roman" w:hAnsi="Times New Roman" w:cs="Times New Roman"/>
                <w:sz w:val="24"/>
                <w:szCs w:val="24"/>
                <w:lang w:val="kk-KZ"/>
              </w:rPr>
              <w:t xml:space="preserve">жасушалары санының </w:t>
            </w:r>
            <w:r w:rsidRPr="00306051">
              <w:rPr>
                <w:rFonts w:ascii="Times New Roman" w:hAnsi="Times New Roman" w:cs="Times New Roman"/>
                <w:sz w:val="24"/>
                <w:szCs w:val="24"/>
              </w:rPr>
              <w:t>(</w:t>
            </w:r>
            <w:r w:rsidRPr="00306051">
              <w:rPr>
                <w:rFonts w:ascii="Times New Roman" w:hAnsi="Times New Roman" w:cs="Times New Roman"/>
                <w:sz w:val="24"/>
                <w:szCs w:val="24"/>
                <w:lang w:val="kk-KZ"/>
              </w:rPr>
              <w:t>жасуша</w:t>
            </w:r>
            <w:r w:rsidRPr="00306051">
              <w:rPr>
                <w:rFonts w:ascii="Times New Roman" w:hAnsi="Times New Roman" w:cs="Times New Roman"/>
                <w:sz w:val="24"/>
                <w:szCs w:val="24"/>
              </w:rPr>
              <w:t>/мм</w:t>
            </w:r>
            <w:r w:rsidRPr="00306051">
              <w:rPr>
                <w:rFonts w:ascii="Times New Roman" w:hAnsi="Times New Roman" w:cs="Times New Roman"/>
                <w:sz w:val="24"/>
                <w:szCs w:val="24"/>
                <w:vertAlign w:val="superscript"/>
              </w:rPr>
              <w:t>3</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бастапқы деңгейінен орташа өзгерісі</w:t>
            </w:r>
          </w:p>
        </w:tc>
        <w:tc>
          <w:tcPr>
            <w:tcW w:w="989" w:type="pct"/>
            <w:shd w:val="clear" w:color="auto" w:fill="FFFFFF"/>
          </w:tcPr>
          <w:p w14:paraId="003A861D" w14:textId="77777777" w:rsidR="00607595" w:rsidRPr="00306051" w:rsidRDefault="00607595"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+190</w:t>
            </w:r>
          </w:p>
        </w:tc>
        <w:tc>
          <w:tcPr>
            <w:tcW w:w="826" w:type="pct"/>
            <w:shd w:val="clear" w:color="auto" w:fill="FFFFFF"/>
          </w:tcPr>
          <w:p w14:paraId="6037A63A" w14:textId="77777777" w:rsidR="00607595" w:rsidRPr="00306051" w:rsidRDefault="00607595"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+158</w:t>
            </w:r>
          </w:p>
        </w:tc>
        <w:tc>
          <w:tcPr>
            <w:tcW w:w="1049" w:type="pct"/>
            <w:shd w:val="clear" w:color="auto" w:fill="FFFFFF"/>
          </w:tcPr>
          <w:p w14:paraId="51F0F8E8" w14:textId="77777777" w:rsidR="00607595" w:rsidRPr="00306051" w:rsidRDefault="00607595"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+312</w:t>
            </w:r>
          </w:p>
        </w:tc>
        <w:tc>
          <w:tcPr>
            <w:tcW w:w="870" w:type="pct"/>
            <w:shd w:val="clear" w:color="auto" w:fill="FFFFFF"/>
          </w:tcPr>
          <w:p w14:paraId="2489AB7C" w14:textId="77777777" w:rsidR="00607595" w:rsidRPr="00306051" w:rsidRDefault="00607595" w:rsidP="00696E13">
            <w:pPr>
              <w:spacing w:after="0" w:line="100" w:lineRule="atLeast"/>
              <w:jc w:val="center"/>
            </w:pPr>
            <w:r w:rsidRPr="00306051">
              <w:rPr>
                <w:rFonts w:ascii="Times New Roman" w:hAnsi="Times New Roman" w:cs="Times New Roman"/>
                <w:sz w:val="24"/>
                <w:szCs w:val="24"/>
              </w:rPr>
              <w:t>+271</w:t>
            </w:r>
          </w:p>
        </w:tc>
      </w:tr>
      <w:tr w:rsidR="000A3F61" w:rsidRPr="00306051" w14:paraId="51F14DFE" w14:textId="77777777" w:rsidTr="000A3F61">
        <w:tc>
          <w:tcPr>
            <w:tcW w:w="1266" w:type="pct"/>
            <w:shd w:val="clear" w:color="auto" w:fill="FFFFFF"/>
          </w:tcPr>
          <w:p w14:paraId="027BB1BE" w14:textId="77777777" w:rsidR="000A3F61" w:rsidRPr="00306051" w:rsidRDefault="000A3F61" w:rsidP="00696E13">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p-</w:t>
            </w:r>
            <w:r w:rsidRPr="00306051">
              <w:rPr>
                <w:rFonts w:ascii="Times New Roman" w:hAnsi="Times New Roman" w:cs="Times New Roman"/>
                <w:sz w:val="24"/>
                <w:szCs w:val="24"/>
                <w:lang w:val="kk-KZ"/>
              </w:rPr>
              <w:t>мәні</w:t>
            </w:r>
          </w:p>
        </w:tc>
        <w:tc>
          <w:tcPr>
            <w:tcW w:w="1815" w:type="pct"/>
            <w:gridSpan w:val="2"/>
            <w:shd w:val="clear" w:color="auto" w:fill="FFFFFF"/>
          </w:tcPr>
          <w:p w14:paraId="5E5E8569" w14:textId="77777777" w:rsidR="000A3F61" w:rsidRPr="00306051" w:rsidRDefault="000A3F61"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0,002</w:t>
            </w:r>
            <w:r w:rsidRPr="00306051">
              <w:rPr>
                <w:rFonts w:ascii="Times New Roman" w:hAnsi="Times New Roman" w:cs="Times New Roman"/>
                <w:sz w:val="24"/>
                <w:szCs w:val="24"/>
                <w:vertAlign w:val="superscript"/>
              </w:rPr>
              <w:t>a</w:t>
            </w:r>
          </w:p>
        </w:tc>
        <w:tc>
          <w:tcPr>
            <w:tcW w:w="1919" w:type="pct"/>
            <w:gridSpan w:val="2"/>
            <w:shd w:val="clear" w:color="auto" w:fill="FFFFFF"/>
          </w:tcPr>
          <w:p w14:paraId="6B31009C" w14:textId="77777777" w:rsidR="000A3F61" w:rsidRPr="00306051" w:rsidRDefault="000A3F61" w:rsidP="008C36CA">
            <w:pPr>
              <w:snapToGrid w:val="0"/>
              <w:jc w:val="center"/>
            </w:pPr>
            <w:r w:rsidRPr="00306051">
              <w:rPr>
                <w:rFonts w:ascii="Times New Roman" w:hAnsi="Times New Roman" w:cs="Times New Roman"/>
                <w:sz w:val="24"/>
                <w:szCs w:val="24"/>
              </w:rPr>
              <w:t>0,089</w:t>
            </w:r>
            <w:r w:rsidRPr="00306051">
              <w:rPr>
                <w:rFonts w:ascii="Times New Roman" w:hAnsi="Times New Roman" w:cs="Times New Roman"/>
                <w:sz w:val="24"/>
                <w:szCs w:val="24"/>
                <w:vertAlign w:val="superscript"/>
              </w:rPr>
              <w:t>a</w:t>
            </w:r>
          </w:p>
        </w:tc>
      </w:tr>
      <w:tr w:rsidR="000A3F61" w:rsidRPr="00306051" w14:paraId="2D56D4DD" w14:textId="77777777" w:rsidTr="000A3F61">
        <w:tc>
          <w:tcPr>
            <w:tcW w:w="1266" w:type="pct"/>
            <w:shd w:val="clear" w:color="auto" w:fill="FFFFFF"/>
          </w:tcPr>
          <w:p w14:paraId="3149E3B7" w14:textId="77777777" w:rsidR="000A3F61" w:rsidRPr="00306051" w:rsidRDefault="000A3F61" w:rsidP="00696E13">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 xml:space="preserve">Айырмашылығы </w:t>
            </w:r>
            <w:r w:rsidRPr="00306051">
              <w:rPr>
                <w:rFonts w:ascii="Times New Roman" w:hAnsi="Times New Roman" w:cs="Times New Roman"/>
                <w:sz w:val="24"/>
                <w:szCs w:val="24"/>
              </w:rPr>
              <w:t xml:space="preserve"> (СА 95% </w:t>
            </w:r>
            <w:proofErr w:type="spellStart"/>
            <w:r w:rsidRPr="00306051">
              <w:rPr>
                <w:rFonts w:ascii="Times New Roman" w:hAnsi="Times New Roman" w:cs="Times New Roman"/>
                <w:sz w:val="24"/>
                <w:szCs w:val="24"/>
              </w:rPr>
              <w:t>деңгейінде</w:t>
            </w:r>
            <w:proofErr w:type="spellEnd"/>
            <w:r w:rsidRPr="00306051">
              <w:rPr>
                <w:rFonts w:ascii="Times New Roman" w:hAnsi="Times New Roman" w:cs="Times New Roman"/>
                <w:sz w:val="24"/>
                <w:szCs w:val="24"/>
              </w:rPr>
              <w:t>)</w:t>
            </w:r>
          </w:p>
        </w:tc>
        <w:tc>
          <w:tcPr>
            <w:tcW w:w="1815" w:type="pct"/>
            <w:gridSpan w:val="2"/>
            <w:shd w:val="clear" w:color="auto" w:fill="FFFFFF"/>
          </w:tcPr>
          <w:p w14:paraId="7AB1A02B" w14:textId="77777777" w:rsidR="000A3F61" w:rsidRPr="00306051" w:rsidRDefault="000A3F61" w:rsidP="00696E13">
            <w:pPr>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32 (9</w:t>
            </w:r>
            <w:r w:rsidRPr="00306051">
              <w:rPr>
                <w:rFonts w:ascii="Times New Roman" w:hAnsi="Times New Roman" w:cs="Times New Roman"/>
                <w:sz w:val="24"/>
                <w:szCs w:val="24"/>
                <w:lang w:val="kk-KZ"/>
              </w:rPr>
              <w:t xml:space="preserve">-дан </w:t>
            </w:r>
            <w:r w:rsidRPr="00306051">
              <w:rPr>
                <w:rFonts w:ascii="Times New Roman" w:hAnsi="Times New Roman" w:cs="Times New Roman"/>
                <w:sz w:val="24"/>
                <w:szCs w:val="24"/>
              </w:rPr>
              <w:t>55</w:t>
            </w:r>
            <w:r w:rsidRPr="00306051">
              <w:rPr>
                <w:rFonts w:ascii="Times New Roman" w:hAnsi="Times New Roman" w:cs="Times New Roman"/>
                <w:sz w:val="24"/>
                <w:szCs w:val="24"/>
                <w:lang w:val="kk-KZ"/>
              </w:rPr>
              <w:t>-ке дейін</w:t>
            </w:r>
            <w:r w:rsidRPr="00306051">
              <w:rPr>
                <w:rFonts w:ascii="Times New Roman" w:hAnsi="Times New Roman" w:cs="Times New Roman"/>
                <w:sz w:val="24"/>
                <w:szCs w:val="24"/>
              </w:rPr>
              <w:t>)</w:t>
            </w:r>
          </w:p>
        </w:tc>
        <w:tc>
          <w:tcPr>
            <w:tcW w:w="1919" w:type="pct"/>
            <w:gridSpan w:val="2"/>
            <w:shd w:val="clear" w:color="auto" w:fill="FFFFFF"/>
          </w:tcPr>
          <w:p w14:paraId="0B5A96C6" w14:textId="77777777" w:rsidR="000A3F61" w:rsidRPr="00306051" w:rsidRDefault="000A3F61" w:rsidP="008C36CA">
            <w:pPr>
              <w:snapToGrid w:val="0"/>
              <w:jc w:val="center"/>
            </w:pPr>
            <w:r w:rsidRPr="00306051">
              <w:rPr>
                <w:rFonts w:ascii="Times New Roman" w:hAnsi="Times New Roman" w:cs="Times New Roman"/>
                <w:sz w:val="24"/>
                <w:szCs w:val="24"/>
              </w:rPr>
              <w:t>41 (4</w:t>
            </w:r>
            <w:r w:rsidRPr="00306051">
              <w:rPr>
                <w:rFonts w:ascii="Times New Roman" w:hAnsi="Times New Roman" w:cs="Times New Roman"/>
                <w:sz w:val="24"/>
                <w:szCs w:val="24"/>
                <w:lang w:val="kk-KZ"/>
              </w:rPr>
              <w:t xml:space="preserve">-тен </w:t>
            </w:r>
            <w:r w:rsidRPr="00306051">
              <w:rPr>
                <w:rFonts w:ascii="Times New Roman" w:hAnsi="Times New Roman" w:cs="Times New Roman"/>
                <w:sz w:val="24"/>
                <w:szCs w:val="24"/>
              </w:rPr>
              <w:t>79</w:t>
            </w:r>
            <w:r w:rsidRPr="00306051">
              <w:rPr>
                <w:rFonts w:ascii="Times New Roman" w:hAnsi="Times New Roman" w:cs="Times New Roman"/>
                <w:sz w:val="24"/>
                <w:szCs w:val="24"/>
                <w:lang w:val="kk-KZ"/>
              </w:rPr>
              <w:t>-ға дейін</w:t>
            </w:r>
            <w:r w:rsidRPr="00306051">
              <w:rPr>
                <w:rFonts w:ascii="Times New Roman" w:hAnsi="Times New Roman" w:cs="Times New Roman"/>
                <w:sz w:val="24"/>
                <w:szCs w:val="24"/>
              </w:rPr>
              <w:t>)</w:t>
            </w:r>
          </w:p>
        </w:tc>
      </w:tr>
    </w:tbl>
    <w:p w14:paraId="7730FF31" w14:textId="77777777" w:rsidR="00607595" w:rsidRPr="00306051" w:rsidRDefault="00607595">
      <w:pPr>
        <w:shd w:val="clear" w:color="auto" w:fill="FFFFFF"/>
        <w:spacing w:after="0" w:line="100" w:lineRule="atLeast"/>
        <w:jc w:val="both"/>
        <w:rPr>
          <w:rFonts w:ascii="Times New Roman" w:hAnsi="Times New Roman" w:cs="Times New Roman"/>
          <w:sz w:val="20"/>
          <w:szCs w:val="20"/>
        </w:rPr>
      </w:pP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Э</w:t>
      </w:r>
      <w:proofErr w:type="spellStart"/>
      <w:r w:rsidRPr="00306051">
        <w:rPr>
          <w:rFonts w:ascii="Times New Roman" w:hAnsi="Times New Roman" w:cs="Times New Roman"/>
          <w:sz w:val="20"/>
          <w:szCs w:val="20"/>
        </w:rPr>
        <w:t>мтрицитабин</w:t>
      </w:r>
      <w:proofErr w:type="spellEnd"/>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тенофовир</w:t>
      </w:r>
      <w:proofErr w:type="spellEnd"/>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дизопроксил</w:t>
      </w:r>
      <w:proofErr w:type="spellEnd"/>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және</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эфавиренз</w:t>
      </w:r>
      <w:proofErr w:type="spellEnd"/>
      <w:r w:rsidRPr="00306051">
        <w:rPr>
          <w:rFonts w:ascii="Times New Roman" w:hAnsi="Times New Roman" w:cs="Times New Roman"/>
          <w:sz w:val="20"/>
          <w:szCs w:val="20"/>
          <w:lang w:val="kk-KZ"/>
        </w:rPr>
        <w:t>ді қабылдап жүрген п</w:t>
      </w:r>
      <w:proofErr w:type="spellStart"/>
      <w:r w:rsidRPr="00306051">
        <w:rPr>
          <w:rFonts w:ascii="Times New Roman" w:hAnsi="Times New Roman" w:cs="Times New Roman"/>
          <w:sz w:val="20"/>
          <w:szCs w:val="20"/>
        </w:rPr>
        <w:t>ациент</w:t>
      </w:r>
      <w:proofErr w:type="spellEnd"/>
      <w:r w:rsidRPr="00306051">
        <w:rPr>
          <w:rFonts w:ascii="Times New Roman" w:hAnsi="Times New Roman" w:cs="Times New Roman"/>
          <w:sz w:val="20"/>
          <w:szCs w:val="20"/>
          <w:lang w:val="kk-KZ"/>
        </w:rPr>
        <w:t>терге</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эфавиренз</w:t>
      </w:r>
      <w:proofErr w:type="spellEnd"/>
      <w:r w:rsidRPr="00306051">
        <w:rPr>
          <w:rFonts w:ascii="Times New Roman" w:hAnsi="Times New Roman" w:cs="Times New Roman"/>
          <w:sz w:val="20"/>
          <w:szCs w:val="20"/>
          <w:lang w:val="kk-KZ"/>
        </w:rPr>
        <w:t>бен біріктірілімдері</w:t>
      </w:r>
      <w:r w:rsidRPr="00306051">
        <w:rPr>
          <w:rFonts w:ascii="Times New Roman" w:hAnsi="Times New Roman" w:cs="Times New Roman"/>
          <w:sz w:val="20"/>
          <w:szCs w:val="20"/>
        </w:rPr>
        <w:t xml:space="preserve"> 96</w:t>
      </w:r>
      <w:r w:rsidR="005848F4">
        <w:rPr>
          <w:rFonts w:ascii="Times New Roman" w:hAnsi="Times New Roman" w:cs="Times New Roman"/>
          <w:sz w:val="20"/>
          <w:szCs w:val="20"/>
          <w:lang w:val="kk-KZ"/>
        </w:rPr>
        <w:t>-</w:t>
      </w:r>
      <w:r w:rsidRPr="00306051">
        <w:rPr>
          <w:rFonts w:ascii="Times New Roman" w:hAnsi="Times New Roman" w:cs="Times New Roman"/>
          <w:sz w:val="20"/>
          <w:szCs w:val="20"/>
          <w:lang w:val="kk-KZ"/>
        </w:rPr>
        <w:t>шы аптадан</w:t>
      </w:r>
      <w:r w:rsidRPr="00306051">
        <w:rPr>
          <w:rFonts w:ascii="Times New Roman" w:hAnsi="Times New Roman" w:cs="Times New Roman"/>
          <w:sz w:val="20"/>
          <w:szCs w:val="20"/>
        </w:rPr>
        <w:t xml:space="preserve"> 144 </w:t>
      </w:r>
      <w:r w:rsidRPr="00306051">
        <w:rPr>
          <w:rFonts w:ascii="Times New Roman" w:hAnsi="Times New Roman" w:cs="Times New Roman"/>
          <w:sz w:val="20"/>
          <w:szCs w:val="20"/>
          <w:lang w:val="kk-KZ"/>
        </w:rPr>
        <w:t>аптаға дейін енгізілген</w:t>
      </w:r>
      <w:r w:rsidRPr="00306051">
        <w:rPr>
          <w:rFonts w:ascii="Times New Roman" w:hAnsi="Times New Roman" w:cs="Times New Roman"/>
          <w:sz w:val="20"/>
          <w:szCs w:val="20"/>
        </w:rPr>
        <w:t>.</w:t>
      </w:r>
    </w:p>
    <w:p w14:paraId="2DBB03FF" w14:textId="77777777" w:rsidR="00607595" w:rsidRPr="00306051" w:rsidRDefault="00607595">
      <w:pPr>
        <w:shd w:val="clear" w:color="auto" w:fill="FFFFFF"/>
        <w:spacing w:after="0" w:line="100" w:lineRule="atLeast"/>
        <w:jc w:val="both"/>
        <w:rPr>
          <w:rFonts w:ascii="Times New Roman" w:hAnsi="Times New Roman" w:cs="Times New Roman"/>
          <w:sz w:val="20"/>
          <w:szCs w:val="20"/>
          <w:lang w:val="kk-KZ"/>
        </w:rPr>
      </w:pPr>
      <w:r w:rsidRPr="00306051">
        <w:rPr>
          <w:rFonts w:ascii="Times New Roman" w:hAnsi="Times New Roman" w:cs="Times New Roman"/>
          <w:sz w:val="20"/>
          <w:szCs w:val="20"/>
        </w:rPr>
        <w:t>** CD4</w:t>
      </w:r>
      <w:r w:rsidRPr="00306051">
        <w:rPr>
          <w:rFonts w:ascii="Times New Roman" w:hAnsi="Times New Roman" w:cs="Times New Roman"/>
          <w:sz w:val="20"/>
          <w:szCs w:val="20"/>
          <w:lang w:val="kk-KZ"/>
        </w:rPr>
        <w:t xml:space="preserve"> жасушалардың бастапқы саны бойынша</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стратифи</w:t>
      </w:r>
      <w:proofErr w:type="spellEnd"/>
      <w:r w:rsidRPr="00306051">
        <w:rPr>
          <w:rFonts w:ascii="Times New Roman" w:hAnsi="Times New Roman" w:cs="Times New Roman"/>
          <w:sz w:val="20"/>
          <w:szCs w:val="20"/>
          <w:lang w:val="kk-KZ"/>
        </w:rPr>
        <w:t>ка</w:t>
      </w:r>
      <w:proofErr w:type="spellStart"/>
      <w:r w:rsidRPr="00306051">
        <w:rPr>
          <w:rFonts w:ascii="Times New Roman" w:hAnsi="Times New Roman" w:cs="Times New Roman"/>
          <w:sz w:val="20"/>
          <w:szCs w:val="20"/>
        </w:rPr>
        <w:t>ци</w:t>
      </w:r>
      <w:proofErr w:type="spellEnd"/>
      <w:r w:rsidRPr="00306051">
        <w:rPr>
          <w:rFonts w:ascii="Times New Roman" w:hAnsi="Times New Roman" w:cs="Times New Roman"/>
          <w:sz w:val="20"/>
          <w:szCs w:val="20"/>
          <w:lang w:val="kk-KZ"/>
        </w:rPr>
        <w:t>яланған</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Кохран-Мантел</w:t>
      </w:r>
      <w:proofErr w:type="spellEnd"/>
      <w:r w:rsidRPr="00306051">
        <w:rPr>
          <w:rFonts w:ascii="Times New Roman" w:hAnsi="Times New Roman" w:cs="Times New Roman"/>
          <w:sz w:val="20"/>
          <w:szCs w:val="20"/>
          <w:lang w:val="kk-KZ"/>
        </w:rPr>
        <w:t>ь</w:t>
      </w:r>
      <w:r w:rsidRPr="00306051">
        <w:rPr>
          <w:rFonts w:ascii="Times New Roman" w:hAnsi="Times New Roman" w:cs="Times New Roman"/>
          <w:sz w:val="20"/>
          <w:szCs w:val="20"/>
        </w:rPr>
        <w:t>-</w:t>
      </w:r>
      <w:proofErr w:type="spellStart"/>
      <w:r w:rsidRPr="00306051">
        <w:rPr>
          <w:rFonts w:ascii="Times New Roman" w:hAnsi="Times New Roman" w:cs="Times New Roman"/>
          <w:sz w:val="20"/>
          <w:szCs w:val="20"/>
        </w:rPr>
        <w:t>Гензел</w:t>
      </w:r>
      <w:proofErr w:type="spellEnd"/>
      <w:r w:rsidRPr="00306051">
        <w:rPr>
          <w:rFonts w:ascii="Times New Roman" w:hAnsi="Times New Roman" w:cs="Times New Roman"/>
          <w:sz w:val="20"/>
          <w:szCs w:val="20"/>
          <w:lang w:val="kk-KZ"/>
        </w:rPr>
        <w:t>ь</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критери</w:t>
      </w:r>
      <w:proofErr w:type="spellEnd"/>
      <w:r w:rsidRPr="00306051">
        <w:rPr>
          <w:rFonts w:ascii="Times New Roman" w:hAnsi="Times New Roman" w:cs="Times New Roman"/>
          <w:sz w:val="20"/>
          <w:szCs w:val="20"/>
          <w:lang w:val="kk-KZ"/>
        </w:rPr>
        <w:t>йінің негізіндегі</w:t>
      </w:r>
      <w:r w:rsidRPr="00306051">
        <w:rPr>
          <w:rFonts w:ascii="Times New Roman" w:hAnsi="Times New Roman" w:cs="Times New Roman"/>
          <w:sz w:val="20"/>
          <w:szCs w:val="20"/>
        </w:rPr>
        <w:t xml:space="preserve"> p-</w:t>
      </w:r>
      <w:r w:rsidRPr="00306051">
        <w:rPr>
          <w:rFonts w:ascii="Times New Roman" w:hAnsi="Times New Roman" w:cs="Times New Roman"/>
          <w:sz w:val="20"/>
          <w:szCs w:val="20"/>
          <w:lang w:val="kk-KZ"/>
        </w:rPr>
        <w:t>мәні</w:t>
      </w:r>
      <w:r w:rsidRPr="00306051">
        <w:rPr>
          <w:rFonts w:ascii="Times New Roman" w:hAnsi="Times New Roman" w:cs="Times New Roman"/>
          <w:sz w:val="20"/>
          <w:szCs w:val="20"/>
        </w:rPr>
        <w:t xml:space="preserve"> </w:t>
      </w:r>
    </w:p>
    <w:p w14:paraId="7A951796" w14:textId="77777777" w:rsidR="00607595" w:rsidRPr="00306051" w:rsidRDefault="00607595">
      <w:pPr>
        <w:shd w:val="clear" w:color="auto" w:fill="FFFFFF"/>
        <w:spacing w:after="0" w:line="100" w:lineRule="atLeast"/>
        <w:jc w:val="both"/>
        <w:rPr>
          <w:rFonts w:ascii="Times New Roman" w:hAnsi="Times New Roman" w:cs="Times New Roman"/>
          <w:sz w:val="20"/>
          <w:szCs w:val="20"/>
          <w:lang w:val="kk-KZ"/>
        </w:rPr>
      </w:pPr>
      <w:r w:rsidRPr="00306051">
        <w:rPr>
          <w:rFonts w:ascii="Times New Roman" w:hAnsi="Times New Roman" w:cs="Times New Roman"/>
          <w:sz w:val="20"/>
          <w:szCs w:val="20"/>
          <w:lang w:val="kk-KZ"/>
        </w:rPr>
        <w:t xml:space="preserve">TLOVR – вирусологиялық жауап жоғалғанға дейінгі уақыт </w:t>
      </w:r>
    </w:p>
    <w:p w14:paraId="44B6E069" w14:textId="77777777" w:rsidR="00607595" w:rsidRPr="00306051" w:rsidRDefault="00607595">
      <w:pPr>
        <w:shd w:val="clear" w:color="auto" w:fill="FFFFFF"/>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0"/>
          <w:szCs w:val="20"/>
          <w:lang w:val="kk-KZ"/>
        </w:rPr>
        <w:t>a: Ван Элтерен критерийі</w:t>
      </w:r>
    </w:p>
    <w:p w14:paraId="36CBECFE" w14:textId="77777777" w:rsidR="00607595" w:rsidRPr="00306051" w:rsidRDefault="00607595">
      <w:pPr>
        <w:shd w:val="clear" w:color="auto" w:fill="FFFFFF"/>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Рандомизацияланған клиникалық зерттеуде (M02-418), бұрын антиретровирустық препараттармен ем қабылдамаған 190 ересек пациентке тәулігіне бір реттік эмтрицитабин мен тенофовир дизопроксил, тәулігіне бір немесе екі рет лопинавирмен/ритонавирмен біріктіріп енгізілген. 48 аптадан соң 70% және 64% пациентте АИТВ-1 РНҚ &lt; 50 көшірме/мл лопинавирді/ритонавирді сәйкесінше тәулігіне бір немесе екі рет қабылдау кестесі жағдайында тіркелген. CD4 жасушалары санының бастапқы деңгейімен салыстырғандағы орташа өзгерістері сәйкесінше +185 жасуша/мм</w:t>
      </w:r>
      <w:r w:rsidRPr="00306051">
        <w:rPr>
          <w:rFonts w:ascii="Times New Roman" w:hAnsi="Times New Roman" w:cs="Times New Roman"/>
          <w:sz w:val="24"/>
          <w:szCs w:val="24"/>
          <w:vertAlign w:val="superscript"/>
          <w:lang w:val="kk-KZ"/>
        </w:rPr>
        <w:t>3</w:t>
      </w:r>
      <w:r w:rsidRPr="00306051">
        <w:rPr>
          <w:rFonts w:ascii="Times New Roman" w:hAnsi="Times New Roman" w:cs="Times New Roman"/>
          <w:sz w:val="24"/>
          <w:szCs w:val="24"/>
          <w:lang w:val="kk-KZ"/>
        </w:rPr>
        <w:t xml:space="preserve"> және +196 жасуша/мм</w:t>
      </w:r>
      <w:r w:rsidRPr="00306051">
        <w:rPr>
          <w:rFonts w:ascii="Times New Roman" w:hAnsi="Times New Roman" w:cs="Times New Roman"/>
          <w:sz w:val="24"/>
          <w:szCs w:val="24"/>
          <w:vertAlign w:val="superscript"/>
          <w:lang w:val="kk-KZ"/>
        </w:rPr>
        <w:t>3</w:t>
      </w:r>
      <w:r w:rsidRPr="00306051">
        <w:rPr>
          <w:rFonts w:ascii="Times New Roman" w:hAnsi="Times New Roman" w:cs="Times New Roman"/>
          <w:sz w:val="24"/>
          <w:szCs w:val="24"/>
          <w:lang w:val="kk-KZ"/>
        </w:rPr>
        <w:t xml:space="preserve"> құраған.</w:t>
      </w:r>
    </w:p>
    <w:p w14:paraId="484FA5BD" w14:textId="77777777" w:rsidR="00607595" w:rsidRPr="00306051" w:rsidRDefault="00607595">
      <w:pPr>
        <w:shd w:val="clear" w:color="auto" w:fill="FFFFFF"/>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lastRenderedPageBreak/>
        <w:t>АИТВ және В гепатиті вирусы (ВГВ) инфекциясын бір мезгілде жұқтырған пациенттерді емдеудің шектеулі клиникалық тәжірибесі, АИТВ-инфекциясын бақылауда ұстау үшін эмтрицитабинмен немесе тенофовир дизопроксилмен біріктірілген  антиретровирустық ем құрамында емдеу  ВГВ ДНҚ азаюына (сәйкесінше 3 log</w:t>
      </w:r>
      <w:r w:rsidRPr="00306051">
        <w:rPr>
          <w:rFonts w:ascii="Times New Roman" w:hAnsi="Times New Roman" w:cs="Times New Roman"/>
          <w:sz w:val="24"/>
          <w:szCs w:val="24"/>
          <w:vertAlign w:val="subscript"/>
          <w:lang w:val="kk-KZ"/>
        </w:rPr>
        <w:t>10</w:t>
      </w:r>
      <w:r w:rsidRPr="00306051">
        <w:rPr>
          <w:rFonts w:ascii="Times New Roman" w:hAnsi="Times New Roman" w:cs="Times New Roman"/>
          <w:sz w:val="24"/>
          <w:szCs w:val="24"/>
          <w:lang w:val="kk-KZ"/>
        </w:rPr>
        <w:t> немесе 4-5 log</w:t>
      </w:r>
      <w:r w:rsidRPr="00306051">
        <w:rPr>
          <w:rFonts w:ascii="Times New Roman" w:hAnsi="Times New Roman" w:cs="Times New Roman"/>
          <w:sz w:val="24"/>
          <w:szCs w:val="24"/>
          <w:vertAlign w:val="subscript"/>
          <w:lang w:val="kk-KZ"/>
        </w:rPr>
        <w:t>10</w:t>
      </w:r>
      <w:r w:rsidRPr="00306051">
        <w:rPr>
          <w:rFonts w:ascii="Times New Roman" w:hAnsi="Times New Roman" w:cs="Times New Roman"/>
          <w:sz w:val="24"/>
          <w:szCs w:val="24"/>
          <w:lang w:val="kk-KZ"/>
        </w:rPr>
        <w:t xml:space="preserve"> төмендеуі) алып келеді деп шамалауға мүмкіндік береді (4.4 бөлімін қараңыз).</w:t>
      </w:r>
    </w:p>
    <w:p w14:paraId="329618DB" w14:textId="77777777" w:rsidR="00607595" w:rsidRPr="00306051" w:rsidRDefault="00607595">
      <w:pPr>
        <w:shd w:val="clear" w:color="auto" w:fill="FFFFFF"/>
        <w:spacing w:after="0" w:line="100" w:lineRule="atLeast"/>
        <w:jc w:val="both"/>
        <w:rPr>
          <w:rFonts w:ascii="Times New Roman" w:eastAsia="Times New Roman" w:hAnsi="Times New Roman" w:cs="Times New Roman"/>
          <w:sz w:val="24"/>
          <w:szCs w:val="24"/>
          <w:lang w:val="kk-KZ"/>
        </w:rPr>
      </w:pPr>
      <w:r w:rsidRPr="00306051">
        <w:rPr>
          <w:rFonts w:ascii="Times New Roman" w:hAnsi="Times New Roman" w:cs="Times New Roman"/>
          <w:sz w:val="24"/>
          <w:szCs w:val="24"/>
          <w:lang w:val="kk-KZ"/>
        </w:rPr>
        <w:t>Препаратты қолданғанға дейінгі профилактика: iPrEx (CO-US-104-0288) зерттеуінде АИТВ инфекциясын жұқтырмаған, ерлермен жыныстық қатынаста болатын, және АИТВ жұқтыру қаупі жоғары топқа жатқызылатын 2 499 ер адамды (немесе трансгендер-әйелдерді) емдеуде эмтрицитабин және тенофовир дизопроксил дәрілік затының немесе плацебо қолданылуы бағаланды. Субъектілер 4 237 адам-жыл бойына қадағаланған. Бастапқы сипаттамалары 5 кестеде келтірілген.</w:t>
      </w:r>
    </w:p>
    <w:p w14:paraId="43445131" w14:textId="77777777" w:rsidR="00607595" w:rsidRPr="00306051" w:rsidRDefault="00607595">
      <w:pPr>
        <w:shd w:val="clear" w:color="auto" w:fill="FFFFFF"/>
        <w:spacing w:after="0" w:line="100" w:lineRule="atLeast"/>
        <w:jc w:val="both"/>
        <w:rPr>
          <w:lang w:val="kk-KZ"/>
        </w:rPr>
      </w:pPr>
      <w:r w:rsidRPr="00306051">
        <w:rPr>
          <w:rFonts w:ascii="Times New Roman" w:eastAsia="Times New Roman" w:hAnsi="Times New Roman" w:cs="Times New Roman"/>
          <w:sz w:val="24"/>
          <w:szCs w:val="24"/>
          <w:lang w:val="kk-KZ"/>
        </w:rPr>
        <w:t>5 кесте: CO-US-104-0288 (iPrEx) зерттеуінде зерттелген популяция</w:t>
      </w:r>
    </w:p>
    <w:tbl>
      <w:tblPr>
        <w:tblW w:w="9150" w:type="dxa"/>
        <w:tblInd w:w="-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30" w:type="dxa"/>
          <w:left w:w="30" w:type="dxa"/>
          <w:bottom w:w="30" w:type="dxa"/>
          <w:right w:w="30" w:type="dxa"/>
        </w:tblCellMar>
        <w:tblLook w:val="0000" w:firstRow="0" w:lastRow="0" w:firstColumn="0" w:lastColumn="0" w:noHBand="0" w:noVBand="0"/>
      </w:tblPr>
      <w:tblGrid>
        <w:gridCol w:w="6084"/>
        <w:gridCol w:w="1408"/>
        <w:gridCol w:w="1658"/>
      </w:tblGrid>
      <w:tr w:rsidR="00607595" w:rsidRPr="00306051" w14:paraId="658F37BF" w14:textId="77777777" w:rsidTr="000A3F61">
        <w:tc>
          <w:tcPr>
            <w:tcW w:w="6084" w:type="dxa"/>
            <w:shd w:val="clear" w:color="auto" w:fill="FFFFFF"/>
          </w:tcPr>
          <w:p w14:paraId="2EEB9127" w14:textId="77777777" w:rsidR="00607595" w:rsidRPr="00306051" w:rsidRDefault="00607595">
            <w:pPr>
              <w:shd w:val="clear" w:color="auto" w:fill="FFFFFF"/>
              <w:snapToGrid w:val="0"/>
              <w:spacing w:after="0" w:line="100" w:lineRule="atLeast"/>
              <w:jc w:val="both"/>
              <w:rPr>
                <w:lang w:val="kk-KZ"/>
              </w:rPr>
            </w:pPr>
          </w:p>
        </w:tc>
        <w:tc>
          <w:tcPr>
            <w:tcW w:w="1408" w:type="dxa"/>
            <w:shd w:val="clear" w:color="auto" w:fill="FFFFFF"/>
          </w:tcPr>
          <w:p w14:paraId="1E2C6288"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Плацебо</w:t>
            </w:r>
          </w:p>
          <w:p w14:paraId="27CCBB52"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(n=1 248)</w:t>
            </w:r>
          </w:p>
        </w:tc>
        <w:tc>
          <w:tcPr>
            <w:tcW w:w="1658" w:type="dxa"/>
            <w:shd w:val="clear" w:color="auto" w:fill="FFFFFF"/>
          </w:tcPr>
          <w:p w14:paraId="743B104D"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proofErr w:type="spellStart"/>
            <w:r w:rsidRPr="00306051">
              <w:rPr>
                <w:rFonts w:ascii="Times New Roman" w:hAnsi="Times New Roman" w:cs="Times New Roman"/>
                <w:sz w:val="24"/>
                <w:szCs w:val="24"/>
              </w:rPr>
              <w:t>Эмтрицитабин</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және</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фумарат</w:t>
            </w:r>
            <w:proofErr w:type="spellEnd"/>
            <w:r w:rsidRPr="00306051">
              <w:rPr>
                <w:rFonts w:ascii="Times New Roman" w:hAnsi="Times New Roman" w:cs="Times New Roman"/>
                <w:sz w:val="24"/>
                <w:szCs w:val="24"/>
                <w:lang w:val="kk-KZ"/>
              </w:rPr>
              <w:t>ы</w:t>
            </w:r>
          </w:p>
          <w:p w14:paraId="18ED602C"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(n=1 251)</w:t>
            </w:r>
          </w:p>
        </w:tc>
      </w:tr>
      <w:tr w:rsidR="00607595" w:rsidRPr="00306051" w14:paraId="1D7D3C8D" w14:textId="77777777" w:rsidTr="000A3F61">
        <w:tc>
          <w:tcPr>
            <w:tcW w:w="6084" w:type="dxa"/>
            <w:shd w:val="clear" w:color="auto" w:fill="FFFFFF"/>
          </w:tcPr>
          <w:p w14:paraId="425A8A54"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Жас шамасы</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жас</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орташа мәні</w:t>
            </w:r>
            <w:r w:rsidRPr="00306051">
              <w:rPr>
                <w:rFonts w:ascii="Times New Roman" w:hAnsi="Times New Roman" w:cs="Times New Roman"/>
                <w:sz w:val="24"/>
                <w:szCs w:val="24"/>
              </w:rPr>
              <w:t xml:space="preserve"> (СО) </w:t>
            </w:r>
          </w:p>
        </w:tc>
        <w:tc>
          <w:tcPr>
            <w:tcW w:w="1408" w:type="dxa"/>
            <w:shd w:val="clear" w:color="auto" w:fill="FFFFFF"/>
          </w:tcPr>
          <w:p w14:paraId="2679A098"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27 (8,5)</w:t>
            </w:r>
          </w:p>
        </w:tc>
        <w:tc>
          <w:tcPr>
            <w:tcW w:w="1658" w:type="dxa"/>
            <w:shd w:val="clear" w:color="auto" w:fill="FFFFFF"/>
          </w:tcPr>
          <w:p w14:paraId="2312A629"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27 (8,6)</w:t>
            </w:r>
          </w:p>
        </w:tc>
      </w:tr>
      <w:tr w:rsidR="000A3F61" w:rsidRPr="00306051" w14:paraId="5FB74019" w14:textId="77777777" w:rsidTr="0023252A">
        <w:tblPrEx>
          <w:tblCellMar>
            <w:top w:w="0" w:type="dxa"/>
            <w:left w:w="0" w:type="dxa"/>
            <w:bottom w:w="0" w:type="dxa"/>
            <w:right w:w="0" w:type="dxa"/>
          </w:tblCellMar>
        </w:tblPrEx>
        <w:tc>
          <w:tcPr>
            <w:tcW w:w="9150" w:type="dxa"/>
            <w:gridSpan w:val="3"/>
            <w:shd w:val="clear" w:color="auto" w:fill="FFFFFF"/>
          </w:tcPr>
          <w:p w14:paraId="6888B5E7" w14:textId="77777777" w:rsidR="000A3F61" w:rsidRPr="00306051" w:rsidRDefault="000A3F61">
            <w:pPr>
              <w:snapToGrid w:val="0"/>
            </w:pPr>
            <w:r w:rsidRPr="00306051">
              <w:rPr>
                <w:rFonts w:ascii="Times New Roman" w:hAnsi="Times New Roman" w:cs="Times New Roman"/>
                <w:sz w:val="24"/>
                <w:szCs w:val="24"/>
                <w:lang w:val="kk-KZ"/>
              </w:rPr>
              <w:t>Нәсілі</w:t>
            </w:r>
            <w:r w:rsidRPr="00306051">
              <w:rPr>
                <w:rFonts w:ascii="Times New Roman" w:hAnsi="Times New Roman" w:cs="Times New Roman"/>
                <w:sz w:val="24"/>
                <w:szCs w:val="24"/>
              </w:rPr>
              <w:t>, N (%)</w:t>
            </w:r>
          </w:p>
        </w:tc>
      </w:tr>
      <w:tr w:rsidR="00607595" w:rsidRPr="00306051" w14:paraId="2F92253E" w14:textId="77777777" w:rsidTr="000A3F61">
        <w:tc>
          <w:tcPr>
            <w:tcW w:w="6084" w:type="dxa"/>
            <w:shd w:val="clear" w:color="auto" w:fill="FFFFFF"/>
          </w:tcPr>
          <w:p w14:paraId="1422EF7A"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Қара нәсіл өкілдері</w:t>
            </w:r>
            <w:r w:rsidRPr="00306051">
              <w:rPr>
                <w:rFonts w:ascii="Times New Roman" w:hAnsi="Times New Roman" w:cs="Times New Roman"/>
                <w:sz w:val="24"/>
                <w:szCs w:val="24"/>
              </w:rPr>
              <w:t>/</w:t>
            </w:r>
            <w:proofErr w:type="spellStart"/>
            <w:r w:rsidRPr="00306051">
              <w:rPr>
                <w:rFonts w:ascii="Times New Roman" w:hAnsi="Times New Roman" w:cs="Times New Roman"/>
                <w:sz w:val="24"/>
                <w:szCs w:val="24"/>
              </w:rPr>
              <w:t>афроамерикан</w:t>
            </w:r>
            <w:proofErr w:type="spellEnd"/>
            <w:r w:rsidRPr="00306051">
              <w:rPr>
                <w:rFonts w:ascii="Times New Roman" w:hAnsi="Times New Roman" w:cs="Times New Roman"/>
                <w:sz w:val="24"/>
                <w:szCs w:val="24"/>
                <w:lang w:val="kk-KZ"/>
              </w:rPr>
              <w:t>дықтар</w:t>
            </w:r>
          </w:p>
        </w:tc>
        <w:tc>
          <w:tcPr>
            <w:tcW w:w="1408" w:type="dxa"/>
            <w:shd w:val="clear" w:color="auto" w:fill="FFFFFF"/>
          </w:tcPr>
          <w:p w14:paraId="1B49E07B"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97 (8)</w:t>
            </w:r>
          </w:p>
        </w:tc>
        <w:tc>
          <w:tcPr>
            <w:tcW w:w="1658" w:type="dxa"/>
            <w:shd w:val="clear" w:color="auto" w:fill="FFFFFF"/>
          </w:tcPr>
          <w:p w14:paraId="7C359B42"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117 (9)</w:t>
            </w:r>
          </w:p>
        </w:tc>
      </w:tr>
      <w:tr w:rsidR="00607595" w:rsidRPr="00306051" w14:paraId="48776ED2" w14:textId="77777777" w:rsidTr="000A3F61">
        <w:tc>
          <w:tcPr>
            <w:tcW w:w="6084" w:type="dxa"/>
            <w:shd w:val="clear" w:color="auto" w:fill="FFFFFF"/>
          </w:tcPr>
          <w:p w14:paraId="14AB9584"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Еу</w:t>
            </w:r>
            <w:proofErr w:type="spellStart"/>
            <w:r w:rsidRPr="00306051">
              <w:rPr>
                <w:rFonts w:ascii="Times New Roman" w:hAnsi="Times New Roman" w:cs="Times New Roman"/>
                <w:sz w:val="24"/>
                <w:szCs w:val="24"/>
              </w:rPr>
              <w:t>роп</w:t>
            </w:r>
            <w:proofErr w:type="spellEnd"/>
            <w:r w:rsidRPr="00306051">
              <w:rPr>
                <w:rFonts w:ascii="Times New Roman" w:hAnsi="Times New Roman" w:cs="Times New Roman"/>
                <w:sz w:val="24"/>
                <w:szCs w:val="24"/>
                <w:lang w:val="kk-KZ"/>
              </w:rPr>
              <w:t xml:space="preserve">алық нәсіл өкілдері </w:t>
            </w:r>
          </w:p>
        </w:tc>
        <w:tc>
          <w:tcPr>
            <w:tcW w:w="1408" w:type="dxa"/>
            <w:shd w:val="clear" w:color="auto" w:fill="FFFFFF"/>
          </w:tcPr>
          <w:p w14:paraId="1593A234"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208 (17)</w:t>
            </w:r>
          </w:p>
        </w:tc>
        <w:tc>
          <w:tcPr>
            <w:tcW w:w="1658" w:type="dxa"/>
            <w:shd w:val="clear" w:color="auto" w:fill="FFFFFF"/>
          </w:tcPr>
          <w:p w14:paraId="5BC24FAC"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223 (18)</w:t>
            </w:r>
          </w:p>
        </w:tc>
      </w:tr>
      <w:tr w:rsidR="00607595" w:rsidRPr="00306051" w14:paraId="28BA7AE2" w14:textId="77777777" w:rsidTr="000A3F61">
        <w:tc>
          <w:tcPr>
            <w:tcW w:w="6084" w:type="dxa"/>
            <w:shd w:val="clear" w:color="auto" w:fill="FFFFFF"/>
          </w:tcPr>
          <w:p w14:paraId="28E3595D"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Аралас</w:t>
            </w:r>
            <w:r w:rsidRPr="00306051">
              <w:rPr>
                <w:rFonts w:ascii="Times New Roman" w:hAnsi="Times New Roman" w:cs="Times New Roman"/>
                <w:sz w:val="24"/>
                <w:szCs w:val="24"/>
              </w:rPr>
              <w:t>/</w:t>
            </w:r>
            <w:r w:rsidRPr="00306051">
              <w:rPr>
                <w:rFonts w:ascii="Times New Roman" w:hAnsi="Times New Roman" w:cs="Times New Roman"/>
                <w:sz w:val="24"/>
                <w:szCs w:val="24"/>
                <w:lang w:val="kk-KZ"/>
              </w:rPr>
              <w:t>басқа</w:t>
            </w:r>
          </w:p>
        </w:tc>
        <w:tc>
          <w:tcPr>
            <w:tcW w:w="1408" w:type="dxa"/>
            <w:shd w:val="clear" w:color="auto" w:fill="FFFFFF"/>
          </w:tcPr>
          <w:p w14:paraId="34E80DEB"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878 (70)</w:t>
            </w:r>
          </w:p>
        </w:tc>
        <w:tc>
          <w:tcPr>
            <w:tcW w:w="1658" w:type="dxa"/>
            <w:shd w:val="clear" w:color="auto" w:fill="FFFFFF"/>
          </w:tcPr>
          <w:p w14:paraId="456AAEA3"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849 (68)</w:t>
            </w:r>
          </w:p>
        </w:tc>
      </w:tr>
      <w:tr w:rsidR="00607595" w:rsidRPr="00306051" w14:paraId="216CA36E" w14:textId="77777777" w:rsidTr="000A3F61">
        <w:tc>
          <w:tcPr>
            <w:tcW w:w="6084" w:type="dxa"/>
            <w:shd w:val="clear" w:color="auto" w:fill="FFFFFF"/>
          </w:tcPr>
          <w:p w14:paraId="1508F783"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proofErr w:type="spellStart"/>
            <w:r w:rsidRPr="00306051">
              <w:rPr>
                <w:rFonts w:ascii="Times New Roman" w:hAnsi="Times New Roman" w:cs="Times New Roman"/>
                <w:sz w:val="24"/>
                <w:szCs w:val="24"/>
              </w:rPr>
              <w:t>Ази</w:t>
            </w:r>
            <w:proofErr w:type="spellEnd"/>
            <w:r w:rsidRPr="00306051">
              <w:rPr>
                <w:rFonts w:ascii="Times New Roman" w:hAnsi="Times New Roman" w:cs="Times New Roman"/>
                <w:sz w:val="24"/>
                <w:szCs w:val="24"/>
                <w:lang w:val="kk-KZ"/>
              </w:rPr>
              <w:t>ялықтар</w:t>
            </w:r>
          </w:p>
        </w:tc>
        <w:tc>
          <w:tcPr>
            <w:tcW w:w="1408" w:type="dxa"/>
            <w:shd w:val="clear" w:color="auto" w:fill="FFFFFF"/>
          </w:tcPr>
          <w:p w14:paraId="140C140A"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65 (5)</w:t>
            </w:r>
          </w:p>
        </w:tc>
        <w:tc>
          <w:tcPr>
            <w:tcW w:w="1658" w:type="dxa"/>
            <w:shd w:val="clear" w:color="auto" w:fill="FFFFFF"/>
          </w:tcPr>
          <w:p w14:paraId="2E6986FF"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62 (5)</w:t>
            </w:r>
          </w:p>
        </w:tc>
      </w:tr>
      <w:tr w:rsidR="00607595" w:rsidRPr="00306051" w14:paraId="4E2F3217" w14:textId="77777777" w:rsidTr="000A3F61">
        <w:tc>
          <w:tcPr>
            <w:tcW w:w="6084" w:type="dxa"/>
            <w:shd w:val="clear" w:color="auto" w:fill="FFFFFF"/>
          </w:tcPr>
          <w:p w14:paraId="5FC66EAD"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 xml:space="preserve">Шығу тегі </w:t>
            </w:r>
            <w:proofErr w:type="spellStart"/>
            <w:r w:rsidRPr="00306051">
              <w:rPr>
                <w:rFonts w:ascii="Times New Roman" w:hAnsi="Times New Roman" w:cs="Times New Roman"/>
                <w:sz w:val="24"/>
                <w:szCs w:val="24"/>
              </w:rPr>
              <w:t>испан</w:t>
            </w:r>
            <w:proofErr w:type="spellEnd"/>
            <w:r w:rsidRPr="00306051">
              <w:rPr>
                <w:rFonts w:ascii="Times New Roman" w:hAnsi="Times New Roman" w:cs="Times New Roman"/>
                <w:sz w:val="24"/>
                <w:szCs w:val="24"/>
                <w:lang w:val="kk-KZ"/>
              </w:rPr>
              <w:t>дық</w:t>
            </w:r>
            <w:r w:rsidRPr="00306051">
              <w:rPr>
                <w:rFonts w:ascii="Times New Roman" w:hAnsi="Times New Roman" w:cs="Times New Roman"/>
                <w:sz w:val="24"/>
                <w:szCs w:val="24"/>
              </w:rPr>
              <w:t>/лат</w:t>
            </w:r>
            <w:r w:rsidRPr="00306051">
              <w:rPr>
                <w:rFonts w:ascii="Times New Roman" w:hAnsi="Times New Roman" w:cs="Times New Roman"/>
                <w:sz w:val="24"/>
                <w:szCs w:val="24"/>
                <w:lang w:val="kk-KZ"/>
              </w:rPr>
              <w:t>ын</w:t>
            </w:r>
            <w:r w:rsidRPr="00306051">
              <w:rPr>
                <w:rFonts w:ascii="Times New Roman" w:hAnsi="Times New Roman" w:cs="Times New Roman"/>
                <w:sz w:val="24"/>
                <w:szCs w:val="24"/>
              </w:rPr>
              <w:t>-американ</w:t>
            </w:r>
            <w:r w:rsidRPr="00306051">
              <w:rPr>
                <w:rFonts w:ascii="Times New Roman" w:hAnsi="Times New Roman" w:cs="Times New Roman"/>
                <w:sz w:val="24"/>
                <w:szCs w:val="24"/>
                <w:lang w:val="kk-KZ"/>
              </w:rPr>
              <w:t>дық</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п</w:t>
            </w:r>
            <w:proofErr w:type="spellStart"/>
            <w:r w:rsidRPr="00306051">
              <w:rPr>
                <w:rFonts w:ascii="Times New Roman" w:hAnsi="Times New Roman" w:cs="Times New Roman"/>
                <w:sz w:val="24"/>
                <w:szCs w:val="24"/>
              </w:rPr>
              <w:t>ациент</w:t>
            </w:r>
            <w:proofErr w:type="spellEnd"/>
            <w:r w:rsidRPr="00306051">
              <w:rPr>
                <w:rFonts w:ascii="Times New Roman" w:hAnsi="Times New Roman" w:cs="Times New Roman"/>
                <w:sz w:val="24"/>
                <w:szCs w:val="24"/>
                <w:lang w:val="kk-KZ"/>
              </w:rPr>
              <w:t>тер</w:t>
            </w:r>
            <w:r w:rsidRPr="00306051">
              <w:rPr>
                <w:rFonts w:ascii="Times New Roman" w:hAnsi="Times New Roman" w:cs="Times New Roman"/>
                <w:sz w:val="24"/>
                <w:szCs w:val="24"/>
              </w:rPr>
              <w:t xml:space="preserve">, N (%) </w:t>
            </w:r>
          </w:p>
        </w:tc>
        <w:tc>
          <w:tcPr>
            <w:tcW w:w="1408" w:type="dxa"/>
            <w:shd w:val="clear" w:color="auto" w:fill="FFFFFF"/>
          </w:tcPr>
          <w:p w14:paraId="5A90DA22"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906 (73)</w:t>
            </w:r>
          </w:p>
        </w:tc>
        <w:tc>
          <w:tcPr>
            <w:tcW w:w="1658" w:type="dxa"/>
            <w:shd w:val="clear" w:color="auto" w:fill="FFFFFF"/>
          </w:tcPr>
          <w:p w14:paraId="020D2ACA"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900 (72)</w:t>
            </w:r>
          </w:p>
        </w:tc>
      </w:tr>
      <w:tr w:rsidR="000A3F61" w:rsidRPr="00306051" w14:paraId="6753E167" w14:textId="77777777" w:rsidTr="0023252A">
        <w:tblPrEx>
          <w:tblCellMar>
            <w:top w:w="0" w:type="dxa"/>
            <w:left w:w="0" w:type="dxa"/>
            <w:bottom w:w="0" w:type="dxa"/>
            <w:right w:w="0" w:type="dxa"/>
          </w:tblCellMar>
        </w:tblPrEx>
        <w:tc>
          <w:tcPr>
            <w:tcW w:w="9150" w:type="dxa"/>
            <w:gridSpan w:val="3"/>
            <w:shd w:val="clear" w:color="auto" w:fill="FFFFFF"/>
          </w:tcPr>
          <w:p w14:paraId="03A18ABB" w14:textId="77777777" w:rsidR="000A3F61" w:rsidRPr="00306051" w:rsidRDefault="000A3F61">
            <w:pPr>
              <w:snapToGrid w:val="0"/>
            </w:pPr>
            <w:r w:rsidRPr="00306051">
              <w:rPr>
                <w:rFonts w:ascii="Times New Roman" w:hAnsi="Times New Roman" w:cs="Times New Roman"/>
                <w:sz w:val="24"/>
                <w:szCs w:val="24"/>
              </w:rPr>
              <w:t>Скрининг</w:t>
            </w:r>
            <w:r w:rsidRPr="00306051">
              <w:rPr>
                <w:rFonts w:ascii="Times New Roman" w:hAnsi="Times New Roman" w:cs="Times New Roman"/>
                <w:sz w:val="24"/>
                <w:szCs w:val="24"/>
                <w:lang w:val="kk-KZ"/>
              </w:rPr>
              <w:t xml:space="preserve"> кезіндегі</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сексуал</w:t>
            </w:r>
            <w:proofErr w:type="spellEnd"/>
            <w:r w:rsidRPr="00306051">
              <w:rPr>
                <w:rFonts w:ascii="Times New Roman" w:hAnsi="Times New Roman" w:cs="Times New Roman"/>
                <w:sz w:val="24"/>
                <w:szCs w:val="24"/>
                <w:lang w:val="kk-KZ"/>
              </w:rPr>
              <w:t>дық қауіп ф</w:t>
            </w:r>
            <w:proofErr w:type="spellStart"/>
            <w:r w:rsidRPr="00306051">
              <w:rPr>
                <w:rFonts w:ascii="Times New Roman" w:hAnsi="Times New Roman" w:cs="Times New Roman"/>
                <w:sz w:val="24"/>
                <w:szCs w:val="24"/>
              </w:rPr>
              <w:t>актор</w:t>
            </w:r>
            <w:proofErr w:type="spellEnd"/>
            <w:r w:rsidRPr="00306051">
              <w:rPr>
                <w:rFonts w:ascii="Times New Roman" w:hAnsi="Times New Roman" w:cs="Times New Roman"/>
                <w:sz w:val="24"/>
                <w:szCs w:val="24"/>
                <w:lang w:val="kk-KZ"/>
              </w:rPr>
              <w:t>лар</w:t>
            </w:r>
            <w:r w:rsidRPr="00306051">
              <w:rPr>
                <w:rFonts w:ascii="Times New Roman" w:hAnsi="Times New Roman" w:cs="Times New Roman"/>
                <w:sz w:val="24"/>
                <w:szCs w:val="24"/>
              </w:rPr>
              <w:t xml:space="preserve">ы </w:t>
            </w:r>
          </w:p>
        </w:tc>
      </w:tr>
      <w:tr w:rsidR="00607595" w:rsidRPr="00306051" w14:paraId="44F4FBF1" w14:textId="77777777" w:rsidTr="000A3F61">
        <w:tc>
          <w:tcPr>
            <w:tcW w:w="6084" w:type="dxa"/>
            <w:shd w:val="clear" w:color="auto" w:fill="FFFFFF"/>
          </w:tcPr>
          <w:p w14:paraId="17FB1279"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Алдыңғы</w:t>
            </w:r>
            <w:r w:rsidRPr="00306051">
              <w:rPr>
                <w:rFonts w:ascii="Times New Roman" w:hAnsi="Times New Roman" w:cs="Times New Roman"/>
                <w:sz w:val="24"/>
                <w:szCs w:val="24"/>
              </w:rPr>
              <w:t xml:space="preserve"> 12 </w:t>
            </w:r>
            <w:r w:rsidRPr="00306051">
              <w:rPr>
                <w:rFonts w:ascii="Times New Roman" w:hAnsi="Times New Roman" w:cs="Times New Roman"/>
                <w:sz w:val="24"/>
                <w:szCs w:val="24"/>
                <w:lang w:val="kk-KZ"/>
              </w:rPr>
              <w:t>аптадағы серіктестерінің саны</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орташа мәні</w:t>
            </w:r>
            <w:r w:rsidRPr="00306051">
              <w:rPr>
                <w:rFonts w:ascii="Times New Roman" w:hAnsi="Times New Roman" w:cs="Times New Roman"/>
                <w:sz w:val="24"/>
                <w:szCs w:val="24"/>
              </w:rPr>
              <w:t xml:space="preserve"> (СО) </w:t>
            </w:r>
          </w:p>
        </w:tc>
        <w:tc>
          <w:tcPr>
            <w:tcW w:w="1408" w:type="dxa"/>
            <w:shd w:val="clear" w:color="auto" w:fill="FFFFFF"/>
          </w:tcPr>
          <w:p w14:paraId="16006E92"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18 (43)</w:t>
            </w:r>
          </w:p>
        </w:tc>
        <w:tc>
          <w:tcPr>
            <w:tcW w:w="1658" w:type="dxa"/>
            <w:shd w:val="clear" w:color="auto" w:fill="FFFFFF"/>
          </w:tcPr>
          <w:p w14:paraId="299E9CE0"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18 (35)</w:t>
            </w:r>
          </w:p>
        </w:tc>
      </w:tr>
      <w:tr w:rsidR="00607595" w:rsidRPr="00306051" w14:paraId="46712949" w14:textId="77777777" w:rsidTr="000A3F61">
        <w:tc>
          <w:tcPr>
            <w:tcW w:w="6084" w:type="dxa"/>
            <w:shd w:val="clear" w:color="auto" w:fill="FFFFFF"/>
          </w:tcPr>
          <w:p w14:paraId="057219BB"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Алдыңғы</w:t>
            </w:r>
            <w:r w:rsidRPr="00306051">
              <w:rPr>
                <w:rFonts w:ascii="Times New Roman" w:hAnsi="Times New Roman" w:cs="Times New Roman"/>
                <w:sz w:val="24"/>
                <w:szCs w:val="24"/>
              </w:rPr>
              <w:t xml:space="preserve"> 12 </w:t>
            </w:r>
            <w:r w:rsidRPr="00306051">
              <w:rPr>
                <w:rFonts w:ascii="Times New Roman" w:hAnsi="Times New Roman" w:cs="Times New Roman"/>
                <w:sz w:val="24"/>
                <w:szCs w:val="24"/>
                <w:lang w:val="kk-KZ"/>
              </w:rPr>
              <w:t>апта ішіндегі</w:t>
            </w:r>
            <w:r w:rsidRPr="00306051">
              <w:rPr>
                <w:rFonts w:ascii="Times New Roman" w:hAnsi="Times New Roman" w:cs="Times New Roman"/>
                <w:sz w:val="24"/>
                <w:szCs w:val="24"/>
              </w:rPr>
              <w:t xml:space="preserve"> URAI, N (%)</w:t>
            </w:r>
          </w:p>
        </w:tc>
        <w:tc>
          <w:tcPr>
            <w:tcW w:w="1408" w:type="dxa"/>
            <w:shd w:val="clear" w:color="auto" w:fill="FFFFFF"/>
          </w:tcPr>
          <w:p w14:paraId="0551D1DC"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753 (60)</w:t>
            </w:r>
          </w:p>
        </w:tc>
        <w:tc>
          <w:tcPr>
            <w:tcW w:w="1658" w:type="dxa"/>
            <w:shd w:val="clear" w:color="auto" w:fill="FFFFFF"/>
          </w:tcPr>
          <w:p w14:paraId="2EEC9DDE"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732 (59)</w:t>
            </w:r>
          </w:p>
        </w:tc>
      </w:tr>
      <w:tr w:rsidR="00607595" w:rsidRPr="00306051" w14:paraId="2ECFE78D" w14:textId="77777777" w:rsidTr="000A3F61">
        <w:tc>
          <w:tcPr>
            <w:tcW w:w="6084" w:type="dxa"/>
            <w:shd w:val="clear" w:color="auto" w:fill="FFFFFF"/>
          </w:tcPr>
          <w:p w14:paraId="7E49B4FA"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Осының алдындағы</w:t>
            </w:r>
            <w:r w:rsidRPr="00306051">
              <w:rPr>
                <w:rFonts w:ascii="Times New Roman" w:hAnsi="Times New Roman" w:cs="Times New Roman"/>
                <w:sz w:val="24"/>
                <w:szCs w:val="24"/>
              </w:rPr>
              <w:t xml:space="preserve"> 6 </w:t>
            </w:r>
            <w:r w:rsidRPr="00306051">
              <w:rPr>
                <w:rFonts w:ascii="Times New Roman" w:hAnsi="Times New Roman" w:cs="Times New Roman"/>
                <w:sz w:val="24"/>
                <w:szCs w:val="24"/>
                <w:lang w:val="kk-KZ"/>
              </w:rPr>
              <w:t>ай ішіндегі АИТВ-мен</w:t>
            </w:r>
            <w:r w:rsidRPr="00306051">
              <w:rPr>
                <w:rFonts w:ascii="Times New Roman" w:hAnsi="Times New Roman" w:cs="Times New Roman"/>
                <w:sz w:val="24"/>
                <w:szCs w:val="24"/>
              </w:rPr>
              <w:t xml:space="preserve"> + (</w:t>
            </w:r>
            <w:r w:rsidRPr="00306051">
              <w:rPr>
                <w:rFonts w:ascii="Times New Roman" w:hAnsi="Times New Roman" w:cs="Times New Roman"/>
                <w:sz w:val="24"/>
                <w:szCs w:val="24"/>
                <w:lang w:val="kk-KZ"/>
              </w:rPr>
              <w:t>немесе</w:t>
            </w:r>
            <w:r w:rsidRPr="00306051">
              <w:rPr>
                <w:rFonts w:ascii="Times New Roman" w:hAnsi="Times New Roman" w:cs="Times New Roman"/>
                <w:sz w:val="24"/>
                <w:szCs w:val="24"/>
              </w:rPr>
              <w:t xml:space="preserve"> статус</w:t>
            </w:r>
            <w:r w:rsidRPr="00306051">
              <w:rPr>
                <w:rFonts w:ascii="Times New Roman" w:hAnsi="Times New Roman" w:cs="Times New Roman"/>
                <w:sz w:val="24"/>
                <w:szCs w:val="24"/>
                <w:lang w:val="kk-KZ"/>
              </w:rPr>
              <w:t>ы белгісіз</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серіктесімен</w:t>
            </w:r>
            <w:r w:rsidRPr="00306051">
              <w:rPr>
                <w:rFonts w:ascii="Times New Roman" w:hAnsi="Times New Roman" w:cs="Times New Roman"/>
                <w:sz w:val="24"/>
                <w:szCs w:val="24"/>
              </w:rPr>
              <w:t xml:space="preserve"> URAI, N (%)</w:t>
            </w:r>
          </w:p>
        </w:tc>
        <w:tc>
          <w:tcPr>
            <w:tcW w:w="1408" w:type="dxa"/>
            <w:shd w:val="clear" w:color="auto" w:fill="FFFFFF"/>
          </w:tcPr>
          <w:p w14:paraId="6CB0C464"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1 009 (81)</w:t>
            </w:r>
          </w:p>
        </w:tc>
        <w:tc>
          <w:tcPr>
            <w:tcW w:w="1658" w:type="dxa"/>
            <w:shd w:val="clear" w:color="auto" w:fill="FFFFFF"/>
          </w:tcPr>
          <w:p w14:paraId="546B2DFB"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992 (79)</w:t>
            </w:r>
          </w:p>
        </w:tc>
      </w:tr>
      <w:tr w:rsidR="00607595" w:rsidRPr="00306051" w14:paraId="29BA9755" w14:textId="77777777" w:rsidTr="000A3F61">
        <w:tc>
          <w:tcPr>
            <w:tcW w:w="6084" w:type="dxa"/>
            <w:shd w:val="clear" w:color="auto" w:fill="FFFFFF"/>
          </w:tcPr>
          <w:p w14:paraId="78F2DF3D" w14:textId="77777777" w:rsidR="00607595" w:rsidRPr="00306051" w:rsidRDefault="00607595" w:rsidP="00E0175E">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Соңғы</w:t>
            </w:r>
            <w:r w:rsidRPr="00306051">
              <w:rPr>
                <w:rFonts w:ascii="Times New Roman" w:hAnsi="Times New Roman" w:cs="Times New Roman"/>
                <w:sz w:val="24"/>
                <w:szCs w:val="24"/>
              </w:rPr>
              <w:t xml:space="preserve"> 6 </w:t>
            </w:r>
            <w:r w:rsidRPr="00306051">
              <w:rPr>
                <w:rFonts w:ascii="Times New Roman" w:hAnsi="Times New Roman" w:cs="Times New Roman"/>
                <w:sz w:val="24"/>
                <w:szCs w:val="24"/>
                <w:lang w:val="kk-KZ"/>
              </w:rPr>
              <w:t>ай ішінде</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коммер</w:t>
            </w:r>
            <w:proofErr w:type="spellEnd"/>
            <w:r w:rsidRPr="00306051">
              <w:rPr>
                <w:rFonts w:ascii="Times New Roman" w:hAnsi="Times New Roman" w:cs="Times New Roman"/>
                <w:sz w:val="24"/>
                <w:szCs w:val="24"/>
                <w:lang w:val="kk-KZ"/>
              </w:rPr>
              <w:t xml:space="preserve">циялық </w:t>
            </w:r>
            <w:r w:rsidR="00E0175E">
              <w:rPr>
                <w:rFonts w:ascii="Times New Roman" w:hAnsi="Times New Roman" w:cs="Times New Roman"/>
                <w:sz w:val="24"/>
                <w:szCs w:val="24"/>
                <w:lang w:val="kk-KZ"/>
              </w:rPr>
              <w:t xml:space="preserve">жыныстық қатынасқа </w:t>
            </w:r>
            <w:r w:rsidRPr="00306051">
              <w:rPr>
                <w:rFonts w:ascii="Times New Roman" w:hAnsi="Times New Roman" w:cs="Times New Roman"/>
                <w:sz w:val="24"/>
                <w:szCs w:val="24"/>
                <w:lang w:val="kk-KZ"/>
              </w:rPr>
              <w:t>қатысу</w:t>
            </w:r>
            <w:r w:rsidRPr="00306051">
              <w:rPr>
                <w:rFonts w:ascii="Times New Roman" w:hAnsi="Times New Roman" w:cs="Times New Roman"/>
                <w:sz w:val="24"/>
                <w:szCs w:val="24"/>
              </w:rPr>
              <w:t xml:space="preserve">, N (%) </w:t>
            </w:r>
          </w:p>
        </w:tc>
        <w:tc>
          <w:tcPr>
            <w:tcW w:w="1408" w:type="dxa"/>
            <w:shd w:val="clear" w:color="auto" w:fill="FFFFFF"/>
          </w:tcPr>
          <w:p w14:paraId="186B3141"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510 (41)</w:t>
            </w:r>
          </w:p>
        </w:tc>
        <w:tc>
          <w:tcPr>
            <w:tcW w:w="1658" w:type="dxa"/>
            <w:shd w:val="clear" w:color="auto" w:fill="FFFFFF"/>
          </w:tcPr>
          <w:p w14:paraId="634D5B76"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517 (41)</w:t>
            </w:r>
          </w:p>
        </w:tc>
      </w:tr>
      <w:tr w:rsidR="00607595" w:rsidRPr="00306051" w14:paraId="6CAFC7B2" w14:textId="77777777" w:rsidTr="000A3F61">
        <w:tc>
          <w:tcPr>
            <w:tcW w:w="6084" w:type="dxa"/>
            <w:shd w:val="clear" w:color="auto" w:fill="FFFFFF"/>
          </w:tcPr>
          <w:p w14:paraId="764C6D12"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 xml:space="preserve">Соңғы </w:t>
            </w:r>
            <w:r w:rsidRPr="00306051">
              <w:rPr>
                <w:rFonts w:ascii="Times New Roman" w:hAnsi="Times New Roman" w:cs="Times New Roman"/>
                <w:sz w:val="24"/>
                <w:szCs w:val="24"/>
              </w:rPr>
              <w:t xml:space="preserve">6 </w:t>
            </w:r>
            <w:r w:rsidRPr="00306051">
              <w:rPr>
                <w:rFonts w:ascii="Times New Roman" w:hAnsi="Times New Roman" w:cs="Times New Roman"/>
                <w:sz w:val="24"/>
                <w:szCs w:val="24"/>
                <w:lang w:val="kk-KZ"/>
              </w:rPr>
              <w:t xml:space="preserve">ай ішіндегі АИТВ  </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серіктесімен</w:t>
            </w:r>
            <w:r w:rsidRPr="00306051">
              <w:rPr>
                <w:rFonts w:ascii="Times New Roman" w:hAnsi="Times New Roman" w:cs="Times New Roman"/>
                <w:sz w:val="24"/>
                <w:szCs w:val="24"/>
              </w:rPr>
              <w:t xml:space="preserve"> </w:t>
            </w:r>
            <w:r w:rsidR="00E0175E" w:rsidRPr="00E0175E">
              <w:rPr>
                <w:rFonts w:ascii="Times New Roman" w:hAnsi="Times New Roman" w:cs="Times New Roman"/>
                <w:sz w:val="24"/>
                <w:szCs w:val="24"/>
                <w:lang w:val="kk-KZ"/>
              </w:rPr>
              <w:t>жыныстық қатынас</w:t>
            </w:r>
            <w:r w:rsidRPr="00306051">
              <w:rPr>
                <w:rFonts w:ascii="Times New Roman" w:hAnsi="Times New Roman" w:cs="Times New Roman"/>
                <w:sz w:val="24"/>
                <w:szCs w:val="24"/>
              </w:rPr>
              <w:t>, N (%)</w:t>
            </w:r>
          </w:p>
        </w:tc>
        <w:tc>
          <w:tcPr>
            <w:tcW w:w="1408" w:type="dxa"/>
            <w:shd w:val="clear" w:color="auto" w:fill="FFFFFF"/>
          </w:tcPr>
          <w:p w14:paraId="6D013988"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32 (3)</w:t>
            </w:r>
          </w:p>
        </w:tc>
        <w:tc>
          <w:tcPr>
            <w:tcW w:w="1658" w:type="dxa"/>
            <w:shd w:val="clear" w:color="auto" w:fill="FFFFFF"/>
          </w:tcPr>
          <w:p w14:paraId="6309091F"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23 (2)</w:t>
            </w:r>
          </w:p>
        </w:tc>
      </w:tr>
      <w:tr w:rsidR="00607595" w:rsidRPr="00306051" w14:paraId="2EAF1392" w14:textId="77777777" w:rsidTr="000A3F61">
        <w:tc>
          <w:tcPr>
            <w:tcW w:w="6084" w:type="dxa"/>
            <w:shd w:val="clear" w:color="auto" w:fill="FFFFFF"/>
          </w:tcPr>
          <w:p w14:paraId="2E8CE4E9"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Мерез с</w:t>
            </w:r>
            <w:proofErr w:type="spellStart"/>
            <w:r w:rsidRPr="00306051">
              <w:rPr>
                <w:rFonts w:ascii="Times New Roman" w:hAnsi="Times New Roman" w:cs="Times New Roman"/>
                <w:sz w:val="24"/>
                <w:szCs w:val="24"/>
              </w:rPr>
              <w:t>ерореактив</w:t>
            </w:r>
            <w:proofErr w:type="spellEnd"/>
            <w:r w:rsidRPr="00306051">
              <w:rPr>
                <w:rFonts w:ascii="Times New Roman" w:hAnsi="Times New Roman" w:cs="Times New Roman"/>
                <w:sz w:val="24"/>
                <w:szCs w:val="24"/>
                <w:lang w:val="kk-KZ"/>
              </w:rPr>
              <w:t>тілігі</w:t>
            </w:r>
            <w:r w:rsidRPr="00306051">
              <w:rPr>
                <w:rFonts w:ascii="Times New Roman" w:hAnsi="Times New Roman" w:cs="Times New Roman"/>
                <w:sz w:val="24"/>
                <w:szCs w:val="24"/>
              </w:rPr>
              <w:t>, N (%)</w:t>
            </w:r>
          </w:p>
        </w:tc>
        <w:tc>
          <w:tcPr>
            <w:tcW w:w="1408" w:type="dxa"/>
            <w:shd w:val="clear" w:color="auto" w:fill="FFFFFF"/>
          </w:tcPr>
          <w:p w14:paraId="6E369230"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162/1 239 (13)</w:t>
            </w:r>
          </w:p>
        </w:tc>
        <w:tc>
          <w:tcPr>
            <w:tcW w:w="1658" w:type="dxa"/>
            <w:shd w:val="clear" w:color="auto" w:fill="FFFFFF"/>
          </w:tcPr>
          <w:p w14:paraId="3E932995"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164/1 240 (13)</w:t>
            </w:r>
          </w:p>
        </w:tc>
      </w:tr>
      <w:tr w:rsidR="00607595" w:rsidRPr="00306051" w14:paraId="7DEB4E1D" w14:textId="77777777" w:rsidTr="000A3F61">
        <w:tc>
          <w:tcPr>
            <w:tcW w:w="6084" w:type="dxa"/>
            <w:shd w:val="clear" w:color="auto" w:fill="FFFFFF"/>
          </w:tcPr>
          <w:p w14:paraId="0D8E84BC"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 xml:space="preserve">Сарысудағы </w:t>
            </w:r>
            <w:r w:rsidRPr="00306051">
              <w:rPr>
                <w:rFonts w:ascii="Times New Roman" w:hAnsi="Times New Roman" w:cs="Times New Roman"/>
                <w:sz w:val="24"/>
                <w:szCs w:val="24"/>
              </w:rPr>
              <w:t>2 тип</w:t>
            </w:r>
            <w:r w:rsidRPr="00306051">
              <w:rPr>
                <w:rFonts w:ascii="Times New Roman" w:hAnsi="Times New Roman" w:cs="Times New Roman"/>
                <w:sz w:val="24"/>
                <w:szCs w:val="24"/>
                <w:lang w:val="kk-KZ"/>
              </w:rPr>
              <w:t>ті қарапайым</w:t>
            </w:r>
            <w:r w:rsidRPr="00306051">
              <w:rPr>
                <w:rFonts w:ascii="Times New Roman" w:hAnsi="Times New Roman" w:cs="Times New Roman"/>
                <w:sz w:val="24"/>
                <w:szCs w:val="24"/>
              </w:rPr>
              <w:t xml:space="preserve"> герпес</w:t>
            </w:r>
            <w:r w:rsidRPr="00306051">
              <w:rPr>
                <w:rFonts w:ascii="Times New Roman" w:hAnsi="Times New Roman" w:cs="Times New Roman"/>
                <w:sz w:val="24"/>
                <w:szCs w:val="24"/>
                <w:lang w:val="kk-KZ"/>
              </w:rPr>
              <w:t xml:space="preserve"> </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в</w:t>
            </w:r>
            <w:proofErr w:type="spellStart"/>
            <w:r w:rsidRPr="00306051">
              <w:rPr>
                <w:rFonts w:ascii="Times New Roman" w:hAnsi="Times New Roman" w:cs="Times New Roman"/>
                <w:sz w:val="24"/>
                <w:szCs w:val="24"/>
              </w:rPr>
              <w:t>ирус</w:t>
            </w:r>
            <w:proofErr w:type="spellEnd"/>
            <w:r w:rsidRPr="00306051">
              <w:rPr>
                <w:rFonts w:ascii="Times New Roman" w:hAnsi="Times New Roman" w:cs="Times New Roman"/>
                <w:sz w:val="24"/>
                <w:szCs w:val="24"/>
                <w:lang w:val="kk-KZ"/>
              </w:rPr>
              <w:t>ы</w:t>
            </w:r>
            <w:r w:rsidRPr="00306051">
              <w:rPr>
                <w:rFonts w:ascii="Times New Roman" w:hAnsi="Times New Roman" w:cs="Times New Roman"/>
                <w:sz w:val="24"/>
                <w:szCs w:val="24"/>
              </w:rPr>
              <w:t>, инфекция, N (%)</w:t>
            </w:r>
          </w:p>
        </w:tc>
        <w:tc>
          <w:tcPr>
            <w:tcW w:w="1408" w:type="dxa"/>
            <w:shd w:val="clear" w:color="auto" w:fill="FFFFFF"/>
          </w:tcPr>
          <w:p w14:paraId="2F86D8B8"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430/1 243 (35)</w:t>
            </w:r>
          </w:p>
        </w:tc>
        <w:tc>
          <w:tcPr>
            <w:tcW w:w="1658" w:type="dxa"/>
            <w:shd w:val="clear" w:color="auto" w:fill="FFFFFF"/>
          </w:tcPr>
          <w:p w14:paraId="6334DC10"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458/1 241 (37)</w:t>
            </w:r>
          </w:p>
        </w:tc>
      </w:tr>
      <w:tr w:rsidR="00607595" w:rsidRPr="00306051" w14:paraId="41D2F48F" w14:textId="77777777" w:rsidTr="000A3F61">
        <w:tc>
          <w:tcPr>
            <w:tcW w:w="6084" w:type="dxa"/>
            <w:shd w:val="clear" w:color="auto" w:fill="FFFFFF"/>
          </w:tcPr>
          <w:p w14:paraId="4720BBDA"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 xml:space="preserve">Несептегі </w:t>
            </w:r>
            <w:r w:rsidRPr="00306051">
              <w:rPr>
                <w:rFonts w:ascii="Times New Roman" w:hAnsi="Times New Roman" w:cs="Times New Roman"/>
                <w:sz w:val="24"/>
                <w:szCs w:val="24"/>
              </w:rPr>
              <w:t>лейкоцит</w:t>
            </w:r>
            <w:r w:rsidRPr="00306051">
              <w:rPr>
                <w:rFonts w:ascii="Times New Roman" w:hAnsi="Times New Roman" w:cs="Times New Roman"/>
                <w:sz w:val="24"/>
                <w:szCs w:val="24"/>
                <w:lang w:val="kk-KZ"/>
              </w:rPr>
              <w:t>тер</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э</w:t>
            </w:r>
            <w:proofErr w:type="spellStart"/>
            <w:r w:rsidRPr="00306051">
              <w:rPr>
                <w:rFonts w:ascii="Times New Roman" w:hAnsi="Times New Roman" w:cs="Times New Roman"/>
                <w:sz w:val="24"/>
                <w:szCs w:val="24"/>
              </w:rPr>
              <w:t>стераза</w:t>
            </w:r>
            <w:proofErr w:type="spellEnd"/>
            <w:r w:rsidRPr="00306051">
              <w:rPr>
                <w:rFonts w:ascii="Times New Roman" w:hAnsi="Times New Roman" w:cs="Times New Roman"/>
                <w:sz w:val="24"/>
                <w:szCs w:val="24"/>
                <w:lang w:val="kk-KZ"/>
              </w:rPr>
              <w:t>сы</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оң</w:t>
            </w:r>
            <w:r w:rsidRPr="00306051">
              <w:rPr>
                <w:rFonts w:ascii="Times New Roman" w:hAnsi="Times New Roman" w:cs="Times New Roman"/>
                <w:sz w:val="24"/>
                <w:szCs w:val="24"/>
              </w:rPr>
              <w:t xml:space="preserve">, N (%) </w:t>
            </w:r>
          </w:p>
        </w:tc>
        <w:tc>
          <w:tcPr>
            <w:tcW w:w="1408" w:type="dxa"/>
            <w:shd w:val="clear" w:color="auto" w:fill="FFFFFF"/>
          </w:tcPr>
          <w:p w14:paraId="4DD363D9"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22 (2)</w:t>
            </w:r>
          </w:p>
        </w:tc>
        <w:tc>
          <w:tcPr>
            <w:tcW w:w="1658" w:type="dxa"/>
            <w:shd w:val="clear" w:color="auto" w:fill="FFFFFF"/>
          </w:tcPr>
          <w:p w14:paraId="41AA6AE0"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23 (2)</w:t>
            </w:r>
          </w:p>
        </w:tc>
      </w:tr>
    </w:tbl>
    <w:p w14:paraId="54FCDBFA" w14:textId="77777777" w:rsidR="00607595" w:rsidRPr="00E0175E" w:rsidRDefault="00607595">
      <w:pPr>
        <w:shd w:val="clear" w:color="auto" w:fill="FFFFFF"/>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0"/>
          <w:szCs w:val="20"/>
        </w:rPr>
        <w:t xml:space="preserve">URAI – </w:t>
      </w:r>
      <w:r w:rsidRPr="00306051">
        <w:rPr>
          <w:rFonts w:ascii="Times New Roman" w:hAnsi="Times New Roman" w:cs="Times New Roman"/>
          <w:sz w:val="20"/>
          <w:szCs w:val="20"/>
          <w:lang w:val="kk-KZ"/>
        </w:rPr>
        <w:t>сақтанусыз</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рецептив</w:t>
      </w:r>
      <w:proofErr w:type="spellEnd"/>
      <w:r w:rsidRPr="00306051">
        <w:rPr>
          <w:rFonts w:ascii="Times New Roman" w:hAnsi="Times New Roman" w:cs="Times New Roman"/>
          <w:sz w:val="20"/>
          <w:szCs w:val="20"/>
          <w:lang w:val="kk-KZ"/>
        </w:rPr>
        <w:t>тік</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аналь</w:t>
      </w:r>
      <w:proofErr w:type="spellEnd"/>
      <w:r w:rsidRPr="00306051">
        <w:rPr>
          <w:rFonts w:ascii="Times New Roman" w:hAnsi="Times New Roman" w:cs="Times New Roman"/>
          <w:sz w:val="20"/>
          <w:szCs w:val="20"/>
          <w:lang w:val="kk-KZ"/>
        </w:rPr>
        <w:t>ді</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жыныстық</w:t>
      </w:r>
      <w:r w:rsidRPr="00306051">
        <w:rPr>
          <w:rFonts w:ascii="Times New Roman" w:hAnsi="Times New Roman" w:cs="Times New Roman"/>
          <w:sz w:val="20"/>
          <w:szCs w:val="20"/>
        </w:rPr>
        <w:t xml:space="preserve"> </w:t>
      </w:r>
      <w:r w:rsidR="00E0175E">
        <w:rPr>
          <w:rFonts w:ascii="Times New Roman" w:hAnsi="Times New Roman" w:cs="Times New Roman"/>
          <w:sz w:val="20"/>
          <w:szCs w:val="20"/>
          <w:lang w:val="kk-KZ"/>
        </w:rPr>
        <w:t>қатынас</w:t>
      </w:r>
    </w:p>
    <w:p w14:paraId="038FF159" w14:textId="77777777" w:rsidR="00607595" w:rsidRPr="00306051" w:rsidRDefault="00607595">
      <w:pPr>
        <w:shd w:val="clear" w:color="auto" w:fill="FFFFFF"/>
        <w:spacing w:after="0" w:line="100" w:lineRule="atLeast"/>
        <w:jc w:val="both"/>
        <w:rPr>
          <w:rFonts w:ascii="Times New Roman" w:eastAsia="Times New Roman" w:hAnsi="Times New Roman" w:cs="Times New Roman"/>
          <w:sz w:val="24"/>
          <w:szCs w:val="24"/>
          <w:lang w:val="kk-KZ"/>
        </w:rPr>
      </w:pPr>
      <w:r w:rsidRPr="00306051">
        <w:rPr>
          <w:rFonts w:ascii="Times New Roman" w:hAnsi="Times New Roman" w:cs="Times New Roman"/>
          <w:sz w:val="24"/>
          <w:szCs w:val="24"/>
          <w:lang w:val="kk-KZ"/>
        </w:rPr>
        <w:t xml:space="preserve">АИТВ-сероконверсиясының жаңа жағдайларының жалпы алғандағы және сақтанусыз рецептивтік анальді жыныстық </w:t>
      </w:r>
      <w:r w:rsidR="005848F4">
        <w:rPr>
          <w:rFonts w:ascii="Times New Roman" w:hAnsi="Times New Roman" w:cs="Times New Roman"/>
          <w:sz w:val="24"/>
          <w:szCs w:val="24"/>
          <w:lang w:val="kk-KZ"/>
        </w:rPr>
        <w:t>қатынас</w:t>
      </w:r>
      <w:r w:rsidRPr="00306051">
        <w:rPr>
          <w:rFonts w:ascii="Times New Roman" w:hAnsi="Times New Roman" w:cs="Times New Roman"/>
          <w:sz w:val="24"/>
          <w:szCs w:val="24"/>
          <w:lang w:val="kk-KZ"/>
        </w:rPr>
        <w:t xml:space="preserve"> тіркелген қосалқы топтағы жиілігі 6 кестеде келтірілген. Тиімділігі қатаң түрде, емге бейілділікпен салыстырылды, ол жағдай-</w:t>
      </w:r>
      <w:r w:rsidRPr="00306051">
        <w:rPr>
          <w:rFonts w:ascii="Times New Roman" w:hAnsi="Times New Roman" w:cs="Times New Roman"/>
          <w:sz w:val="24"/>
          <w:szCs w:val="24"/>
          <w:lang w:val="kk-KZ"/>
        </w:rPr>
        <w:lastRenderedPageBreak/>
        <w:t xml:space="preserve">бақылау әдісімен зерттеуде препараттың плазмадағы немесе жасушалар ішіндегі деңгейлерін анықтау жолымен бағаланған (7 кесте). </w:t>
      </w:r>
    </w:p>
    <w:p w14:paraId="442A898C" w14:textId="77777777" w:rsidR="00607595" w:rsidRPr="00306051" w:rsidRDefault="00607595">
      <w:pPr>
        <w:shd w:val="clear" w:color="auto" w:fill="FFFFFF"/>
        <w:spacing w:after="0" w:line="100" w:lineRule="atLeast"/>
        <w:jc w:val="both"/>
        <w:rPr>
          <w:lang w:val="kk-KZ"/>
        </w:rPr>
      </w:pPr>
      <w:r w:rsidRPr="00306051">
        <w:rPr>
          <w:rFonts w:ascii="Times New Roman" w:eastAsia="Times New Roman" w:hAnsi="Times New Roman" w:cs="Times New Roman"/>
          <w:sz w:val="24"/>
          <w:szCs w:val="24"/>
          <w:lang w:val="kk-KZ"/>
        </w:rPr>
        <w:t>6 кесте: CO-US-104-0288 (iPrEx) зерттеуіндегі тиімділігі</w:t>
      </w:r>
    </w:p>
    <w:tbl>
      <w:tblPr>
        <w:tblW w:w="0" w:type="auto"/>
        <w:tblInd w:w="-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30" w:type="dxa"/>
          <w:left w:w="30" w:type="dxa"/>
          <w:bottom w:w="30" w:type="dxa"/>
          <w:right w:w="30" w:type="dxa"/>
        </w:tblCellMar>
        <w:tblLook w:val="0000" w:firstRow="0" w:lastRow="0" w:firstColumn="0" w:lastColumn="0" w:noHBand="0" w:noVBand="0"/>
      </w:tblPr>
      <w:tblGrid>
        <w:gridCol w:w="5234"/>
        <w:gridCol w:w="1315"/>
        <w:gridCol w:w="1100"/>
        <w:gridCol w:w="39"/>
        <w:gridCol w:w="1417"/>
      </w:tblGrid>
      <w:tr w:rsidR="00607595" w:rsidRPr="00306051" w14:paraId="40875434" w14:textId="77777777" w:rsidTr="00465145">
        <w:tc>
          <w:tcPr>
            <w:tcW w:w="5234" w:type="dxa"/>
            <w:shd w:val="clear" w:color="auto" w:fill="FFFFFF"/>
            <w:vAlign w:val="bottom"/>
          </w:tcPr>
          <w:p w14:paraId="2EEB8BC3" w14:textId="77777777" w:rsidR="00607595" w:rsidRPr="00306051" w:rsidRDefault="00607595">
            <w:pPr>
              <w:shd w:val="clear" w:color="auto" w:fill="FFFFFF"/>
              <w:snapToGrid w:val="0"/>
              <w:spacing w:after="0" w:line="100" w:lineRule="atLeast"/>
              <w:jc w:val="both"/>
              <w:rPr>
                <w:lang w:val="kk-KZ"/>
              </w:rPr>
            </w:pPr>
          </w:p>
        </w:tc>
        <w:tc>
          <w:tcPr>
            <w:tcW w:w="1315" w:type="dxa"/>
            <w:shd w:val="clear" w:color="auto" w:fill="FFFFFF"/>
            <w:vAlign w:val="bottom"/>
          </w:tcPr>
          <w:p w14:paraId="1D5D91C2"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Плацебо</w:t>
            </w:r>
          </w:p>
        </w:tc>
        <w:tc>
          <w:tcPr>
            <w:tcW w:w="1100" w:type="dxa"/>
            <w:shd w:val="clear" w:color="auto" w:fill="FFFFFF"/>
            <w:vAlign w:val="bottom"/>
          </w:tcPr>
          <w:p w14:paraId="29AD71C1"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proofErr w:type="spellStart"/>
            <w:r w:rsidRPr="00306051">
              <w:rPr>
                <w:rFonts w:ascii="Times New Roman" w:hAnsi="Times New Roman" w:cs="Times New Roman"/>
                <w:sz w:val="24"/>
                <w:szCs w:val="24"/>
              </w:rPr>
              <w:t>Эмтрицитабин</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және</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фумарат</w:t>
            </w:r>
            <w:proofErr w:type="spellEnd"/>
            <w:r w:rsidRPr="00306051">
              <w:rPr>
                <w:rFonts w:ascii="Times New Roman" w:hAnsi="Times New Roman" w:cs="Times New Roman"/>
                <w:sz w:val="24"/>
                <w:szCs w:val="24"/>
                <w:lang w:val="kk-KZ"/>
              </w:rPr>
              <w:t>ы</w:t>
            </w:r>
          </w:p>
        </w:tc>
        <w:tc>
          <w:tcPr>
            <w:tcW w:w="1456" w:type="dxa"/>
            <w:gridSpan w:val="2"/>
            <w:shd w:val="clear" w:color="auto" w:fill="FFFFFF"/>
            <w:vAlign w:val="bottom"/>
          </w:tcPr>
          <w:p w14:paraId="7DF1CE61"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P-</w:t>
            </w:r>
            <w:r w:rsidRPr="00306051">
              <w:rPr>
                <w:rFonts w:ascii="Times New Roman" w:hAnsi="Times New Roman" w:cs="Times New Roman"/>
                <w:sz w:val="24"/>
                <w:szCs w:val="24"/>
                <w:lang w:val="kk-KZ"/>
              </w:rPr>
              <w:t>мәні</w:t>
            </w:r>
            <w:r w:rsidRPr="00306051">
              <w:rPr>
                <w:rFonts w:ascii="Times New Roman" w:hAnsi="Times New Roman" w:cs="Times New Roman"/>
                <w:sz w:val="24"/>
                <w:szCs w:val="24"/>
              </w:rPr>
              <w:t xml:space="preserve"> </w:t>
            </w:r>
            <w:r w:rsidRPr="00306051">
              <w:rPr>
                <w:rFonts w:ascii="Times New Roman" w:hAnsi="Times New Roman" w:cs="Times New Roman"/>
                <w:sz w:val="24"/>
                <w:szCs w:val="24"/>
                <w:vertAlign w:val="superscript"/>
              </w:rPr>
              <w:t>a, b</w:t>
            </w:r>
          </w:p>
        </w:tc>
      </w:tr>
      <w:tr w:rsidR="000A3F61" w:rsidRPr="00306051" w14:paraId="3EA4BDDE" w14:textId="77777777" w:rsidTr="00465145">
        <w:tblPrEx>
          <w:tblCellMar>
            <w:top w:w="0" w:type="dxa"/>
            <w:left w:w="0" w:type="dxa"/>
            <w:bottom w:w="0" w:type="dxa"/>
            <w:right w:w="0" w:type="dxa"/>
          </w:tblCellMar>
        </w:tblPrEx>
        <w:tc>
          <w:tcPr>
            <w:tcW w:w="9105" w:type="dxa"/>
            <w:gridSpan w:val="5"/>
            <w:shd w:val="clear" w:color="auto" w:fill="FFFFFF"/>
          </w:tcPr>
          <w:p w14:paraId="22B61733" w14:textId="77777777" w:rsidR="000A3F61" w:rsidRPr="00306051" w:rsidRDefault="000A3F61">
            <w:pPr>
              <w:snapToGrid w:val="0"/>
            </w:pPr>
            <w:proofErr w:type="spellStart"/>
            <w:r w:rsidRPr="00306051">
              <w:rPr>
                <w:rFonts w:ascii="Times New Roman" w:hAnsi="Times New Roman" w:cs="Times New Roman"/>
                <w:sz w:val="24"/>
                <w:szCs w:val="24"/>
              </w:rPr>
              <w:t>Модифи</w:t>
            </w:r>
            <w:proofErr w:type="spellEnd"/>
            <w:r w:rsidRPr="00306051">
              <w:rPr>
                <w:rFonts w:ascii="Times New Roman" w:hAnsi="Times New Roman" w:cs="Times New Roman"/>
                <w:sz w:val="24"/>
                <w:szCs w:val="24"/>
                <w:lang w:val="kk-KZ"/>
              </w:rPr>
              <w:t>ка</w:t>
            </w:r>
            <w:proofErr w:type="spellStart"/>
            <w:r w:rsidRPr="00306051">
              <w:rPr>
                <w:rFonts w:ascii="Times New Roman" w:hAnsi="Times New Roman" w:cs="Times New Roman"/>
                <w:sz w:val="24"/>
                <w:szCs w:val="24"/>
              </w:rPr>
              <w:t>ци</w:t>
            </w:r>
            <w:proofErr w:type="spellEnd"/>
            <w:r w:rsidRPr="00306051">
              <w:rPr>
                <w:rFonts w:ascii="Times New Roman" w:hAnsi="Times New Roman" w:cs="Times New Roman"/>
                <w:sz w:val="24"/>
                <w:szCs w:val="24"/>
                <w:lang w:val="kk-KZ"/>
              </w:rPr>
              <w:t>яланған</w:t>
            </w:r>
            <w:r w:rsidRPr="00306051">
              <w:rPr>
                <w:rFonts w:ascii="Times New Roman" w:hAnsi="Times New Roman" w:cs="Times New Roman"/>
                <w:sz w:val="24"/>
                <w:szCs w:val="24"/>
              </w:rPr>
              <w:t xml:space="preserve"> ITT-</w:t>
            </w:r>
            <w:proofErr w:type="spellStart"/>
            <w:r w:rsidRPr="00306051">
              <w:rPr>
                <w:rFonts w:ascii="Times New Roman" w:hAnsi="Times New Roman" w:cs="Times New Roman"/>
                <w:sz w:val="24"/>
                <w:szCs w:val="24"/>
              </w:rPr>
              <w:t>популяци</w:t>
            </w:r>
            <w:proofErr w:type="spellEnd"/>
            <w:r w:rsidRPr="00306051">
              <w:rPr>
                <w:rFonts w:ascii="Times New Roman" w:hAnsi="Times New Roman" w:cs="Times New Roman"/>
                <w:sz w:val="24"/>
                <w:szCs w:val="24"/>
                <w:lang w:val="kk-KZ"/>
              </w:rPr>
              <w:t>яның талдауы</w:t>
            </w:r>
            <w:r w:rsidRPr="00306051">
              <w:rPr>
                <w:rFonts w:ascii="Times New Roman" w:hAnsi="Times New Roman" w:cs="Times New Roman"/>
                <w:sz w:val="24"/>
                <w:szCs w:val="24"/>
              </w:rPr>
              <w:t xml:space="preserve"> </w:t>
            </w:r>
          </w:p>
        </w:tc>
      </w:tr>
      <w:tr w:rsidR="00607595" w:rsidRPr="00306051" w14:paraId="3CE44E5D" w14:textId="77777777" w:rsidTr="00465145">
        <w:tc>
          <w:tcPr>
            <w:tcW w:w="5234" w:type="dxa"/>
            <w:shd w:val="clear" w:color="auto" w:fill="FFFFFF"/>
          </w:tcPr>
          <w:p w14:paraId="5114CC48"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proofErr w:type="spellStart"/>
            <w:r w:rsidRPr="00306051">
              <w:rPr>
                <w:rFonts w:ascii="Times New Roman" w:hAnsi="Times New Roman" w:cs="Times New Roman"/>
                <w:sz w:val="24"/>
                <w:szCs w:val="24"/>
              </w:rPr>
              <w:t>Сероконверсия</w:t>
            </w:r>
            <w:proofErr w:type="spellEnd"/>
            <w:r w:rsidRPr="00306051">
              <w:rPr>
                <w:rFonts w:ascii="Times New Roman" w:hAnsi="Times New Roman" w:cs="Times New Roman"/>
                <w:sz w:val="24"/>
                <w:szCs w:val="24"/>
              </w:rPr>
              <w:t xml:space="preserve">/N </w:t>
            </w:r>
          </w:p>
        </w:tc>
        <w:tc>
          <w:tcPr>
            <w:tcW w:w="1315" w:type="dxa"/>
            <w:shd w:val="clear" w:color="auto" w:fill="FFFFFF"/>
            <w:vAlign w:val="bottom"/>
          </w:tcPr>
          <w:p w14:paraId="25EDCFCF"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83/1 217</w:t>
            </w:r>
          </w:p>
        </w:tc>
        <w:tc>
          <w:tcPr>
            <w:tcW w:w="1100" w:type="dxa"/>
            <w:shd w:val="clear" w:color="auto" w:fill="FFFFFF"/>
            <w:vAlign w:val="bottom"/>
          </w:tcPr>
          <w:p w14:paraId="2F49F006"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48/1 224</w:t>
            </w:r>
          </w:p>
        </w:tc>
        <w:tc>
          <w:tcPr>
            <w:tcW w:w="1456" w:type="dxa"/>
            <w:gridSpan w:val="2"/>
            <w:shd w:val="clear" w:color="auto" w:fill="FFFFFF"/>
            <w:vAlign w:val="center"/>
          </w:tcPr>
          <w:p w14:paraId="4289D605"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0,002</w:t>
            </w:r>
          </w:p>
        </w:tc>
      </w:tr>
      <w:tr w:rsidR="000A3F61" w:rsidRPr="00306051" w14:paraId="091C251A" w14:textId="77777777" w:rsidTr="00465145">
        <w:tblPrEx>
          <w:tblCellMar>
            <w:top w:w="0" w:type="dxa"/>
            <w:left w:w="0" w:type="dxa"/>
            <w:bottom w:w="0" w:type="dxa"/>
            <w:right w:w="0" w:type="dxa"/>
          </w:tblCellMar>
        </w:tblPrEx>
        <w:tc>
          <w:tcPr>
            <w:tcW w:w="5234" w:type="dxa"/>
            <w:shd w:val="clear" w:color="auto" w:fill="FFFFFF"/>
          </w:tcPr>
          <w:p w14:paraId="1D9F29BE" w14:textId="77777777" w:rsidR="000A3F61" w:rsidRPr="00306051" w:rsidRDefault="000A3F61">
            <w:pPr>
              <w:shd w:val="clear" w:color="auto" w:fill="FFFFFF"/>
              <w:spacing w:after="0" w:line="100" w:lineRule="atLeast"/>
              <w:jc w:val="both"/>
              <w:rPr>
                <w:rFonts w:ascii="Times New Roman" w:hAnsi="Times New Roman" w:cs="Times New Roman"/>
                <w:sz w:val="24"/>
                <w:szCs w:val="24"/>
              </w:rPr>
            </w:pPr>
            <w:proofErr w:type="spellStart"/>
            <w:r w:rsidRPr="00306051">
              <w:rPr>
                <w:rFonts w:ascii="Times New Roman" w:hAnsi="Times New Roman" w:cs="Times New Roman"/>
                <w:sz w:val="24"/>
                <w:szCs w:val="24"/>
              </w:rPr>
              <w:t>Қауіптің</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салыстырмалы</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төмендеуі</w:t>
            </w:r>
            <w:proofErr w:type="spellEnd"/>
            <w:r w:rsidRPr="00306051">
              <w:rPr>
                <w:rFonts w:ascii="Times New Roman" w:hAnsi="Times New Roman" w:cs="Times New Roman"/>
                <w:sz w:val="24"/>
                <w:szCs w:val="24"/>
              </w:rPr>
              <w:t xml:space="preserve"> (СА 95% </w:t>
            </w:r>
            <w:proofErr w:type="spellStart"/>
            <w:r w:rsidRPr="00306051">
              <w:rPr>
                <w:rFonts w:ascii="Times New Roman" w:hAnsi="Times New Roman" w:cs="Times New Roman"/>
                <w:sz w:val="24"/>
                <w:szCs w:val="24"/>
              </w:rPr>
              <w:t>деңгейінде</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vertAlign w:val="superscript"/>
              </w:rPr>
              <w:t>b</w:t>
            </w:r>
          </w:p>
        </w:tc>
        <w:tc>
          <w:tcPr>
            <w:tcW w:w="2415" w:type="dxa"/>
            <w:gridSpan w:val="2"/>
            <w:shd w:val="clear" w:color="auto" w:fill="FFFFFF"/>
            <w:vAlign w:val="center"/>
          </w:tcPr>
          <w:p w14:paraId="7E111D56" w14:textId="77777777" w:rsidR="000A3F61" w:rsidRPr="00306051" w:rsidRDefault="000A3F61">
            <w:pPr>
              <w:shd w:val="clear" w:color="auto" w:fill="FFFFFF"/>
              <w:spacing w:after="0" w:line="100" w:lineRule="atLeast"/>
              <w:jc w:val="center"/>
              <w:rPr>
                <w:rFonts w:ascii="Times New Roman" w:eastAsia="Times New Roman" w:hAnsi="Times New Roman" w:cs="Times New Roman"/>
                <w:sz w:val="24"/>
                <w:szCs w:val="24"/>
              </w:rPr>
            </w:pPr>
            <w:r w:rsidRPr="00306051">
              <w:rPr>
                <w:rFonts w:ascii="Times New Roman" w:hAnsi="Times New Roman" w:cs="Times New Roman"/>
                <w:sz w:val="24"/>
                <w:szCs w:val="24"/>
              </w:rPr>
              <w:t>42% (18%, 60%)</w:t>
            </w:r>
          </w:p>
        </w:tc>
        <w:tc>
          <w:tcPr>
            <w:tcW w:w="1456" w:type="dxa"/>
            <w:gridSpan w:val="2"/>
            <w:shd w:val="clear" w:color="auto" w:fill="FFFFFF"/>
          </w:tcPr>
          <w:p w14:paraId="719F58BC" w14:textId="77777777" w:rsidR="000A3F61" w:rsidRPr="00306051" w:rsidRDefault="000A3F61">
            <w:pPr>
              <w:snapToGrid w:val="0"/>
            </w:pPr>
          </w:p>
        </w:tc>
      </w:tr>
      <w:tr w:rsidR="000A3F61" w:rsidRPr="00306051" w14:paraId="7195E45E" w14:textId="77777777" w:rsidTr="00465145">
        <w:tblPrEx>
          <w:tblCellMar>
            <w:top w:w="0" w:type="dxa"/>
            <w:left w:w="0" w:type="dxa"/>
            <w:bottom w:w="0" w:type="dxa"/>
            <w:right w:w="0" w:type="dxa"/>
          </w:tblCellMar>
        </w:tblPrEx>
        <w:tc>
          <w:tcPr>
            <w:tcW w:w="9105" w:type="dxa"/>
            <w:gridSpan w:val="5"/>
            <w:shd w:val="clear" w:color="auto" w:fill="FFFFFF"/>
          </w:tcPr>
          <w:p w14:paraId="17C81337" w14:textId="77777777" w:rsidR="000A3F61" w:rsidRPr="00306051" w:rsidRDefault="000A3F61">
            <w:pPr>
              <w:snapToGrid w:val="0"/>
            </w:pPr>
            <w:r w:rsidRPr="00306051">
              <w:rPr>
                <w:rFonts w:ascii="Times New Roman" w:hAnsi="Times New Roman" w:cs="Times New Roman"/>
                <w:sz w:val="24"/>
                <w:szCs w:val="24"/>
              </w:rPr>
              <w:t>Скрининг</w:t>
            </w:r>
            <w:r w:rsidRPr="00306051">
              <w:rPr>
                <w:rFonts w:ascii="Times New Roman" w:hAnsi="Times New Roman" w:cs="Times New Roman"/>
                <w:sz w:val="24"/>
                <w:szCs w:val="24"/>
                <w:lang w:val="kk-KZ"/>
              </w:rPr>
              <w:t>ке дейінгі</w:t>
            </w:r>
            <w:r w:rsidRPr="00306051">
              <w:rPr>
                <w:rFonts w:ascii="Times New Roman" w:hAnsi="Times New Roman" w:cs="Times New Roman"/>
                <w:sz w:val="24"/>
                <w:szCs w:val="24"/>
              </w:rPr>
              <w:t xml:space="preserve"> 12 </w:t>
            </w:r>
            <w:r w:rsidRPr="00306051">
              <w:rPr>
                <w:rFonts w:ascii="Times New Roman" w:hAnsi="Times New Roman" w:cs="Times New Roman"/>
                <w:sz w:val="24"/>
                <w:szCs w:val="24"/>
                <w:lang w:val="kk-KZ"/>
              </w:rPr>
              <w:t>апта ішіндегі</w:t>
            </w:r>
            <w:r w:rsidRPr="00306051">
              <w:rPr>
                <w:rFonts w:ascii="Times New Roman" w:hAnsi="Times New Roman" w:cs="Times New Roman"/>
                <w:sz w:val="24"/>
                <w:szCs w:val="24"/>
              </w:rPr>
              <w:t xml:space="preserve"> URAI, </w:t>
            </w:r>
            <w:proofErr w:type="spellStart"/>
            <w:r w:rsidRPr="00306051">
              <w:rPr>
                <w:rFonts w:ascii="Times New Roman" w:hAnsi="Times New Roman" w:cs="Times New Roman"/>
                <w:sz w:val="24"/>
                <w:szCs w:val="24"/>
              </w:rPr>
              <w:t>модифи</w:t>
            </w:r>
            <w:proofErr w:type="spellEnd"/>
            <w:r w:rsidRPr="00306051">
              <w:rPr>
                <w:rFonts w:ascii="Times New Roman" w:hAnsi="Times New Roman" w:cs="Times New Roman"/>
                <w:sz w:val="24"/>
                <w:szCs w:val="24"/>
                <w:lang w:val="kk-KZ"/>
              </w:rPr>
              <w:t>ка</w:t>
            </w:r>
            <w:proofErr w:type="spellStart"/>
            <w:r w:rsidRPr="00306051">
              <w:rPr>
                <w:rFonts w:ascii="Times New Roman" w:hAnsi="Times New Roman" w:cs="Times New Roman"/>
                <w:sz w:val="24"/>
                <w:szCs w:val="24"/>
              </w:rPr>
              <w:t>ци</w:t>
            </w:r>
            <w:proofErr w:type="spellEnd"/>
            <w:r w:rsidRPr="00306051">
              <w:rPr>
                <w:rFonts w:ascii="Times New Roman" w:hAnsi="Times New Roman" w:cs="Times New Roman"/>
                <w:sz w:val="24"/>
                <w:szCs w:val="24"/>
                <w:lang w:val="kk-KZ"/>
              </w:rPr>
              <w:t>яланған</w:t>
            </w:r>
            <w:r w:rsidRPr="00306051">
              <w:rPr>
                <w:rFonts w:ascii="Times New Roman" w:hAnsi="Times New Roman" w:cs="Times New Roman"/>
                <w:sz w:val="24"/>
                <w:szCs w:val="24"/>
              </w:rPr>
              <w:t xml:space="preserve"> ITT-</w:t>
            </w:r>
            <w:proofErr w:type="spellStart"/>
            <w:r w:rsidRPr="00306051">
              <w:rPr>
                <w:rFonts w:ascii="Times New Roman" w:hAnsi="Times New Roman" w:cs="Times New Roman"/>
                <w:sz w:val="24"/>
                <w:szCs w:val="24"/>
              </w:rPr>
              <w:t>популяци</w:t>
            </w:r>
            <w:proofErr w:type="spellEnd"/>
            <w:r w:rsidRPr="00306051">
              <w:rPr>
                <w:rFonts w:ascii="Times New Roman" w:hAnsi="Times New Roman" w:cs="Times New Roman"/>
                <w:sz w:val="24"/>
                <w:szCs w:val="24"/>
                <w:lang w:val="kk-KZ"/>
              </w:rPr>
              <w:t>яның талдауы</w:t>
            </w:r>
            <w:r w:rsidRPr="00306051">
              <w:rPr>
                <w:rFonts w:ascii="Times New Roman" w:hAnsi="Times New Roman" w:cs="Times New Roman"/>
                <w:sz w:val="24"/>
                <w:szCs w:val="24"/>
              </w:rPr>
              <w:t xml:space="preserve"> </w:t>
            </w:r>
          </w:p>
        </w:tc>
      </w:tr>
      <w:tr w:rsidR="00607595" w:rsidRPr="00306051" w14:paraId="5F6123A5" w14:textId="77777777" w:rsidTr="00465145">
        <w:tc>
          <w:tcPr>
            <w:tcW w:w="5234" w:type="dxa"/>
            <w:shd w:val="clear" w:color="auto" w:fill="FFFFFF"/>
          </w:tcPr>
          <w:p w14:paraId="1E66DD9E"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proofErr w:type="spellStart"/>
            <w:r w:rsidRPr="00306051">
              <w:rPr>
                <w:rFonts w:ascii="Times New Roman" w:hAnsi="Times New Roman" w:cs="Times New Roman"/>
                <w:sz w:val="24"/>
                <w:szCs w:val="24"/>
              </w:rPr>
              <w:t>Сероконверсия</w:t>
            </w:r>
            <w:proofErr w:type="spellEnd"/>
            <w:r w:rsidRPr="00306051">
              <w:rPr>
                <w:rFonts w:ascii="Times New Roman" w:hAnsi="Times New Roman" w:cs="Times New Roman"/>
                <w:sz w:val="24"/>
                <w:szCs w:val="24"/>
              </w:rPr>
              <w:t xml:space="preserve">/N </w:t>
            </w:r>
          </w:p>
        </w:tc>
        <w:tc>
          <w:tcPr>
            <w:tcW w:w="1315" w:type="dxa"/>
            <w:shd w:val="clear" w:color="auto" w:fill="FFFFFF"/>
            <w:vAlign w:val="bottom"/>
          </w:tcPr>
          <w:p w14:paraId="6B50A66D"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72/753</w:t>
            </w:r>
          </w:p>
        </w:tc>
        <w:tc>
          <w:tcPr>
            <w:tcW w:w="1139" w:type="dxa"/>
            <w:gridSpan w:val="2"/>
            <w:shd w:val="clear" w:color="auto" w:fill="FFFFFF"/>
            <w:vAlign w:val="bottom"/>
          </w:tcPr>
          <w:p w14:paraId="100D8E00"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34/732</w:t>
            </w:r>
          </w:p>
        </w:tc>
        <w:tc>
          <w:tcPr>
            <w:tcW w:w="1417" w:type="dxa"/>
            <w:shd w:val="clear" w:color="auto" w:fill="FFFFFF"/>
            <w:vAlign w:val="center"/>
          </w:tcPr>
          <w:p w14:paraId="730D46C7"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0,0349</w:t>
            </w:r>
          </w:p>
        </w:tc>
      </w:tr>
      <w:tr w:rsidR="000A3F61" w:rsidRPr="00306051" w14:paraId="65C1CAB9" w14:textId="77777777" w:rsidTr="00465145">
        <w:tblPrEx>
          <w:tblCellMar>
            <w:top w:w="0" w:type="dxa"/>
            <w:left w:w="0" w:type="dxa"/>
            <w:bottom w:w="0" w:type="dxa"/>
            <w:right w:w="0" w:type="dxa"/>
          </w:tblCellMar>
        </w:tblPrEx>
        <w:tc>
          <w:tcPr>
            <w:tcW w:w="5234" w:type="dxa"/>
            <w:shd w:val="clear" w:color="auto" w:fill="FFFFFF"/>
          </w:tcPr>
          <w:p w14:paraId="2CA16BC0" w14:textId="77777777" w:rsidR="000A3F61" w:rsidRPr="00306051" w:rsidRDefault="000A3F61">
            <w:pPr>
              <w:shd w:val="clear" w:color="auto" w:fill="FFFFFF"/>
              <w:spacing w:after="0" w:line="100" w:lineRule="atLeast"/>
              <w:jc w:val="both"/>
              <w:rPr>
                <w:rFonts w:ascii="Times New Roman" w:hAnsi="Times New Roman" w:cs="Times New Roman"/>
                <w:sz w:val="24"/>
                <w:szCs w:val="24"/>
              </w:rPr>
            </w:pPr>
            <w:proofErr w:type="spellStart"/>
            <w:r w:rsidRPr="00306051">
              <w:rPr>
                <w:rFonts w:ascii="Times New Roman" w:hAnsi="Times New Roman" w:cs="Times New Roman"/>
                <w:sz w:val="24"/>
                <w:szCs w:val="24"/>
              </w:rPr>
              <w:t>Қауіптің</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салыстырмалы</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төмендеуі</w:t>
            </w:r>
            <w:proofErr w:type="spellEnd"/>
            <w:r w:rsidRPr="00306051">
              <w:rPr>
                <w:rFonts w:ascii="Times New Roman" w:hAnsi="Times New Roman" w:cs="Times New Roman"/>
                <w:sz w:val="24"/>
                <w:szCs w:val="24"/>
              </w:rPr>
              <w:t xml:space="preserve"> (СА 95% </w:t>
            </w:r>
            <w:proofErr w:type="spellStart"/>
            <w:r w:rsidRPr="00306051">
              <w:rPr>
                <w:rFonts w:ascii="Times New Roman" w:hAnsi="Times New Roman" w:cs="Times New Roman"/>
                <w:sz w:val="24"/>
                <w:szCs w:val="24"/>
              </w:rPr>
              <w:t>деңгейінде</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vertAlign w:val="superscript"/>
              </w:rPr>
              <w:t>b</w:t>
            </w:r>
          </w:p>
        </w:tc>
        <w:tc>
          <w:tcPr>
            <w:tcW w:w="2454" w:type="dxa"/>
            <w:gridSpan w:val="3"/>
            <w:shd w:val="clear" w:color="auto" w:fill="FFFFFF"/>
            <w:vAlign w:val="center"/>
          </w:tcPr>
          <w:p w14:paraId="47AF736D" w14:textId="77777777" w:rsidR="000A3F61" w:rsidRPr="00306051" w:rsidRDefault="000A3F61">
            <w:pPr>
              <w:shd w:val="clear" w:color="auto" w:fill="FFFFFF"/>
              <w:spacing w:after="0" w:line="100" w:lineRule="atLeast"/>
              <w:jc w:val="center"/>
              <w:rPr>
                <w:rFonts w:ascii="Times New Roman" w:eastAsia="Times New Roman" w:hAnsi="Times New Roman" w:cs="Times New Roman"/>
                <w:sz w:val="24"/>
                <w:szCs w:val="24"/>
              </w:rPr>
            </w:pPr>
            <w:r w:rsidRPr="00306051">
              <w:rPr>
                <w:rFonts w:ascii="Times New Roman" w:hAnsi="Times New Roman" w:cs="Times New Roman"/>
                <w:sz w:val="24"/>
                <w:szCs w:val="24"/>
              </w:rPr>
              <w:t>52% (28%, 68%)</w:t>
            </w:r>
          </w:p>
        </w:tc>
        <w:tc>
          <w:tcPr>
            <w:tcW w:w="1417" w:type="dxa"/>
            <w:shd w:val="clear" w:color="auto" w:fill="FFFFFF"/>
          </w:tcPr>
          <w:p w14:paraId="30EBEBCC" w14:textId="77777777" w:rsidR="000A3F61" w:rsidRPr="00306051" w:rsidRDefault="000A3F61">
            <w:pPr>
              <w:snapToGrid w:val="0"/>
            </w:pPr>
          </w:p>
        </w:tc>
      </w:tr>
    </w:tbl>
    <w:p w14:paraId="568AFE56" w14:textId="77777777" w:rsidR="00607595" w:rsidRPr="00306051" w:rsidRDefault="00607595">
      <w:pPr>
        <w:shd w:val="clear" w:color="auto" w:fill="FFFFFF"/>
        <w:spacing w:after="0" w:line="100" w:lineRule="atLeast"/>
        <w:jc w:val="both"/>
        <w:rPr>
          <w:rFonts w:ascii="Times New Roman" w:hAnsi="Times New Roman" w:cs="Times New Roman"/>
          <w:sz w:val="20"/>
          <w:szCs w:val="20"/>
        </w:rPr>
      </w:pPr>
      <w:r w:rsidRPr="00306051">
        <w:rPr>
          <w:rFonts w:ascii="Times New Roman" w:hAnsi="Times New Roman" w:cs="Times New Roman"/>
          <w:sz w:val="20"/>
          <w:szCs w:val="20"/>
        </w:rPr>
        <w:t xml:space="preserve">a </w:t>
      </w:r>
      <w:r w:rsidRPr="00306051">
        <w:rPr>
          <w:rFonts w:ascii="Times New Roman" w:hAnsi="Times New Roman" w:cs="Times New Roman"/>
          <w:sz w:val="20"/>
          <w:szCs w:val="20"/>
          <w:lang w:val="kk-KZ"/>
        </w:rPr>
        <w:t>Л</w:t>
      </w:r>
      <w:proofErr w:type="spellStart"/>
      <w:r w:rsidRPr="00306051">
        <w:rPr>
          <w:rFonts w:ascii="Times New Roman" w:hAnsi="Times New Roman" w:cs="Times New Roman"/>
          <w:sz w:val="20"/>
          <w:szCs w:val="20"/>
        </w:rPr>
        <w:t>огранг</w:t>
      </w:r>
      <w:proofErr w:type="spellEnd"/>
      <w:r w:rsidRPr="00306051">
        <w:rPr>
          <w:rFonts w:ascii="Times New Roman" w:hAnsi="Times New Roman" w:cs="Times New Roman"/>
          <w:sz w:val="20"/>
          <w:szCs w:val="20"/>
          <w:lang w:val="kk-KZ"/>
        </w:rPr>
        <w:t xml:space="preserve">ілік </w:t>
      </w:r>
      <w:proofErr w:type="spellStart"/>
      <w:r w:rsidRPr="00306051">
        <w:rPr>
          <w:rFonts w:ascii="Times New Roman" w:hAnsi="Times New Roman" w:cs="Times New Roman"/>
          <w:sz w:val="20"/>
          <w:szCs w:val="20"/>
        </w:rPr>
        <w:t>критери</w:t>
      </w:r>
      <w:proofErr w:type="spellEnd"/>
      <w:r w:rsidRPr="00306051">
        <w:rPr>
          <w:rFonts w:ascii="Times New Roman" w:hAnsi="Times New Roman" w:cs="Times New Roman"/>
          <w:sz w:val="20"/>
          <w:szCs w:val="20"/>
          <w:lang w:val="kk-KZ"/>
        </w:rPr>
        <w:t>й бойынша</w:t>
      </w:r>
      <w:r w:rsidRPr="00306051">
        <w:rPr>
          <w:rFonts w:ascii="Times New Roman" w:hAnsi="Times New Roman" w:cs="Times New Roman"/>
          <w:sz w:val="20"/>
          <w:szCs w:val="20"/>
        </w:rPr>
        <w:t xml:space="preserve"> P-</w:t>
      </w:r>
      <w:r w:rsidRPr="00306051">
        <w:rPr>
          <w:rFonts w:ascii="Times New Roman" w:hAnsi="Times New Roman" w:cs="Times New Roman"/>
          <w:sz w:val="20"/>
          <w:szCs w:val="20"/>
          <w:lang w:val="kk-KZ"/>
        </w:rPr>
        <w:t>мәндер</w:t>
      </w:r>
      <w:r w:rsidRPr="00306051">
        <w:rPr>
          <w:rFonts w:ascii="Times New Roman" w:hAnsi="Times New Roman" w:cs="Times New Roman"/>
          <w:sz w:val="20"/>
          <w:szCs w:val="20"/>
        </w:rPr>
        <w:t xml:space="preserve">. URAI </w:t>
      </w:r>
      <w:r w:rsidRPr="00306051">
        <w:rPr>
          <w:rFonts w:ascii="Times New Roman" w:hAnsi="Times New Roman" w:cs="Times New Roman"/>
          <w:sz w:val="20"/>
          <w:szCs w:val="20"/>
          <w:lang w:val="kk-KZ"/>
        </w:rPr>
        <w:t>үшін</w:t>
      </w:r>
      <w:r w:rsidRPr="00306051">
        <w:rPr>
          <w:rFonts w:ascii="Times New Roman" w:hAnsi="Times New Roman" w:cs="Times New Roman"/>
          <w:sz w:val="20"/>
          <w:szCs w:val="20"/>
        </w:rPr>
        <w:t xml:space="preserve"> P-</w:t>
      </w:r>
      <w:r w:rsidRPr="00306051">
        <w:rPr>
          <w:rFonts w:ascii="Times New Roman" w:hAnsi="Times New Roman" w:cs="Times New Roman"/>
          <w:sz w:val="20"/>
          <w:szCs w:val="20"/>
          <w:lang w:val="kk-KZ"/>
        </w:rPr>
        <w:t>мәндер</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қосалқы топтар арасындағы тиімділігінде айырмашы</w:t>
      </w:r>
      <w:r w:rsidR="00E0175E">
        <w:rPr>
          <w:rFonts w:ascii="Times New Roman" w:hAnsi="Times New Roman" w:cs="Times New Roman"/>
          <w:sz w:val="20"/>
          <w:szCs w:val="20"/>
          <w:lang w:val="kk-KZ"/>
        </w:rPr>
        <w:t>л</w:t>
      </w:r>
      <w:r w:rsidRPr="00306051">
        <w:rPr>
          <w:rFonts w:ascii="Times New Roman" w:hAnsi="Times New Roman" w:cs="Times New Roman"/>
          <w:sz w:val="20"/>
          <w:szCs w:val="20"/>
          <w:lang w:val="kk-KZ"/>
        </w:rPr>
        <w:t xml:space="preserve">ық болғаны туралы </w:t>
      </w:r>
      <w:r w:rsidRPr="00306051">
        <w:rPr>
          <w:rFonts w:ascii="Times New Roman" w:hAnsi="Times New Roman" w:cs="Times New Roman"/>
          <w:sz w:val="20"/>
          <w:szCs w:val="20"/>
        </w:rPr>
        <w:t>н</w:t>
      </w:r>
      <w:r w:rsidRPr="00306051">
        <w:rPr>
          <w:rFonts w:ascii="Times New Roman" w:hAnsi="Times New Roman" w:cs="Times New Roman"/>
          <w:sz w:val="20"/>
          <w:szCs w:val="20"/>
          <w:lang w:val="kk-KZ"/>
        </w:rPr>
        <w:t>өлдік</w:t>
      </w:r>
      <w:r w:rsidRPr="00306051">
        <w:rPr>
          <w:rFonts w:ascii="Times New Roman" w:hAnsi="Times New Roman" w:cs="Times New Roman"/>
          <w:sz w:val="20"/>
          <w:szCs w:val="20"/>
        </w:rPr>
        <w:t xml:space="preserve"> гипотез</w:t>
      </w:r>
      <w:r w:rsidRPr="00306051">
        <w:rPr>
          <w:rFonts w:ascii="Times New Roman" w:hAnsi="Times New Roman" w:cs="Times New Roman"/>
          <w:sz w:val="20"/>
          <w:szCs w:val="20"/>
          <w:lang w:val="kk-KZ"/>
        </w:rPr>
        <w:t>аға жатады</w:t>
      </w:r>
      <w:r w:rsidRPr="00306051">
        <w:rPr>
          <w:rFonts w:ascii="Times New Roman" w:hAnsi="Times New Roman" w:cs="Times New Roman"/>
          <w:sz w:val="20"/>
          <w:szCs w:val="20"/>
        </w:rPr>
        <w:t xml:space="preserve"> (URAI</w:t>
      </w:r>
      <w:r w:rsidRPr="00306051">
        <w:rPr>
          <w:rFonts w:ascii="Times New Roman" w:hAnsi="Times New Roman" w:cs="Times New Roman"/>
          <w:sz w:val="20"/>
          <w:szCs w:val="20"/>
          <w:lang w:val="kk-KZ"/>
        </w:rPr>
        <w:t>-мен</w:t>
      </w:r>
      <w:r w:rsidRPr="00306051">
        <w:rPr>
          <w:rFonts w:ascii="Times New Roman" w:hAnsi="Times New Roman" w:cs="Times New Roman"/>
          <w:sz w:val="20"/>
          <w:szCs w:val="20"/>
        </w:rPr>
        <w:t>, URAI</w:t>
      </w:r>
      <w:r w:rsidRPr="00306051">
        <w:rPr>
          <w:rFonts w:ascii="Times New Roman" w:hAnsi="Times New Roman" w:cs="Times New Roman"/>
          <w:sz w:val="20"/>
          <w:szCs w:val="20"/>
          <w:lang w:val="kk-KZ"/>
        </w:rPr>
        <w:t>-сыз</w:t>
      </w:r>
      <w:r w:rsidRPr="00306051">
        <w:rPr>
          <w:rFonts w:ascii="Times New Roman" w:hAnsi="Times New Roman" w:cs="Times New Roman"/>
          <w:sz w:val="20"/>
          <w:szCs w:val="20"/>
        </w:rPr>
        <w:t>).</w:t>
      </w:r>
    </w:p>
    <w:p w14:paraId="2D4C0EFF"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0"/>
          <w:szCs w:val="20"/>
        </w:rPr>
        <w:t xml:space="preserve">b </w:t>
      </w:r>
      <w:proofErr w:type="spellStart"/>
      <w:r w:rsidRPr="00306051">
        <w:rPr>
          <w:rFonts w:ascii="Times New Roman" w:hAnsi="Times New Roman" w:cs="Times New Roman"/>
          <w:sz w:val="20"/>
          <w:szCs w:val="20"/>
        </w:rPr>
        <w:t>Қауіптің</w:t>
      </w:r>
      <w:proofErr w:type="spellEnd"/>
      <w:r w:rsidRPr="00306051">
        <w:rPr>
          <w:rFonts w:ascii="Times New Roman" w:hAnsi="Times New Roman" w:cs="Times New Roman"/>
          <w:sz w:val="20"/>
          <w:szCs w:val="20"/>
          <w:lang w:val="kk-KZ"/>
        </w:rPr>
        <w:t xml:space="preserve"> </w:t>
      </w:r>
      <w:proofErr w:type="spellStart"/>
      <w:r w:rsidRPr="00306051">
        <w:rPr>
          <w:rFonts w:ascii="Times New Roman" w:hAnsi="Times New Roman" w:cs="Times New Roman"/>
          <w:sz w:val="20"/>
          <w:szCs w:val="20"/>
        </w:rPr>
        <w:t>модифи</w:t>
      </w:r>
      <w:proofErr w:type="spellEnd"/>
      <w:r w:rsidRPr="00306051">
        <w:rPr>
          <w:rFonts w:ascii="Times New Roman" w:hAnsi="Times New Roman" w:cs="Times New Roman"/>
          <w:sz w:val="20"/>
          <w:szCs w:val="20"/>
          <w:lang w:val="kk-KZ"/>
        </w:rPr>
        <w:t>ка</w:t>
      </w:r>
      <w:proofErr w:type="spellStart"/>
      <w:r w:rsidRPr="00306051">
        <w:rPr>
          <w:rFonts w:ascii="Times New Roman" w:hAnsi="Times New Roman" w:cs="Times New Roman"/>
          <w:sz w:val="20"/>
          <w:szCs w:val="20"/>
        </w:rPr>
        <w:t>ци</w:t>
      </w:r>
      <w:proofErr w:type="spellEnd"/>
      <w:r w:rsidRPr="00306051">
        <w:rPr>
          <w:rFonts w:ascii="Times New Roman" w:hAnsi="Times New Roman" w:cs="Times New Roman"/>
          <w:sz w:val="20"/>
          <w:szCs w:val="20"/>
          <w:lang w:val="kk-KZ"/>
        </w:rPr>
        <w:t>яланған</w:t>
      </w:r>
      <w:r w:rsidRPr="00306051">
        <w:rPr>
          <w:rFonts w:ascii="Times New Roman" w:hAnsi="Times New Roman" w:cs="Times New Roman"/>
          <w:sz w:val="20"/>
          <w:szCs w:val="20"/>
        </w:rPr>
        <w:t xml:space="preserve"> ITT-</w:t>
      </w:r>
      <w:proofErr w:type="spellStart"/>
      <w:r w:rsidRPr="00306051">
        <w:rPr>
          <w:rFonts w:ascii="Times New Roman" w:hAnsi="Times New Roman" w:cs="Times New Roman"/>
          <w:sz w:val="20"/>
          <w:szCs w:val="20"/>
        </w:rPr>
        <w:t>популяци</w:t>
      </w:r>
      <w:proofErr w:type="spellEnd"/>
      <w:r w:rsidRPr="00306051">
        <w:rPr>
          <w:rFonts w:ascii="Times New Roman" w:hAnsi="Times New Roman" w:cs="Times New Roman"/>
          <w:sz w:val="20"/>
          <w:szCs w:val="20"/>
          <w:lang w:val="kk-KZ"/>
        </w:rPr>
        <w:t>ясы үшін есептеп шығарылған</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салыстырмалы</w:t>
      </w:r>
      <w:proofErr w:type="spellEnd"/>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төмендеуі</w:t>
      </w:r>
      <w:proofErr w:type="spellEnd"/>
      <w:r w:rsidRPr="00306051">
        <w:rPr>
          <w:rFonts w:ascii="Times New Roman" w:hAnsi="Times New Roman" w:cs="Times New Roman"/>
          <w:sz w:val="20"/>
          <w:szCs w:val="20"/>
          <w:lang w:val="kk-KZ"/>
        </w:rPr>
        <w:t xml:space="preserve"> </w:t>
      </w:r>
      <w:r w:rsidRPr="00306051">
        <w:rPr>
          <w:rFonts w:ascii="Times New Roman" w:hAnsi="Times New Roman" w:cs="Times New Roman"/>
          <w:sz w:val="20"/>
          <w:szCs w:val="20"/>
        </w:rPr>
        <w:t>инцидент</w:t>
      </w:r>
      <w:r w:rsidRPr="00306051">
        <w:rPr>
          <w:rFonts w:ascii="Times New Roman" w:hAnsi="Times New Roman" w:cs="Times New Roman"/>
          <w:sz w:val="20"/>
          <w:szCs w:val="20"/>
          <w:lang w:val="kk-KZ"/>
        </w:rPr>
        <w:t>тік</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сероконверси</w:t>
      </w:r>
      <w:proofErr w:type="spellEnd"/>
      <w:r w:rsidRPr="00306051">
        <w:rPr>
          <w:rFonts w:ascii="Times New Roman" w:hAnsi="Times New Roman" w:cs="Times New Roman"/>
          <w:sz w:val="20"/>
          <w:szCs w:val="20"/>
          <w:lang w:val="kk-KZ"/>
        </w:rPr>
        <w:t>ясына негізделген</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 xml:space="preserve">яғни, емдеуден кейін алғаш келуінен кейінгі бастапқы деңгейінен кейін орын алған </w:t>
      </w:r>
      <w:r w:rsidRPr="00306051">
        <w:rPr>
          <w:rFonts w:ascii="Times New Roman" w:hAnsi="Times New Roman" w:cs="Times New Roman"/>
          <w:sz w:val="20"/>
          <w:szCs w:val="20"/>
        </w:rPr>
        <w:t>(</w:t>
      </w:r>
      <w:r w:rsidRPr="00306051">
        <w:rPr>
          <w:rFonts w:ascii="Times New Roman" w:hAnsi="Times New Roman" w:cs="Times New Roman"/>
          <w:sz w:val="20"/>
          <w:szCs w:val="20"/>
          <w:lang w:val="kk-KZ"/>
        </w:rPr>
        <w:t>зерттеудегі</w:t>
      </w:r>
      <w:r w:rsidRPr="00306051">
        <w:rPr>
          <w:rFonts w:ascii="Times New Roman" w:hAnsi="Times New Roman" w:cs="Times New Roman"/>
          <w:sz w:val="20"/>
          <w:szCs w:val="20"/>
        </w:rPr>
        <w:t xml:space="preserve"> препарат</w:t>
      </w:r>
      <w:r w:rsidRPr="00306051">
        <w:rPr>
          <w:rFonts w:ascii="Times New Roman" w:hAnsi="Times New Roman" w:cs="Times New Roman"/>
          <w:sz w:val="20"/>
          <w:szCs w:val="20"/>
          <w:lang w:val="kk-KZ"/>
        </w:rPr>
        <w:t>тың</w:t>
      </w:r>
      <w:r w:rsidRPr="00306051">
        <w:rPr>
          <w:rFonts w:ascii="Times New Roman" w:hAnsi="Times New Roman" w:cs="Times New Roman"/>
          <w:sz w:val="20"/>
          <w:szCs w:val="20"/>
        </w:rPr>
        <w:t xml:space="preserve"> доз</w:t>
      </w:r>
      <w:r w:rsidRPr="00306051">
        <w:rPr>
          <w:rFonts w:ascii="Times New Roman" w:hAnsi="Times New Roman" w:cs="Times New Roman"/>
          <w:sz w:val="20"/>
          <w:szCs w:val="20"/>
          <w:lang w:val="kk-KZ"/>
        </w:rPr>
        <w:t>ас</w:t>
      </w:r>
      <w:r w:rsidRPr="00306051">
        <w:rPr>
          <w:rFonts w:ascii="Times New Roman" w:hAnsi="Times New Roman" w:cs="Times New Roman"/>
          <w:sz w:val="20"/>
          <w:szCs w:val="20"/>
        </w:rPr>
        <w:t>ы</w:t>
      </w:r>
      <w:r w:rsidRPr="00306051">
        <w:rPr>
          <w:rFonts w:ascii="Times New Roman" w:hAnsi="Times New Roman" w:cs="Times New Roman"/>
          <w:sz w:val="20"/>
          <w:szCs w:val="20"/>
          <w:lang w:val="kk-KZ"/>
        </w:rPr>
        <w:t>н соңғы енгізуден кейін шамамен</w:t>
      </w:r>
      <w:r w:rsidRPr="00306051">
        <w:rPr>
          <w:rFonts w:ascii="Times New Roman" w:hAnsi="Times New Roman" w:cs="Times New Roman"/>
          <w:sz w:val="20"/>
          <w:szCs w:val="20"/>
        </w:rPr>
        <w:t xml:space="preserve"> 1 </w:t>
      </w:r>
      <w:r w:rsidRPr="00306051">
        <w:rPr>
          <w:rFonts w:ascii="Times New Roman" w:hAnsi="Times New Roman" w:cs="Times New Roman"/>
          <w:sz w:val="20"/>
          <w:szCs w:val="20"/>
          <w:lang w:val="kk-KZ"/>
        </w:rPr>
        <w:t>айдан соң</w:t>
      </w:r>
      <w:r w:rsidRPr="00306051">
        <w:rPr>
          <w:rFonts w:ascii="Times New Roman" w:hAnsi="Times New Roman" w:cs="Times New Roman"/>
          <w:sz w:val="20"/>
          <w:szCs w:val="20"/>
        </w:rPr>
        <w:t>).</w:t>
      </w:r>
    </w:p>
    <w:p w14:paraId="59E819BD"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7</w:t>
      </w:r>
      <w:r w:rsidRPr="00306051">
        <w:rPr>
          <w:rFonts w:ascii="Times New Roman" w:hAnsi="Times New Roman" w:cs="Times New Roman"/>
          <w:sz w:val="24"/>
          <w:szCs w:val="24"/>
          <w:lang w:val="kk-KZ"/>
        </w:rPr>
        <w:t xml:space="preserve"> кесте</w:t>
      </w:r>
      <w:r w:rsidRPr="00306051">
        <w:rPr>
          <w:rFonts w:ascii="Times New Roman" w:hAnsi="Times New Roman" w:cs="Times New Roman"/>
          <w:sz w:val="24"/>
          <w:szCs w:val="24"/>
        </w:rPr>
        <w:t>: CO-US-104-0288</w:t>
      </w:r>
      <w:r w:rsidRPr="00306051">
        <w:rPr>
          <w:rFonts w:ascii="Times New Roman" w:hAnsi="Times New Roman" w:cs="Times New Roman"/>
          <w:sz w:val="24"/>
          <w:szCs w:val="24"/>
          <w:lang w:val="kk-KZ"/>
        </w:rPr>
        <w:t xml:space="preserve"> зерттеуіндегі тиімділігі мен бейілділік</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iPrEx</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жағдай</w:t>
      </w:r>
      <w:r w:rsidRPr="00306051">
        <w:rPr>
          <w:rFonts w:ascii="Times New Roman" w:hAnsi="Times New Roman" w:cs="Times New Roman"/>
          <w:sz w:val="24"/>
          <w:szCs w:val="24"/>
        </w:rPr>
        <w:t>-</w:t>
      </w:r>
      <w:r w:rsidRPr="00306051">
        <w:rPr>
          <w:rFonts w:ascii="Times New Roman" w:hAnsi="Times New Roman" w:cs="Times New Roman"/>
          <w:sz w:val="24"/>
          <w:szCs w:val="24"/>
          <w:lang w:val="kk-KZ"/>
        </w:rPr>
        <w:t>бақылау әдісімен салыстырмалы талдау</w:t>
      </w:r>
      <w:r w:rsidRPr="00306051">
        <w:rPr>
          <w:rFonts w:ascii="Times New Roman" w:hAnsi="Times New Roman" w:cs="Times New Roman"/>
          <w:sz w:val="24"/>
          <w:szCs w:val="24"/>
        </w:rPr>
        <w:t xml:space="preserve">) </w:t>
      </w:r>
    </w:p>
    <w:tbl>
      <w:tblPr>
        <w:tblW w:w="0" w:type="auto"/>
        <w:tblInd w:w="-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30" w:type="dxa"/>
          <w:left w:w="30" w:type="dxa"/>
          <w:bottom w:w="30" w:type="dxa"/>
          <w:right w:w="30" w:type="dxa"/>
        </w:tblCellMar>
        <w:tblLook w:val="0000" w:firstRow="0" w:lastRow="0" w:firstColumn="0" w:lastColumn="0" w:noHBand="0" w:noVBand="0"/>
      </w:tblPr>
      <w:tblGrid>
        <w:gridCol w:w="4218"/>
        <w:gridCol w:w="1524"/>
        <w:gridCol w:w="1733"/>
        <w:gridCol w:w="1594"/>
      </w:tblGrid>
      <w:tr w:rsidR="00607595" w:rsidRPr="00306051" w14:paraId="228CBDDB" w14:textId="77777777" w:rsidTr="00465145">
        <w:tc>
          <w:tcPr>
            <w:tcW w:w="4218" w:type="dxa"/>
            <w:shd w:val="clear" w:color="auto" w:fill="FFFFFF"/>
            <w:vAlign w:val="bottom"/>
          </w:tcPr>
          <w:p w14:paraId="38303DFA" w14:textId="77777777" w:rsidR="00607595" w:rsidRPr="00306051" w:rsidRDefault="00607595">
            <w:pPr>
              <w:shd w:val="clear" w:color="auto" w:fill="FFFFFF"/>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rPr>
              <w:t xml:space="preserve">Когорта </w:t>
            </w:r>
          </w:p>
        </w:tc>
        <w:tc>
          <w:tcPr>
            <w:tcW w:w="1524" w:type="dxa"/>
            <w:shd w:val="clear" w:color="auto" w:fill="FFFFFF"/>
            <w:vAlign w:val="bottom"/>
          </w:tcPr>
          <w:p w14:paraId="2DC68340" w14:textId="77777777" w:rsidR="00607595" w:rsidRPr="00306051" w:rsidRDefault="00607595">
            <w:pPr>
              <w:shd w:val="clear" w:color="auto" w:fill="FFFFFF"/>
              <w:spacing w:after="0" w:line="100" w:lineRule="atLeast"/>
              <w:jc w:val="center"/>
              <w:rPr>
                <w:rFonts w:ascii="Times New Roman" w:hAnsi="Times New Roman" w:cs="Times New Roman"/>
                <w:sz w:val="24"/>
                <w:szCs w:val="24"/>
                <w:lang w:val="kk-KZ"/>
              </w:rPr>
            </w:pPr>
            <w:r w:rsidRPr="00306051">
              <w:rPr>
                <w:rFonts w:ascii="Times New Roman" w:hAnsi="Times New Roman" w:cs="Times New Roman"/>
                <w:sz w:val="24"/>
                <w:szCs w:val="24"/>
                <w:lang w:val="kk-KZ"/>
              </w:rPr>
              <w:t>Дәрілік зат анықталған</w:t>
            </w:r>
          </w:p>
        </w:tc>
        <w:tc>
          <w:tcPr>
            <w:tcW w:w="1733" w:type="dxa"/>
            <w:shd w:val="clear" w:color="auto" w:fill="FFFFFF"/>
            <w:vAlign w:val="bottom"/>
          </w:tcPr>
          <w:p w14:paraId="33A60984"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lang w:val="kk-KZ"/>
              </w:rPr>
              <w:t>Дәрілік зат анықталмаған</w:t>
            </w:r>
          </w:p>
        </w:tc>
        <w:tc>
          <w:tcPr>
            <w:tcW w:w="1594" w:type="dxa"/>
            <w:shd w:val="clear" w:color="auto" w:fill="FFFFFF"/>
            <w:vAlign w:val="bottom"/>
          </w:tcPr>
          <w:p w14:paraId="03C7C993" w14:textId="77777777" w:rsidR="00607595" w:rsidRPr="00306051" w:rsidRDefault="00607595">
            <w:pPr>
              <w:shd w:val="clear" w:color="auto" w:fill="FFFFFF"/>
              <w:spacing w:after="0" w:line="100" w:lineRule="atLeast"/>
              <w:jc w:val="center"/>
            </w:pPr>
            <w:proofErr w:type="spellStart"/>
            <w:r w:rsidRPr="00306051">
              <w:rPr>
                <w:rFonts w:ascii="Times New Roman" w:hAnsi="Times New Roman" w:cs="Times New Roman"/>
                <w:sz w:val="24"/>
                <w:szCs w:val="24"/>
              </w:rPr>
              <w:t>Қауіптің</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салыстырмалы</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төмендеуі</w:t>
            </w:r>
            <w:proofErr w:type="spellEnd"/>
            <w:r w:rsidRPr="00306051">
              <w:rPr>
                <w:rFonts w:ascii="Times New Roman" w:hAnsi="Times New Roman" w:cs="Times New Roman"/>
                <w:sz w:val="24"/>
                <w:szCs w:val="24"/>
              </w:rPr>
              <w:t xml:space="preserve"> (2-</w:t>
            </w:r>
            <w:r w:rsidRPr="00306051">
              <w:rPr>
                <w:rFonts w:ascii="Times New Roman" w:hAnsi="Times New Roman" w:cs="Times New Roman"/>
                <w:sz w:val="24"/>
                <w:szCs w:val="24"/>
                <w:lang w:val="kk-KZ"/>
              </w:rPr>
              <w:t>жақты</w:t>
            </w:r>
            <w:r w:rsidRPr="00306051">
              <w:rPr>
                <w:rFonts w:ascii="Times New Roman" w:hAnsi="Times New Roman" w:cs="Times New Roman"/>
                <w:sz w:val="24"/>
                <w:szCs w:val="24"/>
              </w:rPr>
              <w:t xml:space="preserve"> СА 95% </w:t>
            </w:r>
            <w:proofErr w:type="spellStart"/>
            <w:r w:rsidRPr="00306051">
              <w:rPr>
                <w:rFonts w:ascii="Times New Roman" w:hAnsi="Times New Roman" w:cs="Times New Roman"/>
                <w:sz w:val="24"/>
                <w:szCs w:val="24"/>
              </w:rPr>
              <w:t>деңгейінде</w:t>
            </w:r>
            <w:proofErr w:type="spellEnd"/>
            <w:r w:rsidRPr="00306051">
              <w:rPr>
                <w:rFonts w:ascii="Times New Roman" w:hAnsi="Times New Roman" w:cs="Times New Roman"/>
                <w:sz w:val="24"/>
                <w:szCs w:val="24"/>
              </w:rPr>
              <w:t>)</w:t>
            </w:r>
            <w:r w:rsidRPr="00306051">
              <w:rPr>
                <w:rFonts w:ascii="Times New Roman" w:hAnsi="Times New Roman" w:cs="Times New Roman"/>
                <w:sz w:val="24"/>
                <w:szCs w:val="24"/>
                <w:vertAlign w:val="superscript"/>
              </w:rPr>
              <w:t>a</w:t>
            </w:r>
          </w:p>
        </w:tc>
      </w:tr>
      <w:tr w:rsidR="00607595" w:rsidRPr="00306051" w14:paraId="1FB7C5D5" w14:textId="77777777" w:rsidTr="00465145">
        <w:tc>
          <w:tcPr>
            <w:tcW w:w="4218" w:type="dxa"/>
            <w:shd w:val="clear" w:color="auto" w:fill="FFFFFF"/>
          </w:tcPr>
          <w:p w14:paraId="0C5C4FE8"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АИТВ</w:t>
            </w:r>
            <w:r w:rsidRPr="00306051">
              <w:rPr>
                <w:rFonts w:ascii="Times New Roman" w:hAnsi="Times New Roman" w:cs="Times New Roman"/>
                <w:sz w:val="24"/>
                <w:szCs w:val="24"/>
              </w:rPr>
              <w:t>-</w:t>
            </w:r>
            <w:r w:rsidRPr="00306051">
              <w:rPr>
                <w:rFonts w:ascii="Times New Roman" w:hAnsi="Times New Roman" w:cs="Times New Roman"/>
                <w:sz w:val="24"/>
                <w:szCs w:val="24"/>
                <w:lang w:val="kk-KZ"/>
              </w:rPr>
              <w:t>оң</w:t>
            </w:r>
            <w:r w:rsidRPr="00306051">
              <w:rPr>
                <w:rFonts w:ascii="Times New Roman" w:hAnsi="Times New Roman" w:cs="Times New Roman"/>
                <w:sz w:val="24"/>
                <w:szCs w:val="24"/>
              </w:rPr>
              <w:t xml:space="preserve"> субъект</w:t>
            </w:r>
            <w:r w:rsidRPr="00306051">
              <w:rPr>
                <w:rFonts w:ascii="Times New Roman" w:hAnsi="Times New Roman" w:cs="Times New Roman"/>
                <w:sz w:val="24"/>
                <w:szCs w:val="24"/>
                <w:lang w:val="kk-KZ"/>
              </w:rPr>
              <w:t>ілер</w:t>
            </w:r>
            <w:r w:rsidRPr="00306051">
              <w:rPr>
                <w:rFonts w:ascii="Times New Roman" w:hAnsi="Times New Roman" w:cs="Times New Roman"/>
                <w:sz w:val="24"/>
                <w:szCs w:val="24"/>
              </w:rPr>
              <w:t xml:space="preserve"> </w:t>
            </w:r>
          </w:p>
        </w:tc>
        <w:tc>
          <w:tcPr>
            <w:tcW w:w="1524" w:type="dxa"/>
            <w:shd w:val="clear" w:color="auto" w:fill="FFFFFF"/>
          </w:tcPr>
          <w:p w14:paraId="4C72267C"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4 (8%)</w:t>
            </w:r>
          </w:p>
        </w:tc>
        <w:tc>
          <w:tcPr>
            <w:tcW w:w="1733" w:type="dxa"/>
            <w:shd w:val="clear" w:color="auto" w:fill="FFFFFF"/>
          </w:tcPr>
          <w:p w14:paraId="523B4D85"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44 (92%)</w:t>
            </w:r>
          </w:p>
        </w:tc>
        <w:tc>
          <w:tcPr>
            <w:tcW w:w="1594" w:type="dxa"/>
            <w:shd w:val="clear" w:color="auto" w:fill="FFFFFF"/>
          </w:tcPr>
          <w:p w14:paraId="4819C56D"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94% (78%, 99%)</w:t>
            </w:r>
          </w:p>
        </w:tc>
      </w:tr>
      <w:tr w:rsidR="00607595" w:rsidRPr="00306051" w14:paraId="44AE2DF5" w14:textId="77777777" w:rsidTr="00465145">
        <w:tc>
          <w:tcPr>
            <w:tcW w:w="4218" w:type="dxa"/>
            <w:shd w:val="clear" w:color="auto" w:fill="FFFFFF"/>
          </w:tcPr>
          <w:p w14:paraId="682D510C"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Ұқсас бақылау тобындағы АИТВ</w:t>
            </w:r>
            <w:r w:rsidRPr="00306051">
              <w:rPr>
                <w:rFonts w:ascii="Times New Roman" w:hAnsi="Times New Roman" w:cs="Times New Roman"/>
                <w:sz w:val="24"/>
                <w:szCs w:val="24"/>
              </w:rPr>
              <w:t>-</w:t>
            </w:r>
            <w:r w:rsidRPr="00306051">
              <w:rPr>
                <w:rFonts w:ascii="Times New Roman" w:hAnsi="Times New Roman" w:cs="Times New Roman"/>
                <w:sz w:val="24"/>
                <w:szCs w:val="24"/>
                <w:lang w:val="kk-KZ"/>
              </w:rPr>
              <w:t>теріс</w:t>
            </w:r>
            <w:r w:rsidRPr="00306051">
              <w:rPr>
                <w:rFonts w:ascii="Times New Roman" w:hAnsi="Times New Roman" w:cs="Times New Roman"/>
                <w:sz w:val="24"/>
                <w:szCs w:val="24"/>
              </w:rPr>
              <w:t xml:space="preserve"> субъект</w:t>
            </w:r>
            <w:r w:rsidRPr="00306051">
              <w:rPr>
                <w:rFonts w:ascii="Times New Roman" w:hAnsi="Times New Roman" w:cs="Times New Roman"/>
                <w:sz w:val="24"/>
                <w:szCs w:val="24"/>
                <w:lang w:val="kk-KZ"/>
              </w:rPr>
              <w:t>ілер</w:t>
            </w:r>
            <w:r w:rsidRPr="00306051">
              <w:rPr>
                <w:rFonts w:ascii="Times New Roman" w:hAnsi="Times New Roman" w:cs="Times New Roman"/>
                <w:sz w:val="24"/>
                <w:szCs w:val="24"/>
              </w:rPr>
              <w:t xml:space="preserve"> </w:t>
            </w:r>
          </w:p>
        </w:tc>
        <w:tc>
          <w:tcPr>
            <w:tcW w:w="1524" w:type="dxa"/>
            <w:shd w:val="clear" w:color="auto" w:fill="FFFFFF"/>
          </w:tcPr>
          <w:p w14:paraId="2D8B1CF1"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63 (44%)</w:t>
            </w:r>
          </w:p>
        </w:tc>
        <w:tc>
          <w:tcPr>
            <w:tcW w:w="1733" w:type="dxa"/>
            <w:shd w:val="clear" w:color="auto" w:fill="FFFFFF"/>
          </w:tcPr>
          <w:p w14:paraId="4CE20C63"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81 (56%)</w:t>
            </w:r>
          </w:p>
        </w:tc>
        <w:tc>
          <w:tcPr>
            <w:tcW w:w="1594" w:type="dxa"/>
            <w:shd w:val="clear" w:color="auto" w:fill="FFFFFF"/>
          </w:tcPr>
          <w:p w14:paraId="17020CB5"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w:t>
            </w:r>
          </w:p>
        </w:tc>
      </w:tr>
    </w:tbl>
    <w:p w14:paraId="6925DE4D" w14:textId="77777777" w:rsidR="00607595" w:rsidRPr="00306051" w:rsidRDefault="00607595">
      <w:pPr>
        <w:shd w:val="clear" w:color="auto" w:fill="FFFFFF"/>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0"/>
          <w:szCs w:val="20"/>
        </w:rPr>
        <w:t xml:space="preserve">a </w:t>
      </w:r>
      <w:proofErr w:type="spellStart"/>
      <w:r w:rsidRPr="00306051">
        <w:rPr>
          <w:rFonts w:ascii="Times New Roman" w:hAnsi="Times New Roman" w:cs="Times New Roman"/>
          <w:sz w:val="20"/>
          <w:szCs w:val="20"/>
        </w:rPr>
        <w:t>Қауіптің</w:t>
      </w:r>
      <w:proofErr w:type="spellEnd"/>
      <w:r w:rsidRPr="00306051">
        <w:rPr>
          <w:rFonts w:ascii="Times New Roman" w:hAnsi="Times New Roman" w:cs="Times New Roman"/>
          <w:sz w:val="20"/>
          <w:szCs w:val="20"/>
          <w:lang w:val="kk-KZ"/>
        </w:rPr>
        <w:t xml:space="preserve"> </w:t>
      </w:r>
      <w:proofErr w:type="spellStart"/>
      <w:r w:rsidRPr="00306051">
        <w:rPr>
          <w:rFonts w:ascii="Times New Roman" w:hAnsi="Times New Roman" w:cs="Times New Roman"/>
          <w:sz w:val="20"/>
          <w:szCs w:val="20"/>
        </w:rPr>
        <w:t>сероконверси</w:t>
      </w:r>
      <w:proofErr w:type="spellEnd"/>
      <w:r w:rsidRPr="00306051">
        <w:rPr>
          <w:rFonts w:ascii="Times New Roman" w:hAnsi="Times New Roman" w:cs="Times New Roman"/>
          <w:sz w:val="20"/>
          <w:szCs w:val="20"/>
          <w:lang w:val="kk-KZ"/>
        </w:rPr>
        <w:t>я жағдайлары бойынша</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бастапқы деңгейінен кейін</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салыстырмалы жасырын емдеу</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кезеңінен кейін</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және келесі қадағалаудың</w:t>
      </w:r>
      <w:r w:rsidRPr="00306051">
        <w:rPr>
          <w:rFonts w:ascii="Times New Roman" w:hAnsi="Times New Roman" w:cs="Times New Roman"/>
          <w:sz w:val="20"/>
          <w:szCs w:val="20"/>
        </w:rPr>
        <w:t xml:space="preserve"> 8</w:t>
      </w:r>
      <w:r w:rsidRPr="00306051">
        <w:rPr>
          <w:rFonts w:ascii="Times New Roman" w:hAnsi="Times New Roman" w:cs="Times New Roman"/>
          <w:sz w:val="20"/>
          <w:szCs w:val="20"/>
          <w:lang w:val="kk-KZ"/>
        </w:rPr>
        <w:t xml:space="preserve"> апта мерзіміне дейін есептеп шығарылған</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салыстырмалы</w:t>
      </w:r>
      <w:proofErr w:type="spellEnd"/>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төмендеуі</w:t>
      </w:r>
      <w:proofErr w:type="spellEnd"/>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Э</w:t>
      </w:r>
      <w:proofErr w:type="spellStart"/>
      <w:r w:rsidRPr="00306051">
        <w:rPr>
          <w:rFonts w:ascii="Times New Roman" w:hAnsi="Times New Roman" w:cs="Times New Roman"/>
          <w:sz w:val="20"/>
          <w:szCs w:val="20"/>
        </w:rPr>
        <w:t>мтрицитабинм</w:t>
      </w:r>
      <w:proofErr w:type="spellEnd"/>
      <w:r w:rsidRPr="00306051">
        <w:rPr>
          <w:rFonts w:ascii="Times New Roman" w:hAnsi="Times New Roman" w:cs="Times New Roman"/>
          <w:sz w:val="20"/>
          <w:szCs w:val="20"/>
          <w:lang w:val="kk-KZ"/>
        </w:rPr>
        <w:t>ен және</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тенофовир</w:t>
      </w:r>
      <w:proofErr w:type="spellEnd"/>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дизопроксил</w:t>
      </w:r>
      <w:proofErr w:type="spellEnd"/>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фумарат</w:t>
      </w:r>
      <w:proofErr w:type="spellEnd"/>
      <w:r w:rsidRPr="00306051">
        <w:rPr>
          <w:rFonts w:ascii="Times New Roman" w:hAnsi="Times New Roman" w:cs="Times New Roman"/>
          <w:sz w:val="20"/>
          <w:szCs w:val="20"/>
          <w:lang w:val="kk-KZ"/>
        </w:rPr>
        <w:t>ы</w:t>
      </w:r>
      <w:r w:rsidRPr="00306051">
        <w:rPr>
          <w:rFonts w:ascii="Times New Roman" w:hAnsi="Times New Roman" w:cs="Times New Roman"/>
          <w:sz w:val="20"/>
          <w:szCs w:val="20"/>
        </w:rPr>
        <w:t>м</w:t>
      </w:r>
      <w:r w:rsidRPr="00306051">
        <w:rPr>
          <w:rFonts w:ascii="Times New Roman" w:hAnsi="Times New Roman" w:cs="Times New Roman"/>
          <w:sz w:val="20"/>
          <w:szCs w:val="20"/>
          <w:lang w:val="kk-KZ"/>
        </w:rPr>
        <w:t>ен емдеу топтарына кездейсоқ ретпен бөлінген</w:t>
      </w:r>
      <w:r w:rsidRPr="00306051">
        <w:rPr>
          <w:rFonts w:ascii="Times New Roman" w:hAnsi="Times New Roman" w:cs="Times New Roman"/>
          <w:sz w:val="20"/>
          <w:szCs w:val="20"/>
        </w:rPr>
        <w:t xml:space="preserve"> субъект</w:t>
      </w:r>
      <w:r w:rsidRPr="00306051">
        <w:rPr>
          <w:rFonts w:ascii="Times New Roman" w:hAnsi="Times New Roman" w:cs="Times New Roman"/>
          <w:sz w:val="20"/>
          <w:szCs w:val="20"/>
          <w:lang w:val="kk-KZ"/>
        </w:rPr>
        <w:t>ілерден алынған үлгілер ғана</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тенофовир</w:t>
      </w:r>
      <w:proofErr w:type="spellEnd"/>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дизопроксил</w:t>
      </w:r>
      <w:proofErr w:type="spellEnd"/>
      <w:r w:rsidRPr="00306051">
        <w:rPr>
          <w:rFonts w:ascii="Times New Roman" w:hAnsi="Times New Roman" w:cs="Times New Roman"/>
          <w:sz w:val="20"/>
          <w:szCs w:val="20"/>
        </w:rPr>
        <w:t>-DP плазм</w:t>
      </w:r>
      <w:r w:rsidRPr="00306051">
        <w:rPr>
          <w:rFonts w:ascii="Times New Roman" w:hAnsi="Times New Roman" w:cs="Times New Roman"/>
          <w:sz w:val="20"/>
          <w:szCs w:val="20"/>
          <w:lang w:val="kk-KZ"/>
        </w:rPr>
        <w:t>ада немес</w:t>
      </w:r>
      <w:r w:rsidRPr="00306051">
        <w:rPr>
          <w:rFonts w:ascii="Times New Roman" w:hAnsi="Times New Roman" w:cs="Times New Roman"/>
          <w:sz w:val="20"/>
          <w:szCs w:val="20"/>
        </w:rPr>
        <w:t xml:space="preserve">е </w:t>
      </w:r>
      <w:r w:rsidRPr="00306051">
        <w:rPr>
          <w:rFonts w:ascii="Times New Roman" w:hAnsi="Times New Roman" w:cs="Times New Roman"/>
          <w:sz w:val="20"/>
          <w:szCs w:val="20"/>
          <w:lang w:val="kk-KZ"/>
        </w:rPr>
        <w:t>жасушалар ішінде анықталатын деңгейлеріне қатысты бағаланған</w:t>
      </w:r>
      <w:r w:rsidRPr="00306051">
        <w:rPr>
          <w:rFonts w:ascii="Times New Roman" w:hAnsi="Times New Roman" w:cs="Times New Roman"/>
          <w:sz w:val="20"/>
          <w:szCs w:val="20"/>
        </w:rPr>
        <w:t>.</w:t>
      </w:r>
    </w:p>
    <w:p w14:paraId="6CCE290E" w14:textId="77777777" w:rsidR="00607595" w:rsidRPr="00306051" w:rsidRDefault="00607595">
      <w:pPr>
        <w:shd w:val="clear" w:color="auto" w:fill="FFFFFF"/>
        <w:spacing w:after="0" w:line="100" w:lineRule="atLeast"/>
        <w:jc w:val="both"/>
        <w:rPr>
          <w:rFonts w:ascii="Times New Roman" w:eastAsia="Times New Roman" w:hAnsi="Times New Roman" w:cs="Times New Roman"/>
          <w:sz w:val="24"/>
          <w:szCs w:val="24"/>
          <w:lang w:val="kk-KZ"/>
        </w:rPr>
      </w:pPr>
      <w:r w:rsidRPr="00306051">
        <w:rPr>
          <w:rFonts w:ascii="Times New Roman" w:hAnsi="Times New Roman" w:cs="Times New Roman"/>
          <w:sz w:val="24"/>
          <w:szCs w:val="24"/>
          <w:lang w:val="kk-KZ"/>
        </w:rPr>
        <w:t xml:space="preserve">Клиникалық </w:t>
      </w:r>
      <w:r w:rsidRPr="00306051">
        <w:rPr>
          <w:rFonts w:ascii="Times New Roman" w:eastAsia="Times New Roman" w:hAnsi="Times New Roman" w:cs="Times New Roman"/>
          <w:sz w:val="24"/>
          <w:szCs w:val="24"/>
          <w:lang w:val="kk-KZ"/>
        </w:rPr>
        <w:t>Partners PrEP</w:t>
      </w:r>
      <w:r w:rsidRPr="00306051">
        <w:rPr>
          <w:rFonts w:ascii="Times New Roman" w:hAnsi="Times New Roman" w:cs="Times New Roman"/>
          <w:sz w:val="24"/>
          <w:szCs w:val="24"/>
          <w:lang w:val="kk-KZ"/>
        </w:rPr>
        <w:t xml:space="preserve"> (CO-US-104-0380) зерттеуінде АИТВ инфекциясын жұқтырмаған, серодискорданттық гетеросексуалдық жұптардан құралған Кениялық немесе Угандалық 4 758 субъектіні емдеуде эмтрицитабин және тенофовир дизопроксил фумараты, 245 мг тенофовир дизопроксил немесе плацебо біріктірілімі бағаланған. Субъектілер 7 830 адам-жыл бойына қадағаланған. Бастапқы сипаттамалары 8 кестеде келтірілген.</w:t>
      </w:r>
    </w:p>
    <w:p w14:paraId="3C09EC4E" w14:textId="77777777" w:rsidR="00607595" w:rsidRPr="00306051" w:rsidRDefault="00607595">
      <w:pPr>
        <w:shd w:val="clear" w:color="auto" w:fill="FFFFFF"/>
        <w:spacing w:after="0" w:line="100" w:lineRule="atLeast"/>
        <w:jc w:val="both"/>
        <w:rPr>
          <w:lang w:val="kk-KZ"/>
        </w:rPr>
      </w:pPr>
      <w:r w:rsidRPr="00306051">
        <w:rPr>
          <w:rFonts w:ascii="Times New Roman" w:eastAsia="Times New Roman" w:hAnsi="Times New Roman" w:cs="Times New Roman"/>
          <w:sz w:val="24"/>
          <w:szCs w:val="24"/>
          <w:lang w:val="kk-KZ"/>
        </w:rPr>
        <w:t xml:space="preserve">8 кесте: CO-US-104-0380 (Partners PrEP) зерттеуінде зерттелген </w:t>
      </w:r>
      <w:r w:rsidR="00E0175E">
        <w:rPr>
          <w:rFonts w:ascii="Times New Roman" w:eastAsia="Times New Roman" w:hAnsi="Times New Roman" w:cs="Times New Roman"/>
          <w:sz w:val="24"/>
          <w:szCs w:val="24"/>
          <w:lang w:val="kk-KZ"/>
        </w:rPr>
        <w:t>қауым</w:t>
      </w:r>
    </w:p>
    <w:tbl>
      <w:tblPr>
        <w:tblW w:w="9186" w:type="dxa"/>
        <w:tblInd w:w="-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30" w:type="dxa"/>
          <w:left w:w="30" w:type="dxa"/>
          <w:bottom w:w="30" w:type="dxa"/>
          <w:right w:w="30" w:type="dxa"/>
        </w:tblCellMar>
        <w:tblLook w:val="0000" w:firstRow="0" w:lastRow="0" w:firstColumn="0" w:lastColumn="0" w:noHBand="0" w:noVBand="0"/>
      </w:tblPr>
      <w:tblGrid>
        <w:gridCol w:w="4443"/>
        <w:gridCol w:w="1476"/>
        <w:gridCol w:w="1689"/>
        <w:gridCol w:w="1578"/>
      </w:tblGrid>
      <w:tr w:rsidR="00607595" w:rsidRPr="00306051" w14:paraId="70945E68" w14:textId="77777777" w:rsidTr="00E04647">
        <w:tc>
          <w:tcPr>
            <w:tcW w:w="4443" w:type="dxa"/>
            <w:shd w:val="clear" w:color="auto" w:fill="FFFFFF"/>
            <w:vAlign w:val="bottom"/>
          </w:tcPr>
          <w:p w14:paraId="63BB4DAA" w14:textId="77777777" w:rsidR="00607595" w:rsidRPr="00306051" w:rsidRDefault="00607595">
            <w:pPr>
              <w:shd w:val="clear" w:color="auto" w:fill="FFFFFF"/>
              <w:snapToGrid w:val="0"/>
              <w:spacing w:after="0" w:line="100" w:lineRule="atLeast"/>
              <w:jc w:val="both"/>
              <w:rPr>
                <w:lang w:val="kk-KZ"/>
              </w:rPr>
            </w:pPr>
          </w:p>
        </w:tc>
        <w:tc>
          <w:tcPr>
            <w:tcW w:w="1476" w:type="dxa"/>
            <w:shd w:val="clear" w:color="auto" w:fill="FFFFFF"/>
            <w:vAlign w:val="bottom"/>
          </w:tcPr>
          <w:p w14:paraId="239F7117"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Плацебо</w:t>
            </w:r>
          </w:p>
          <w:p w14:paraId="36C23C46"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(n=1 584)</w:t>
            </w:r>
          </w:p>
        </w:tc>
        <w:tc>
          <w:tcPr>
            <w:tcW w:w="1689" w:type="dxa"/>
            <w:shd w:val="clear" w:color="auto" w:fill="FFFFFF"/>
            <w:vAlign w:val="bottom"/>
          </w:tcPr>
          <w:p w14:paraId="548F16C1"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245 мг</w:t>
            </w:r>
          </w:p>
          <w:p w14:paraId="1068D557"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(n=1 584)</w:t>
            </w:r>
          </w:p>
        </w:tc>
        <w:tc>
          <w:tcPr>
            <w:tcW w:w="1578" w:type="dxa"/>
            <w:shd w:val="clear" w:color="auto" w:fill="FFFFFF"/>
            <w:vAlign w:val="bottom"/>
          </w:tcPr>
          <w:p w14:paraId="20CD1B50"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proofErr w:type="spellStart"/>
            <w:r w:rsidRPr="00306051">
              <w:rPr>
                <w:rFonts w:ascii="Times New Roman" w:hAnsi="Times New Roman" w:cs="Times New Roman"/>
                <w:sz w:val="24"/>
                <w:szCs w:val="24"/>
              </w:rPr>
              <w:t>Эмтрицитабин</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және</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фумарат</w:t>
            </w:r>
            <w:proofErr w:type="spellEnd"/>
            <w:r w:rsidRPr="00306051">
              <w:rPr>
                <w:rFonts w:ascii="Times New Roman" w:hAnsi="Times New Roman" w:cs="Times New Roman"/>
                <w:sz w:val="24"/>
                <w:szCs w:val="24"/>
                <w:lang w:val="kk-KZ"/>
              </w:rPr>
              <w:t>ы</w:t>
            </w:r>
          </w:p>
          <w:p w14:paraId="779D8215"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(n=1 579)</w:t>
            </w:r>
          </w:p>
        </w:tc>
      </w:tr>
      <w:tr w:rsidR="00607595" w:rsidRPr="00306051" w14:paraId="6894722D" w14:textId="77777777" w:rsidTr="00E04647">
        <w:tc>
          <w:tcPr>
            <w:tcW w:w="4443" w:type="dxa"/>
            <w:shd w:val="clear" w:color="auto" w:fill="FFFFFF"/>
          </w:tcPr>
          <w:p w14:paraId="06F6A283"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Жас шамасы</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жас</w:t>
            </w:r>
            <w:r w:rsidRPr="00306051">
              <w:rPr>
                <w:rFonts w:ascii="Times New Roman" w:hAnsi="Times New Roman" w:cs="Times New Roman"/>
                <w:sz w:val="24"/>
                <w:szCs w:val="24"/>
              </w:rPr>
              <w:t>), медиана</w:t>
            </w:r>
            <w:r w:rsidRPr="00306051">
              <w:rPr>
                <w:rFonts w:ascii="Times New Roman" w:hAnsi="Times New Roman" w:cs="Times New Roman"/>
                <w:sz w:val="24"/>
                <w:szCs w:val="24"/>
                <w:lang w:val="kk-KZ"/>
              </w:rPr>
              <w:t>сы</w:t>
            </w:r>
            <w:r w:rsidRPr="00306051">
              <w:rPr>
                <w:rFonts w:ascii="Times New Roman" w:hAnsi="Times New Roman" w:cs="Times New Roman"/>
                <w:sz w:val="24"/>
                <w:szCs w:val="24"/>
              </w:rPr>
              <w:t xml:space="preserve"> (Q1, Q3) </w:t>
            </w:r>
          </w:p>
        </w:tc>
        <w:tc>
          <w:tcPr>
            <w:tcW w:w="1476" w:type="dxa"/>
            <w:shd w:val="clear" w:color="auto" w:fill="FFFFFF"/>
          </w:tcPr>
          <w:p w14:paraId="3EC53044"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34 (28, 40)</w:t>
            </w:r>
          </w:p>
        </w:tc>
        <w:tc>
          <w:tcPr>
            <w:tcW w:w="1689" w:type="dxa"/>
            <w:shd w:val="clear" w:color="auto" w:fill="FFFFFF"/>
          </w:tcPr>
          <w:p w14:paraId="2DD96EC8"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33 (28, 39)</w:t>
            </w:r>
          </w:p>
        </w:tc>
        <w:tc>
          <w:tcPr>
            <w:tcW w:w="1578" w:type="dxa"/>
            <w:shd w:val="clear" w:color="auto" w:fill="FFFFFF"/>
          </w:tcPr>
          <w:p w14:paraId="097BAC7A"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33 (28, 40)</w:t>
            </w:r>
          </w:p>
        </w:tc>
      </w:tr>
      <w:tr w:rsidR="00E04647" w:rsidRPr="00306051" w14:paraId="1D6B3240" w14:textId="77777777" w:rsidTr="0023252A">
        <w:tblPrEx>
          <w:tblCellMar>
            <w:top w:w="0" w:type="dxa"/>
            <w:left w:w="0" w:type="dxa"/>
            <w:bottom w:w="0" w:type="dxa"/>
            <w:right w:w="0" w:type="dxa"/>
          </w:tblCellMar>
        </w:tblPrEx>
        <w:tc>
          <w:tcPr>
            <w:tcW w:w="9186" w:type="dxa"/>
            <w:gridSpan w:val="4"/>
            <w:shd w:val="clear" w:color="auto" w:fill="FFFFFF"/>
          </w:tcPr>
          <w:p w14:paraId="21ED087C" w14:textId="77777777" w:rsidR="00E04647" w:rsidRPr="00306051" w:rsidRDefault="00E04647">
            <w:pPr>
              <w:snapToGrid w:val="0"/>
            </w:pPr>
            <w:r w:rsidRPr="00306051">
              <w:rPr>
                <w:rFonts w:ascii="Times New Roman" w:hAnsi="Times New Roman" w:cs="Times New Roman"/>
                <w:sz w:val="24"/>
                <w:szCs w:val="24"/>
                <w:lang w:val="kk-KZ"/>
              </w:rPr>
              <w:t>Жынысы</w:t>
            </w:r>
            <w:r w:rsidRPr="00306051">
              <w:rPr>
                <w:rFonts w:ascii="Times New Roman" w:hAnsi="Times New Roman" w:cs="Times New Roman"/>
                <w:sz w:val="24"/>
                <w:szCs w:val="24"/>
              </w:rPr>
              <w:t xml:space="preserve">, N (%) </w:t>
            </w:r>
          </w:p>
        </w:tc>
      </w:tr>
      <w:tr w:rsidR="00607595" w:rsidRPr="00306051" w14:paraId="537E4BE8" w14:textId="77777777" w:rsidTr="00E04647">
        <w:tc>
          <w:tcPr>
            <w:tcW w:w="4443" w:type="dxa"/>
            <w:shd w:val="clear" w:color="auto" w:fill="FFFFFF"/>
          </w:tcPr>
          <w:p w14:paraId="34737361"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 xml:space="preserve">Ерлер </w:t>
            </w:r>
          </w:p>
        </w:tc>
        <w:tc>
          <w:tcPr>
            <w:tcW w:w="1476" w:type="dxa"/>
            <w:shd w:val="clear" w:color="auto" w:fill="FFFFFF"/>
          </w:tcPr>
          <w:p w14:paraId="4C1E1792"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963 (61)</w:t>
            </w:r>
          </w:p>
        </w:tc>
        <w:tc>
          <w:tcPr>
            <w:tcW w:w="1689" w:type="dxa"/>
            <w:shd w:val="clear" w:color="auto" w:fill="FFFFFF"/>
          </w:tcPr>
          <w:p w14:paraId="397B12E2"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986 (62)</w:t>
            </w:r>
          </w:p>
        </w:tc>
        <w:tc>
          <w:tcPr>
            <w:tcW w:w="1578" w:type="dxa"/>
            <w:shd w:val="clear" w:color="auto" w:fill="FFFFFF"/>
          </w:tcPr>
          <w:p w14:paraId="41902F95"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1 013 (64)</w:t>
            </w:r>
          </w:p>
        </w:tc>
      </w:tr>
      <w:tr w:rsidR="00607595" w:rsidRPr="00306051" w14:paraId="4BD662F0" w14:textId="77777777" w:rsidTr="00E04647">
        <w:tc>
          <w:tcPr>
            <w:tcW w:w="4443" w:type="dxa"/>
            <w:shd w:val="clear" w:color="auto" w:fill="FFFFFF"/>
          </w:tcPr>
          <w:p w14:paraId="2F32E8E3"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Әйелдер</w:t>
            </w:r>
          </w:p>
        </w:tc>
        <w:tc>
          <w:tcPr>
            <w:tcW w:w="1476" w:type="dxa"/>
            <w:shd w:val="clear" w:color="auto" w:fill="FFFFFF"/>
          </w:tcPr>
          <w:p w14:paraId="4F1D0BA1"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621 (39)</w:t>
            </w:r>
          </w:p>
        </w:tc>
        <w:tc>
          <w:tcPr>
            <w:tcW w:w="1689" w:type="dxa"/>
            <w:shd w:val="clear" w:color="auto" w:fill="FFFFFF"/>
          </w:tcPr>
          <w:p w14:paraId="2853FE0D"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598 (38)</w:t>
            </w:r>
          </w:p>
        </w:tc>
        <w:tc>
          <w:tcPr>
            <w:tcW w:w="1578" w:type="dxa"/>
            <w:shd w:val="clear" w:color="auto" w:fill="FFFFFF"/>
          </w:tcPr>
          <w:p w14:paraId="3945F50A"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566 (36)</w:t>
            </w:r>
          </w:p>
        </w:tc>
      </w:tr>
      <w:tr w:rsidR="00E04647" w:rsidRPr="00306051" w14:paraId="2C48A886" w14:textId="77777777" w:rsidTr="0023252A">
        <w:tblPrEx>
          <w:tblCellMar>
            <w:top w:w="0" w:type="dxa"/>
            <w:left w:w="0" w:type="dxa"/>
            <w:bottom w:w="0" w:type="dxa"/>
            <w:right w:w="0" w:type="dxa"/>
          </w:tblCellMar>
        </w:tblPrEx>
        <w:tc>
          <w:tcPr>
            <w:tcW w:w="9186" w:type="dxa"/>
            <w:gridSpan w:val="4"/>
            <w:shd w:val="clear" w:color="auto" w:fill="FFFFFF"/>
            <w:vAlign w:val="center"/>
          </w:tcPr>
          <w:p w14:paraId="7A9E7703" w14:textId="77777777" w:rsidR="00E04647" w:rsidRPr="00306051" w:rsidRDefault="00E04647">
            <w:pPr>
              <w:snapToGrid w:val="0"/>
            </w:pPr>
            <w:r w:rsidRPr="00306051">
              <w:rPr>
                <w:rFonts w:ascii="Times New Roman" w:hAnsi="Times New Roman" w:cs="Times New Roman"/>
                <w:sz w:val="24"/>
                <w:szCs w:val="24"/>
                <w:lang w:val="kk-KZ"/>
              </w:rPr>
              <w:t>Жұптың шешуші сипаттамалары</w:t>
            </w:r>
            <w:r w:rsidRPr="00306051">
              <w:rPr>
                <w:rFonts w:ascii="Times New Roman" w:hAnsi="Times New Roman" w:cs="Times New Roman"/>
                <w:sz w:val="24"/>
                <w:szCs w:val="24"/>
              </w:rPr>
              <w:t xml:space="preserve">, N (%) </w:t>
            </w:r>
            <w:r w:rsidRPr="00306051">
              <w:rPr>
                <w:rFonts w:ascii="Times New Roman" w:hAnsi="Times New Roman" w:cs="Times New Roman"/>
                <w:sz w:val="24"/>
                <w:szCs w:val="24"/>
                <w:lang w:val="kk-KZ"/>
              </w:rPr>
              <w:t>немесе</w:t>
            </w:r>
            <w:r w:rsidRPr="00306051">
              <w:rPr>
                <w:rFonts w:ascii="Times New Roman" w:hAnsi="Times New Roman" w:cs="Times New Roman"/>
                <w:sz w:val="24"/>
                <w:szCs w:val="24"/>
              </w:rPr>
              <w:t xml:space="preserve"> медиана</w:t>
            </w:r>
            <w:r w:rsidRPr="00306051">
              <w:rPr>
                <w:rFonts w:ascii="Times New Roman" w:hAnsi="Times New Roman" w:cs="Times New Roman"/>
                <w:sz w:val="24"/>
                <w:szCs w:val="24"/>
                <w:lang w:val="kk-KZ"/>
              </w:rPr>
              <w:t>сы</w:t>
            </w:r>
            <w:r w:rsidRPr="00306051">
              <w:rPr>
                <w:rFonts w:ascii="Times New Roman" w:hAnsi="Times New Roman" w:cs="Times New Roman"/>
                <w:sz w:val="24"/>
                <w:szCs w:val="24"/>
              </w:rPr>
              <w:t xml:space="preserve"> (Q1, Q3) </w:t>
            </w:r>
          </w:p>
        </w:tc>
      </w:tr>
      <w:tr w:rsidR="00607595" w:rsidRPr="00306051" w14:paraId="61AAC729" w14:textId="77777777" w:rsidTr="00E04647">
        <w:tc>
          <w:tcPr>
            <w:tcW w:w="4443" w:type="dxa"/>
            <w:shd w:val="clear" w:color="auto" w:fill="FFFFFF"/>
          </w:tcPr>
          <w:p w14:paraId="7A75EF06"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Некедегі серіктес</w:t>
            </w:r>
            <w:r w:rsidRPr="00306051">
              <w:rPr>
                <w:rFonts w:ascii="Times New Roman" w:hAnsi="Times New Roman" w:cs="Times New Roman"/>
                <w:sz w:val="24"/>
                <w:szCs w:val="24"/>
              </w:rPr>
              <w:t xml:space="preserve"> – </w:t>
            </w:r>
            <w:r w:rsidRPr="00306051">
              <w:rPr>
                <w:rFonts w:ascii="Times New Roman" w:hAnsi="Times New Roman" w:cs="Times New Roman"/>
                <w:sz w:val="24"/>
                <w:szCs w:val="24"/>
                <w:lang w:val="kk-KZ"/>
              </w:rPr>
              <w:t>зерттеуге қатысушы</w:t>
            </w:r>
          </w:p>
        </w:tc>
        <w:tc>
          <w:tcPr>
            <w:tcW w:w="1476" w:type="dxa"/>
            <w:shd w:val="clear" w:color="auto" w:fill="FFFFFF"/>
          </w:tcPr>
          <w:p w14:paraId="195FAAEC"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1 552 (98)</w:t>
            </w:r>
          </w:p>
        </w:tc>
        <w:tc>
          <w:tcPr>
            <w:tcW w:w="1689" w:type="dxa"/>
            <w:shd w:val="clear" w:color="auto" w:fill="FFFFFF"/>
          </w:tcPr>
          <w:p w14:paraId="062CEF63"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1 543 (97)</w:t>
            </w:r>
          </w:p>
        </w:tc>
        <w:tc>
          <w:tcPr>
            <w:tcW w:w="1578" w:type="dxa"/>
            <w:shd w:val="clear" w:color="auto" w:fill="FFFFFF"/>
          </w:tcPr>
          <w:p w14:paraId="04E85FAB"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1 540 (98)</w:t>
            </w:r>
          </w:p>
        </w:tc>
      </w:tr>
      <w:tr w:rsidR="00607595" w:rsidRPr="00306051" w14:paraId="1F17A6D1" w14:textId="77777777" w:rsidTr="00E04647">
        <w:tc>
          <w:tcPr>
            <w:tcW w:w="4443" w:type="dxa"/>
            <w:shd w:val="clear" w:color="auto" w:fill="FFFFFF"/>
          </w:tcPr>
          <w:p w14:paraId="6FA757E4"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Серіктесімен</w:t>
            </w:r>
            <w:r w:rsidRPr="00306051">
              <w:rPr>
                <w:rFonts w:ascii="Times New Roman" w:hAnsi="Times New Roman" w:cs="Times New Roman"/>
                <w:sz w:val="24"/>
                <w:szCs w:val="24"/>
              </w:rPr>
              <w:t xml:space="preserve"> – </w:t>
            </w:r>
            <w:r w:rsidRPr="00306051">
              <w:rPr>
                <w:rFonts w:ascii="Times New Roman" w:hAnsi="Times New Roman" w:cs="Times New Roman"/>
                <w:sz w:val="24"/>
                <w:szCs w:val="24"/>
                <w:lang w:val="kk-KZ"/>
              </w:rPr>
              <w:t>зерттеуге қатысушымен өмір сүрген жылдары</w:t>
            </w:r>
          </w:p>
        </w:tc>
        <w:tc>
          <w:tcPr>
            <w:tcW w:w="1476" w:type="dxa"/>
            <w:shd w:val="clear" w:color="auto" w:fill="FFFFFF"/>
          </w:tcPr>
          <w:p w14:paraId="01E3CA88"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7,1 (3,0, 14,0)</w:t>
            </w:r>
          </w:p>
        </w:tc>
        <w:tc>
          <w:tcPr>
            <w:tcW w:w="1689" w:type="dxa"/>
            <w:shd w:val="clear" w:color="auto" w:fill="FFFFFF"/>
          </w:tcPr>
          <w:p w14:paraId="1ADD6AE5"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7,0 (3,0, 13,5)</w:t>
            </w:r>
          </w:p>
        </w:tc>
        <w:tc>
          <w:tcPr>
            <w:tcW w:w="1578" w:type="dxa"/>
            <w:shd w:val="clear" w:color="auto" w:fill="FFFFFF"/>
          </w:tcPr>
          <w:p w14:paraId="3B5AA278"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7,1 (3,0, 14,0)</w:t>
            </w:r>
          </w:p>
        </w:tc>
      </w:tr>
      <w:tr w:rsidR="00607595" w:rsidRPr="00306051" w14:paraId="71A0D486" w14:textId="77777777" w:rsidTr="00E04647">
        <w:tc>
          <w:tcPr>
            <w:tcW w:w="4443" w:type="dxa"/>
            <w:shd w:val="clear" w:color="auto" w:fill="FFFFFF"/>
          </w:tcPr>
          <w:p w14:paraId="696775DE"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Д</w:t>
            </w:r>
            <w:proofErr w:type="spellStart"/>
            <w:r w:rsidRPr="00306051">
              <w:rPr>
                <w:rFonts w:ascii="Times New Roman" w:hAnsi="Times New Roman" w:cs="Times New Roman"/>
                <w:sz w:val="24"/>
                <w:szCs w:val="24"/>
              </w:rPr>
              <w:t>искордант</w:t>
            </w:r>
            <w:proofErr w:type="spellEnd"/>
            <w:r w:rsidRPr="00306051">
              <w:rPr>
                <w:rFonts w:ascii="Times New Roman" w:hAnsi="Times New Roman" w:cs="Times New Roman"/>
                <w:sz w:val="24"/>
                <w:szCs w:val="24"/>
                <w:lang w:val="kk-KZ"/>
              </w:rPr>
              <w:t>тық</w:t>
            </w:r>
            <w:r w:rsidRPr="00306051">
              <w:rPr>
                <w:rFonts w:ascii="Times New Roman" w:hAnsi="Times New Roman" w:cs="Times New Roman"/>
                <w:sz w:val="24"/>
                <w:szCs w:val="24"/>
              </w:rPr>
              <w:t xml:space="preserve"> статус</w:t>
            </w:r>
            <w:r w:rsidRPr="00306051">
              <w:rPr>
                <w:rFonts w:ascii="Times New Roman" w:hAnsi="Times New Roman" w:cs="Times New Roman"/>
                <w:sz w:val="24"/>
                <w:szCs w:val="24"/>
                <w:lang w:val="kk-KZ"/>
              </w:rPr>
              <w:t>ы туралы хабардар болған жылдары</w:t>
            </w:r>
          </w:p>
        </w:tc>
        <w:tc>
          <w:tcPr>
            <w:tcW w:w="1476" w:type="dxa"/>
            <w:shd w:val="clear" w:color="auto" w:fill="FFFFFF"/>
          </w:tcPr>
          <w:p w14:paraId="4121AC9A"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0,4 (0,1, 2,0)</w:t>
            </w:r>
          </w:p>
        </w:tc>
        <w:tc>
          <w:tcPr>
            <w:tcW w:w="1689" w:type="dxa"/>
            <w:shd w:val="clear" w:color="auto" w:fill="FFFFFF"/>
          </w:tcPr>
          <w:p w14:paraId="43E75973"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0,5 (0,1, 2,0)</w:t>
            </w:r>
          </w:p>
        </w:tc>
        <w:tc>
          <w:tcPr>
            <w:tcW w:w="1578" w:type="dxa"/>
            <w:shd w:val="clear" w:color="auto" w:fill="FFFFFF"/>
          </w:tcPr>
          <w:p w14:paraId="1D5F71E3"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0,4 (0,1, 2,0)</w:t>
            </w:r>
          </w:p>
        </w:tc>
      </w:tr>
    </w:tbl>
    <w:p w14:paraId="42060853" w14:textId="77777777" w:rsidR="00607595" w:rsidRPr="00306051" w:rsidRDefault="00607595">
      <w:pPr>
        <w:shd w:val="clear" w:color="auto" w:fill="FFFFFF"/>
        <w:spacing w:after="0" w:line="100" w:lineRule="atLeast"/>
        <w:jc w:val="both"/>
        <w:rPr>
          <w:rFonts w:ascii="Times New Roman" w:eastAsia="Times New Roman" w:hAnsi="Times New Roman" w:cs="Times New Roman"/>
          <w:sz w:val="24"/>
          <w:szCs w:val="24"/>
        </w:rPr>
      </w:pPr>
      <w:r w:rsidRPr="00306051">
        <w:rPr>
          <w:rFonts w:ascii="Times New Roman" w:hAnsi="Times New Roman" w:cs="Times New Roman"/>
          <w:sz w:val="24"/>
          <w:szCs w:val="24"/>
          <w:lang w:val="kk-KZ"/>
        </w:rPr>
        <w:t>АИТВ</w:t>
      </w:r>
      <w:r w:rsidRPr="00306051">
        <w:rPr>
          <w:rFonts w:ascii="Times New Roman" w:hAnsi="Times New Roman" w:cs="Times New Roman"/>
          <w:sz w:val="24"/>
          <w:szCs w:val="24"/>
        </w:rPr>
        <w:t>-</w:t>
      </w:r>
      <w:proofErr w:type="spellStart"/>
      <w:r w:rsidRPr="00306051">
        <w:rPr>
          <w:rFonts w:ascii="Times New Roman" w:hAnsi="Times New Roman" w:cs="Times New Roman"/>
          <w:sz w:val="24"/>
          <w:szCs w:val="24"/>
        </w:rPr>
        <w:t>сероконверси</w:t>
      </w:r>
      <w:proofErr w:type="spellEnd"/>
      <w:r w:rsidRPr="00306051">
        <w:rPr>
          <w:rFonts w:ascii="Times New Roman" w:hAnsi="Times New Roman" w:cs="Times New Roman"/>
          <w:sz w:val="24"/>
          <w:szCs w:val="24"/>
          <w:lang w:val="kk-KZ"/>
        </w:rPr>
        <w:t>ясының жаңа жағдайларының</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w:t>
      </w:r>
      <w:proofErr w:type="spellStart"/>
      <w:r w:rsidRPr="00306051">
        <w:rPr>
          <w:rFonts w:ascii="Times New Roman" w:hAnsi="Times New Roman" w:cs="Times New Roman"/>
          <w:sz w:val="24"/>
          <w:szCs w:val="24"/>
        </w:rPr>
        <w:t>иі</w:t>
      </w:r>
      <w:proofErr w:type="spellEnd"/>
      <w:r w:rsidRPr="00306051">
        <w:rPr>
          <w:rFonts w:ascii="Times New Roman" w:hAnsi="Times New Roman" w:cs="Times New Roman"/>
          <w:sz w:val="24"/>
          <w:szCs w:val="24"/>
          <w:lang w:val="kk-KZ"/>
        </w:rPr>
        <w:t xml:space="preserve">лігі </w:t>
      </w:r>
      <w:r w:rsidRPr="00306051">
        <w:rPr>
          <w:rFonts w:ascii="Times New Roman" w:hAnsi="Times New Roman" w:cs="Times New Roman"/>
          <w:sz w:val="24"/>
          <w:szCs w:val="24"/>
        </w:rPr>
        <w:t>9</w:t>
      </w:r>
      <w:r w:rsidRPr="00306051">
        <w:rPr>
          <w:rFonts w:ascii="Times New Roman" w:hAnsi="Times New Roman" w:cs="Times New Roman"/>
          <w:sz w:val="24"/>
          <w:szCs w:val="24"/>
          <w:lang w:val="kk-KZ"/>
        </w:rPr>
        <w:t xml:space="preserve"> кестеде көрсетілген</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Ерлердегі</w:t>
      </w:r>
      <w:r w:rsidRPr="00306051">
        <w:rPr>
          <w:rFonts w:ascii="Times New Roman" w:hAnsi="Times New Roman" w:cs="Times New Roman"/>
          <w:sz w:val="24"/>
          <w:szCs w:val="24"/>
        </w:rPr>
        <w:t xml:space="preserve"> АИТВ-1-сероконверси</w:t>
      </w:r>
      <w:r w:rsidRPr="00306051">
        <w:rPr>
          <w:rFonts w:ascii="Times New Roman" w:hAnsi="Times New Roman" w:cs="Times New Roman"/>
          <w:sz w:val="24"/>
          <w:szCs w:val="24"/>
          <w:lang w:val="kk-KZ"/>
        </w:rPr>
        <w:t xml:space="preserve">ясы деңгейі </w:t>
      </w:r>
      <w:proofErr w:type="spellStart"/>
      <w:r w:rsidRPr="00306051">
        <w:rPr>
          <w:rFonts w:ascii="Times New Roman" w:hAnsi="Times New Roman" w:cs="Times New Roman"/>
          <w:sz w:val="24"/>
          <w:szCs w:val="24"/>
        </w:rPr>
        <w:t>трувада</w:t>
      </w:r>
      <w:proofErr w:type="spellEnd"/>
      <w:r w:rsidRPr="00306051">
        <w:rPr>
          <w:rFonts w:ascii="Times New Roman" w:hAnsi="Times New Roman" w:cs="Times New Roman"/>
          <w:sz w:val="24"/>
          <w:szCs w:val="24"/>
        </w:rPr>
        <w:t xml:space="preserve"> препарат</w:t>
      </w:r>
      <w:r w:rsidRPr="00306051">
        <w:rPr>
          <w:rFonts w:ascii="Times New Roman" w:hAnsi="Times New Roman" w:cs="Times New Roman"/>
          <w:sz w:val="24"/>
          <w:szCs w:val="24"/>
          <w:lang w:val="kk-KZ"/>
        </w:rPr>
        <w:t>ы тұтынылған</w:t>
      </w:r>
      <w:r w:rsidRPr="00306051">
        <w:rPr>
          <w:rFonts w:ascii="Times New Roman" w:hAnsi="Times New Roman" w:cs="Times New Roman"/>
          <w:sz w:val="24"/>
          <w:szCs w:val="24"/>
        </w:rPr>
        <w:t xml:space="preserve"> 0,24/100 </w:t>
      </w:r>
      <w:r w:rsidRPr="00306051">
        <w:rPr>
          <w:rFonts w:ascii="Times New Roman" w:hAnsi="Times New Roman" w:cs="Times New Roman"/>
          <w:sz w:val="24"/>
          <w:szCs w:val="24"/>
          <w:lang w:val="kk-KZ"/>
        </w:rPr>
        <w:t>адам</w:t>
      </w:r>
      <w:r w:rsidRPr="00306051">
        <w:rPr>
          <w:rFonts w:ascii="Times New Roman" w:hAnsi="Times New Roman" w:cs="Times New Roman"/>
          <w:sz w:val="24"/>
          <w:szCs w:val="24"/>
        </w:rPr>
        <w:t>-</w:t>
      </w:r>
      <w:r w:rsidRPr="00306051">
        <w:rPr>
          <w:rFonts w:ascii="Times New Roman" w:hAnsi="Times New Roman" w:cs="Times New Roman"/>
          <w:sz w:val="24"/>
          <w:szCs w:val="24"/>
          <w:lang w:val="kk-KZ"/>
        </w:rPr>
        <w:t>жылды құрады</w:t>
      </w:r>
      <w:r w:rsidRPr="00306051">
        <w:rPr>
          <w:rFonts w:ascii="Times New Roman" w:hAnsi="Times New Roman" w:cs="Times New Roman"/>
          <w:sz w:val="24"/>
          <w:szCs w:val="24"/>
        </w:rPr>
        <w:t>, а</w:t>
      </w:r>
      <w:r w:rsidRPr="00306051">
        <w:rPr>
          <w:rFonts w:ascii="Times New Roman" w:hAnsi="Times New Roman" w:cs="Times New Roman"/>
          <w:sz w:val="24"/>
          <w:szCs w:val="24"/>
          <w:lang w:val="kk-KZ"/>
        </w:rPr>
        <w:t>л әйелдердегі</w:t>
      </w:r>
      <w:r w:rsidRPr="00306051">
        <w:rPr>
          <w:rFonts w:ascii="Times New Roman" w:hAnsi="Times New Roman" w:cs="Times New Roman"/>
          <w:sz w:val="24"/>
          <w:szCs w:val="24"/>
        </w:rPr>
        <w:t xml:space="preserve"> АИТВ-1-сероконверси</w:t>
      </w:r>
      <w:r w:rsidRPr="00306051">
        <w:rPr>
          <w:rFonts w:ascii="Times New Roman" w:hAnsi="Times New Roman" w:cs="Times New Roman"/>
          <w:sz w:val="24"/>
          <w:szCs w:val="24"/>
          <w:lang w:val="kk-KZ"/>
        </w:rPr>
        <w:t xml:space="preserve">ясы деңгейі </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трувада</w:t>
      </w:r>
      <w:proofErr w:type="spellEnd"/>
      <w:r w:rsidRPr="00306051">
        <w:rPr>
          <w:rFonts w:ascii="Times New Roman" w:hAnsi="Times New Roman" w:cs="Times New Roman"/>
          <w:sz w:val="24"/>
          <w:szCs w:val="24"/>
        </w:rPr>
        <w:t xml:space="preserve"> препарат</w:t>
      </w:r>
      <w:r w:rsidRPr="00306051">
        <w:rPr>
          <w:rFonts w:ascii="Times New Roman" w:hAnsi="Times New Roman" w:cs="Times New Roman"/>
          <w:sz w:val="24"/>
          <w:szCs w:val="24"/>
          <w:lang w:val="kk-KZ"/>
        </w:rPr>
        <w:t>ы тұтынылған</w:t>
      </w:r>
      <w:r w:rsidRPr="00306051">
        <w:rPr>
          <w:rFonts w:ascii="Times New Roman" w:hAnsi="Times New Roman" w:cs="Times New Roman"/>
          <w:sz w:val="24"/>
          <w:szCs w:val="24"/>
        </w:rPr>
        <w:t xml:space="preserve"> 0,95/100 </w:t>
      </w:r>
      <w:r w:rsidRPr="00306051">
        <w:rPr>
          <w:rFonts w:ascii="Times New Roman" w:hAnsi="Times New Roman" w:cs="Times New Roman"/>
          <w:sz w:val="24"/>
          <w:szCs w:val="24"/>
          <w:lang w:val="kk-KZ"/>
        </w:rPr>
        <w:t>адам</w:t>
      </w:r>
      <w:r w:rsidRPr="00306051">
        <w:rPr>
          <w:rFonts w:ascii="Times New Roman" w:hAnsi="Times New Roman" w:cs="Times New Roman"/>
          <w:sz w:val="24"/>
          <w:szCs w:val="24"/>
        </w:rPr>
        <w:t>-</w:t>
      </w:r>
      <w:r w:rsidRPr="00306051">
        <w:rPr>
          <w:rFonts w:ascii="Times New Roman" w:hAnsi="Times New Roman" w:cs="Times New Roman"/>
          <w:sz w:val="24"/>
          <w:szCs w:val="24"/>
          <w:lang w:val="kk-KZ"/>
        </w:rPr>
        <w:t>жылды құрады</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Тиімділігі қатаң түрде,</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емге бейілділікке қатысты болды</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 xml:space="preserve">ол </w:t>
      </w:r>
      <w:r w:rsidRPr="00306051">
        <w:rPr>
          <w:rFonts w:ascii="Times New Roman" w:hAnsi="Times New Roman" w:cs="Times New Roman"/>
          <w:sz w:val="24"/>
          <w:szCs w:val="24"/>
        </w:rPr>
        <w:t>препарат</w:t>
      </w:r>
      <w:r w:rsidRPr="00306051">
        <w:rPr>
          <w:rFonts w:ascii="Times New Roman" w:hAnsi="Times New Roman" w:cs="Times New Roman"/>
          <w:sz w:val="24"/>
          <w:szCs w:val="24"/>
          <w:lang w:val="kk-KZ"/>
        </w:rPr>
        <w:t>тың</w:t>
      </w:r>
      <w:r w:rsidR="00E0175E">
        <w:rPr>
          <w:rFonts w:ascii="Times New Roman" w:hAnsi="Times New Roman" w:cs="Times New Roman"/>
          <w:sz w:val="24"/>
          <w:szCs w:val="24"/>
        </w:rPr>
        <w:t xml:space="preserve"> плазм</w:t>
      </w:r>
      <w:r w:rsidRPr="00306051">
        <w:rPr>
          <w:rFonts w:ascii="Times New Roman" w:hAnsi="Times New Roman" w:cs="Times New Roman"/>
          <w:sz w:val="24"/>
          <w:szCs w:val="24"/>
          <w:lang w:val="kk-KZ"/>
        </w:rPr>
        <w:t>адағы немесе жасушалар ішіндегі</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деңгейлерін анықтау жолымен бағаланды</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 xml:space="preserve">және </w:t>
      </w:r>
      <w:r w:rsidRPr="00306051">
        <w:rPr>
          <w:rFonts w:ascii="Times New Roman" w:hAnsi="Times New Roman" w:cs="Times New Roman"/>
          <w:sz w:val="24"/>
          <w:szCs w:val="24"/>
        </w:rPr>
        <w:t>10</w:t>
      </w:r>
      <w:r w:rsidRPr="00306051">
        <w:rPr>
          <w:rFonts w:ascii="Times New Roman" w:hAnsi="Times New Roman" w:cs="Times New Roman"/>
          <w:sz w:val="24"/>
          <w:szCs w:val="24"/>
          <w:lang w:val="kk-KZ"/>
        </w:rPr>
        <w:t xml:space="preserve"> кестеде көрсетілгендей, бейілділігі бойынша белсенді түрде кеңес беру жүргізілген қосымша зерттеуге қатысушылар арасында жоғары болды</w:t>
      </w:r>
      <w:r w:rsidRPr="00306051">
        <w:rPr>
          <w:rFonts w:ascii="Times New Roman" w:hAnsi="Times New Roman" w:cs="Times New Roman"/>
          <w:sz w:val="24"/>
          <w:szCs w:val="24"/>
        </w:rPr>
        <w:t>.</w:t>
      </w:r>
    </w:p>
    <w:p w14:paraId="7C7A2480" w14:textId="77777777" w:rsidR="00607595" w:rsidRPr="00306051" w:rsidRDefault="00607595">
      <w:pPr>
        <w:shd w:val="clear" w:color="auto" w:fill="FFFFFF"/>
        <w:spacing w:after="0" w:line="100" w:lineRule="atLeast"/>
        <w:jc w:val="both"/>
        <w:rPr>
          <w:lang w:val="en-US"/>
        </w:rPr>
      </w:pPr>
      <w:r w:rsidRPr="00306051">
        <w:rPr>
          <w:rFonts w:ascii="Times New Roman" w:eastAsia="Times New Roman" w:hAnsi="Times New Roman" w:cs="Times New Roman"/>
          <w:sz w:val="24"/>
          <w:szCs w:val="24"/>
          <w:lang w:val="en-US"/>
        </w:rPr>
        <w:t xml:space="preserve">9 </w:t>
      </w:r>
      <w:proofErr w:type="spellStart"/>
      <w:r w:rsidRPr="00306051">
        <w:rPr>
          <w:rFonts w:ascii="Times New Roman" w:eastAsia="Times New Roman" w:hAnsi="Times New Roman" w:cs="Times New Roman"/>
          <w:sz w:val="24"/>
          <w:szCs w:val="24"/>
          <w:lang w:val="en-US"/>
        </w:rPr>
        <w:t>кесте</w:t>
      </w:r>
      <w:proofErr w:type="spellEnd"/>
      <w:r w:rsidRPr="00306051">
        <w:rPr>
          <w:rFonts w:ascii="Times New Roman" w:eastAsia="Times New Roman" w:hAnsi="Times New Roman" w:cs="Times New Roman"/>
          <w:sz w:val="24"/>
          <w:szCs w:val="24"/>
          <w:lang w:val="en-US"/>
        </w:rPr>
        <w:t xml:space="preserve">: CO-US-104-0380 (Partners </w:t>
      </w:r>
      <w:proofErr w:type="spellStart"/>
      <w:r w:rsidRPr="00306051">
        <w:rPr>
          <w:rFonts w:ascii="Times New Roman" w:eastAsia="Times New Roman" w:hAnsi="Times New Roman" w:cs="Times New Roman"/>
          <w:sz w:val="24"/>
          <w:szCs w:val="24"/>
          <w:lang w:val="en-US"/>
        </w:rPr>
        <w:t>PrEP</w:t>
      </w:r>
      <w:proofErr w:type="spellEnd"/>
      <w:r w:rsidRPr="00306051">
        <w:rPr>
          <w:rFonts w:ascii="Times New Roman" w:eastAsia="Times New Roman" w:hAnsi="Times New Roman" w:cs="Times New Roman"/>
          <w:sz w:val="24"/>
          <w:szCs w:val="24"/>
          <w:lang w:val="en-US"/>
        </w:rPr>
        <w:t xml:space="preserve">) </w:t>
      </w:r>
      <w:proofErr w:type="spellStart"/>
      <w:r w:rsidRPr="00306051">
        <w:rPr>
          <w:rFonts w:ascii="Times New Roman" w:eastAsia="Times New Roman" w:hAnsi="Times New Roman" w:cs="Times New Roman"/>
          <w:sz w:val="24"/>
          <w:szCs w:val="24"/>
          <w:lang w:val="en-US"/>
        </w:rPr>
        <w:t>зерттеуіндегі</w:t>
      </w:r>
      <w:proofErr w:type="spellEnd"/>
      <w:r w:rsidRPr="00306051">
        <w:rPr>
          <w:rFonts w:ascii="Times New Roman" w:eastAsia="Times New Roman" w:hAnsi="Times New Roman" w:cs="Times New Roman"/>
          <w:sz w:val="24"/>
          <w:szCs w:val="24"/>
          <w:lang w:val="en-US"/>
        </w:rPr>
        <w:t xml:space="preserve"> </w:t>
      </w:r>
      <w:proofErr w:type="spellStart"/>
      <w:r w:rsidRPr="00306051">
        <w:rPr>
          <w:rFonts w:ascii="Times New Roman" w:eastAsia="Times New Roman" w:hAnsi="Times New Roman" w:cs="Times New Roman"/>
          <w:sz w:val="24"/>
          <w:szCs w:val="24"/>
          <w:lang w:val="en-US"/>
        </w:rPr>
        <w:t>тиімділігі</w:t>
      </w:r>
      <w:proofErr w:type="spellEnd"/>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30" w:type="dxa"/>
          <w:left w:w="30" w:type="dxa"/>
          <w:bottom w:w="30" w:type="dxa"/>
          <w:right w:w="30" w:type="dxa"/>
        </w:tblCellMar>
        <w:tblLook w:val="0000" w:firstRow="0" w:lastRow="0" w:firstColumn="0" w:lastColumn="0" w:noHBand="0" w:noVBand="0"/>
      </w:tblPr>
      <w:tblGrid>
        <w:gridCol w:w="4157"/>
        <w:gridCol w:w="1519"/>
        <w:gridCol w:w="1852"/>
        <w:gridCol w:w="1603"/>
      </w:tblGrid>
      <w:tr w:rsidR="00607595" w:rsidRPr="00306051" w14:paraId="5CCEDB48" w14:textId="77777777" w:rsidTr="00E04647">
        <w:tc>
          <w:tcPr>
            <w:tcW w:w="2276" w:type="pct"/>
            <w:shd w:val="clear" w:color="auto" w:fill="FFFFFF"/>
            <w:vAlign w:val="bottom"/>
          </w:tcPr>
          <w:p w14:paraId="74D74639" w14:textId="77777777" w:rsidR="00607595" w:rsidRPr="00306051" w:rsidRDefault="00607595">
            <w:pPr>
              <w:shd w:val="clear" w:color="auto" w:fill="FFFFFF"/>
              <w:snapToGrid w:val="0"/>
              <w:spacing w:after="0" w:line="100" w:lineRule="atLeast"/>
              <w:jc w:val="both"/>
              <w:rPr>
                <w:lang w:val="en-US"/>
              </w:rPr>
            </w:pPr>
          </w:p>
        </w:tc>
        <w:tc>
          <w:tcPr>
            <w:tcW w:w="832" w:type="pct"/>
            <w:shd w:val="clear" w:color="auto" w:fill="FFFFFF"/>
            <w:vAlign w:val="bottom"/>
          </w:tcPr>
          <w:p w14:paraId="01ADDF23"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Плацебо</w:t>
            </w:r>
          </w:p>
        </w:tc>
        <w:tc>
          <w:tcPr>
            <w:tcW w:w="1014" w:type="pct"/>
            <w:shd w:val="clear" w:color="auto" w:fill="FFFFFF"/>
            <w:vAlign w:val="bottom"/>
          </w:tcPr>
          <w:p w14:paraId="065600E2"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245 мг</w:t>
            </w:r>
          </w:p>
        </w:tc>
        <w:tc>
          <w:tcPr>
            <w:tcW w:w="878" w:type="pct"/>
            <w:shd w:val="clear" w:color="auto" w:fill="FFFFFF"/>
            <w:vAlign w:val="bottom"/>
          </w:tcPr>
          <w:p w14:paraId="2C6C964D" w14:textId="77777777" w:rsidR="00607595" w:rsidRPr="00306051" w:rsidRDefault="00607595">
            <w:pPr>
              <w:shd w:val="clear" w:color="auto" w:fill="FFFFFF"/>
              <w:spacing w:after="0" w:line="100" w:lineRule="atLeast"/>
              <w:jc w:val="center"/>
            </w:pPr>
            <w:proofErr w:type="spellStart"/>
            <w:r w:rsidRPr="00306051">
              <w:rPr>
                <w:rFonts w:ascii="Times New Roman" w:hAnsi="Times New Roman" w:cs="Times New Roman"/>
                <w:sz w:val="24"/>
                <w:szCs w:val="24"/>
              </w:rPr>
              <w:t>Эмтрицитабин</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және</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фумарат</w:t>
            </w:r>
            <w:proofErr w:type="spellEnd"/>
            <w:r w:rsidRPr="00306051">
              <w:rPr>
                <w:rFonts w:ascii="Times New Roman" w:hAnsi="Times New Roman" w:cs="Times New Roman"/>
                <w:sz w:val="24"/>
                <w:szCs w:val="24"/>
                <w:lang w:val="kk-KZ"/>
              </w:rPr>
              <w:t>ы</w:t>
            </w:r>
          </w:p>
        </w:tc>
      </w:tr>
      <w:tr w:rsidR="00607595" w:rsidRPr="00306051" w14:paraId="5D7B1008" w14:textId="77777777" w:rsidTr="00E04647">
        <w:tc>
          <w:tcPr>
            <w:tcW w:w="2276" w:type="pct"/>
            <w:shd w:val="clear" w:color="auto" w:fill="FFFFFF"/>
          </w:tcPr>
          <w:p w14:paraId="06BF4984"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proofErr w:type="spellStart"/>
            <w:r w:rsidRPr="00306051">
              <w:rPr>
                <w:rFonts w:ascii="Times New Roman" w:hAnsi="Times New Roman" w:cs="Times New Roman"/>
                <w:sz w:val="24"/>
                <w:szCs w:val="24"/>
              </w:rPr>
              <w:t>Сероконверсия</w:t>
            </w:r>
            <w:proofErr w:type="spellEnd"/>
            <w:r w:rsidRPr="00306051">
              <w:rPr>
                <w:rFonts w:ascii="Times New Roman" w:hAnsi="Times New Roman" w:cs="Times New Roman"/>
                <w:sz w:val="24"/>
                <w:szCs w:val="24"/>
              </w:rPr>
              <w:t xml:space="preserve">/N a </w:t>
            </w:r>
          </w:p>
        </w:tc>
        <w:tc>
          <w:tcPr>
            <w:tcW w:w="832" w:type="pct"/>
            <w:shd w:val="clear" w:color="auto" w:fill="FFFFFF"/>
          </w:tcPr>
          <w:p w14:paraId="7373FB68"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52/1 578</w:t>
            </w:r>
          </w:p>
        </w:tc>
        <w:tc>
          <w:tcPr>
            <w:tcW w:w="1014" w:type="pct"/>
            <w:shd w:val="clear" w:color="auto" w:fill="FFFFFF"/>
          </w:tcPr>
          <w:p w14:paraId="4380B64C"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17/1 579</w:t>
            </w:r>
          </w:p>
        </w:tc>
        <w:tc>
          <w:tcPr>
            <w:tcW w:w="878" w:type="pct"/>
            <w:shd w:val="clear" w:color="auto" w:fill="FFFFFF"/>
          </w:tcPr>
          <w:p w14:paraId="3BDE62A4"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13/1 576</w:t>
            </w:r>
          </w:p>
        </w:tc>
      </w:tr>
      <w:tr w:rsidR="00607595" w:rsidRPr="00306051" w14:paraId="7D5E754D" w14:textId="77777777" w:rsidTr="00E04647">
        <w:tc>
          <w:tcPr>
            <w:tcW w:w="2276" w:type="pct"/>
            <w:shd w:val="clear" w:color="auto" w:fill="FFFFFF"/>
            <w:vAlign w:val="bottom"/>
          </w:tcPr>
          <w:p w14:paraId="5522F6AB"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 xml:space="preserve">100 </w:t>
            </w:r>
            <w:r w:rsidRPr="00306051">
              <w:rPr>
                <w:rFonts w:ascii="Times New Roman" w:hAnsi="Times New Roman" w:cs="Times New Roman"/>
                <w:sz w:val="24"/>
                <w:szCs w:val="24"/>
                <w:lang w:val="kk-KZ"/>
              </w:rPr>
              <w:t>адам</w:t>
            </w:r>
            <w:r w:rsidRPr="00306051">
              <w:rPr>
                <w:rFonts w:ascii="Times New Roman" w:hAnsi="Times New Roman" w:cs="Times New Roman"/>
                <w:sz w:val="24"/>
                <w:szCs w:val="24"/>
              </w:rPr>
              <w:t>-</w:t>
            </w:r>
            <w:r w:rsidRPr="00306051">
              <w:rPr>
                <w:rFonts w:ascii="Times New Roman" w:hAnsi="Times New Roman" w:cs="Times New Roman"/>
                <w:sz w:val="24"/>
                <w:szCs w:val="24"/>
                <w:lang w:val="kk-KZ"/>
              </w:rPr>
              <w:t xml:space="preserve">жыл үшін жаңа жағдайларының </w:t>
            </w:r>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w:t>
            </w:r>
            <w:proofErr w:type="spellStart"/>
            <w:r w:rsidRPr="00306051">
              <w:rPr>
                <w:rFonts w:ascii="Times New Roman" w:hAnsi="Times New Roman" w:cs="Times New Roman"/>
                <w:sz w:val="24"/>
                <w:szCs w:val="24"/>
              </w:rPr>
              <w:t>иі</w:t>
            </w:r>
            <w:proofErr w:type="spellEnd"/>
            <w:r w:rsidRPr="00306051">
              <w:rPr>
                <w:rFonts w:ascii="Times New Roman" w:hAnsi="Times New Roman" w:cs="Times New Roman"/>
                <w:sz w:val="24"/>
                <w:szCs w:val="24"/>
                <w:lang w:val="kk-KZ"/>
              </w:rPr>
              <w:t>лігі</w:t>
            </w:r>
            <w:r w:rsidRPr="00306051">
              <w:rPr>
                <w:rFonts w:ascii="Times New Roman" w:hAnsi="Times New Roman" w:cs="Times New Roman"/>
                <w:sz w:val="24"/>
                <w:szCs w:val="24"/>
              </w:rPr>
              <w:t xml:space="preserve"> (СА 95% </w:t>
            </w:r>
            <w:proofErr w:type="spellStart"/>
            <w:r w:rsidRPr="00306051">
              <w:rPr>
                <w:rFonts w:ascii="Times New Roman" w:hAnsi="Times New Roman" w:cs="Times New Roman"/>
                <w:sz w:val="24"/>
                <w:szCs w:val="24"/>
              </w:rPr>
              <w:t>деңгейінде</w:t>
            </w:r>
            <w:proofErr w:type="spellEnd"/>
            <w:r w:rsidRPr="00306051">
              <w:rPr>
                <w:rFonts w:ascii="Times New Roman" w:hAnsi="Times New Roman" w:cs="Times New Roman"/>
                <w:sz w:val="24"/>
                <w:szCs w:val="24"/>
              </w:rPr>
              <w:t>)</w:t>
            </w:r>
          </w:p>
        </w:tc>
        <w:tc>
          <w:tcPr>
            <w:tcW w:w="832" w:type="pct"/>
            <w:shd w:val="clear" w:color="auto" w:fill="FFFFFF"/>
          </w:tcPr>
          <w:p w14:paraId="395DF050"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1,99 (1,49, 2,62)</w:t>
            </w:r>
          </w:p>
        </w:tc>
        <w:tc>
          <w:tcPr>
            <w:tcW w:w="1014" w:type="pct"/>
            <w:shd w:val="clear" w:color="auto" w:fill="FFFFFF"/>
          </w:tcPr>
          <w:p w14:paraId="63D90002"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0,65 (0,38, 1,05)</w:t>
            </w:r>
          </w:p>
        </w:tc>
        <w:tc>
          <w:tcPr>
            <w:tcW w:w="878" w:type="pct"/>
            <w:shd w:val="clear" w:color="auto" w:fill="FFFFFF"/>
          </w:tcPr>
          <w:p w14:paraId="16E2297E"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0,50 (0,27, 0,85)</w:t>
            </w:r>
          </w:p>
        </w:tc>
      </w:tr>
      <w:tr w:rsidR="00607595" w:rsidRPr="00306051" w14:paraId="7CBCE26D" w14:textId="77777777" w:rsidTr="00E04647">
        <w:tc>
          <w:tcPr>
            <w:tcW w:w="2276" w:type="pct"/>
            <w:shd w:val="clear" w:color="auto" w:fill="FFFFFF"/>
          </w:tcPr>
          <w:p w14:paraId="2BC70375"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proofErr w:type="spellStart"/>
            <w:r w:rsidRPr="00306051">
              <w:rPr>
                <w:rFonts w:ascii="Times New Roman" w:hAnsi="Times New Roman" w:cs="Times New Roman"/>
                <w:sz w:val="24"/>
                <w:szCs w:val="24"/>
              </w:rPr>
              <w:t>Қауіптің</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салыстырмалы</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төмендеуі</w:t>
            </w:r>
            <w:proofErr w:type="spellEnd"/>
            <w:r w:rsidRPr="00306051">
              <w:rPr>
                <w:rFonts w:ascii="Times New Roman" w:hAnsi="Times New Roman" w:cs="Times New Roman"/>
                <w:sz w:val="24"/>
                <w:szCs w:val="24"/>
              </w:rPr>
              <w:t xml:space="preserve"> (СА 95% </w:t>
            </w:r>
            <w:proofErr w:type="spellStart"/>
            <w:r w:rsidRPr="00306051">
              <w:rPr>
                <w:rFonts w:ascii="Times New Roman" w:hAnsi="Times New Roman" w:cs="Times New Roman"/>
                <w:sz w:val="24"/>
                <w:szCs w:val="24"/>
              </w:rPr>
              <w:t>деңгейінде</w:t>
            </w:r>
            <w:proofErr w:type="spellEnd"/>
            <w:r w:rsidRPr="00306051">
              <w:rPr>
                <w:rFonts w:ascii="Times New Roman" w:hAnsi="Times New Roman" w:cs="Times New Roman"/>
                <w:sz w:val="24"/>
                <w:szCs w:val="24"/>
              </w:rPr>
              <w:t>)</w:t>
            </w:r>
          </w:p>
        </w:tc>
        <w:tc>
          <w:tcPr>
            <w:tcW w:w="832" w:type="pct"/>
            <w:shd w:val="clear" w:color="auto" w:fill="FFFFFF"/>
          </w:tcPr>
          <w:p w14:paraId="0CDC7C58"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 xml:space="preserve">— </w:t>
            </w:r>
          </w:p>
        </w:tc>
        <w:tc>
          <w:tcPr>
            <w:tcW w:w="1014" w:type="pct"/>
            <w:shd w:val="clear" w:color="auto" w:fill="FFFFFF"/>
          </w:tcPr>
          <w:p w14:paraId="019AF179"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67% (44%, 81%)</w:t>
            </w:r>
          </w:p>
        </w:tc>
        <w:tc>
          <w:tcPr>
            <w:tcW w:w="878" w:type="pct"/>
            <w:shd w:val="clear" w:color="auto" w:fill="FFFFFF"/>
          </w:tcPr>
          <w:p w14:paraId="302E5698"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75% (55%, 87%)</w:t>
            </w:r>
          </w:p>
        </w:tc>
      </w:tr>
    </w:tbl>
    <w:p w14:paraId="754779CD"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0"/>
          <w:szCs w:val="20"/>
        </w:rPr>
        <w:t>a</w:t>
      </w:r>
      <w:r w:rsidRPr="00306051">
        <w:rPr>
          <w:rFonts w:ascii="Times New Roman" w:hAnsi="Times New Roman" w:cs="Times New Roman"/>
          <w:sz w:val="20"/>
          <w:szCs w:val="20"/>
          <w:lang w:val="kk-KZ"/>
        </w:rPr>
        <w:t xml:space="preserve"> С</w:t>
      </w:r>
      <w:proofErr w:type="spellStart"/>
      <w:r w:rsidRPr="00306051">
        <w:rPr>
          <w:rFonts w:ascii="Times New Roman" w:hAnsi="Times New Roman" w:cs="Times New Roman"/>
          <w:sz w:val="20"/>
          <w:szCs w:val="20"/>
        </w:rPr>
        <w:t>ероконверси</w:t>
      </w:r>
      <w:proofErr w:type="spellEnd"/>
      <w:r w:rsidRPr="00306051">
        <w:rPr>
          <w:rFonts w:ascii="Times New Roman" w:hAnsi="Times New Roman" w:cs="Times New Roman"/>
          <w:sz w:val="20"/>
          <w:szCs w:val="20"/>
          <w:lang w:val="kk-KZ"/>
        </w:rPr>
        <w:t>я жағдайларының негізінде</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бастапқы деңгейінен кейін</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модифи</w:t>
      </w:r>
      <w:proofErr w:type="spellEnd"/>
      <w:r w:rsidRPr="00306051">
        <w:rPr>
          <w:rFonts w:ascii="Times New Roman" w:hAnsi="Times New Roman" w:cs="Times New Roman"/>
          <w:sz w:val="20"/>
          <w:szCs w:val="20"/>
          <w:lang w:val="kk-KZ"/>
        </w:rPr>
        <w:t>ка</w:t>
      </w:r>
      <w:proofErr w:type="spellStart"/>
      <w:r w:rsidRPr="00306051">
        <w:rPr>
          <w:rFonts w:ascii="Times New Roman" w:hAnsi="Times New Roman" w:cs="Times New Roman"/>
          <w:sz w:val="20"/>
          <w:szCs w:val="20"/>
        </w:rPr>
        <w:t>ци</w:t>
      </w:r>
      <w:proofErr w:type="spellEnd"/>
      <w:r w:rsidRPr="00306051">
        <w:rPr>
          <w:rFonts w:ascii="Times New Roman" w:hAnsi="Times New Roman" w:cs="Times New Roman"/>
          <w:sz w:val="20"/>
          <w:szCs w:val="20"/>
          <w:lang w:val="kk-KZ"/>
        </w:rPr>
        <w:t>яланған</w:t>
      </w:r>
      <w:r w:rsidRPr="00306051">
        <w:rPr>
          <w:rFonts w:ascii="Times New Roman" w:hAnsi="Times New Roman" w:cs="Times New Roman"/>
          <w:sz w:val="20"/>
          <w:szCs w:val="20"/>
        </w:rPr>
        <w:t xml:space="preserve"> ITT-</w:t>
      </w:r>
      <w:proofErr w:type="spellStart"/>
      <w:r w:rsidRPr="00306051">
        <w:rPr>
          <w:rFonts w:ascii="Times New Roman" w:hAnsi="Times New Roman" w:cs="Times New Roman"/>
          <w:sz w:val="20"/>
          <w:szCs w:val="20"/>
        </w:rPr>
        <w:t>популяци</w:t>
      </w:r>
      <w:proofErr w:type="spellEnd"/>
      <w:r w:rsidRPr="00306051">
        <w:rPr>
          <w:rFonts w:ascii="Times New Roman" w:hAnsi="Times New Roman" w:cs="Times New Roman"/>
          <w:sz w:val="20"/>
          <w:szCs w:val="20"/>
          <w:lang w:val="kk-KZ"/>
        </w:rPr>
        <w:t>я</w:t>
      </w:r>
      <w:r w:rsidRPr="00306051">
        <w:rPr>
          <w:rFonts w:ascii="Times New Roman" w:hAnsi="Times New Roman" w:cs="Times New Roman"/>
          <w:sz w:val="20"/>
          <w:szCs w:val="20"/>
        </w:rPr>
        <w:t xml:space="preserve"> когорт</w:t>
      </w:r>
      <w:r w:rsidRPr="00306051">
        <w:rPr>
          <w:rFonts w:ascii="Times New Roman" w:hAnsi="Times New Roman" w:cs="Times New Roman"/>
          <w:sz w:val="20"/>
          <w:szCs w:val="20"/>
          <w:lang w:val="kk-KZ"/>
        </w:rPr>
        <w:t>ас</w:t>
      </w:r>
      <w:r w:rsidRPr="00306051">
        <w:rPr>
          <w:rFonts w:ascii="Times New Roman" w:hAnsi="Times New Roman" w:cs="Times New Roman"/>
          <w:sz w:val="20"/>
          <w:szCs w:val="20"/>
        </w:rPr>
        <w:t>ы</w:t>
      </w:r>
      <w:r w:rsidRPr="00306051">
        <w:rPr>
          <w:rFonts w:ascii="Times New Roman" w:hAnsi="Times New Roman" w:cs="Times New Roman"/>
          <w:sz w:val="20"/>
          <w:szCs w:val="20"/>
          <w:lang w:val="kk-KZ"/>
        </w:rPr>
        <w:t xml:space="preserve"> үшін есептеп шығарылған қауіптің салыстырмалы төмендеуі</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Зерттеудегі белсенді топтар</w:t>
      </w:r>
      <w:r w:rsidRPr="00306051">
        <w:rPr>
          <w:rFonts w:ascii="Times New Roman" w:hAnsi="Times New Roman" w:cs="Times New Roman"/>
          <w:sz w:val="20"/>
          <w:szCs w:val="20"/>
        </w:rPr>
        <w:t xml:space="preserve"> плацебо</w:t>
      </w:r>
      <w:r w:rsidRPr="00306051">
        <w:rPr>
          <w:rFonts w:ascii="Times New Roman" w:hAnsi="Times New Roman" w:cs="Times New Roman"/>
          <w:sz w:val="20"/>
          <w:szCs w:val="20"/>
          <w:lang w:val="kk-KZ"/>
        </w:rPr>
        <w:t>мен салыстырылған</w:t>
      </w:r>
      <w:r w:rsidRPr="00306051">
        <w:rPr>
          <w:rFonts w:ascii="Times New Roman" w:hAnsi="Times New Roman" w:cs="Times New Roman"/>
          <w:sz w:val="20"/>
          <w:szCs w:val="20"/>
        </w:rPr>
        <w:t>.</w:t>
      </w:r>
    </w:p>
    <w:p w14:paraId="52189BFE" w14:textId="77777777" w:rsidR="00607595" w:rsidRPr="00306051" w:rsidRDefault="00607595">
      <w:pPr>
        <w:shd w:val="clear" w:color="auto" w:fill="FFFFFF"/>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rPr>
        <w:t>10</w:t>
      </w:r>
      <w:r w:rsidRPr="00306051">
        <w:rPr>
          <w:rFonts w:ascii="Times New Roman" w:hAnsi="Times New Roman" w:cs="Times New Roman"/>
          <w:sz w:val="24"/>
          <w:szCs w:val="24"/>
          <w:lang w:val="kk-KZ"/>
        </w:rPr>
        <w:t xml:space="preserve"> кесте</w:t>
      </w:r>
      <w:r w:rsidRPr="00306051">
        <w:rPr>
          <w:rFonts w:ascii="Times New Roman" w:hAnsi="Times New Roman" w:cs="Times New Roman"/>
          <w:sz w:val="24"/>
          <w:szCs w:val="24"/>
        </w:rPr>
        <w:t>: CO-US-104-0380</w:t>
      </w:r>
      <w:r w:rsidRPr="00306051">
        <w:rPr>
          <w:rFonts w:ascii="Times New Roman" w:hAnsi="Times New Roman" w:cs="Times New Roman"/>
          <w:sz w:val="24"/>
          <w:szCs w:val="24"/>
          <w:lang w:val="kk-KZ"/>
        </w:rPr>
        <w:t xml:space="preserve"> </w:t>
      </w:r>
      <w:r w:rsidRPr="00306051">
        <w:rPr>
          <w:rFonts w:ascii="Times New Roman" w:hAnsi="Times New Roman" w:cs="Times New Roman"/>
          <w:sz w:val="24"/>
          <w:szCs w:val="24"/>
        </w:rPr>
        <w:t>(</w:t>
      </w:r>
      <w:r w:rsidRPr="00306051">
        <w:rPr>
          <w:rFonts w:ascii="Times New Roman" w:eastAsia="Times New Roman" w:hAnsi="Times New Roman" w:cs="Times New Roman"/>
          <w:sz w:val="24"/>
          <w:szCs w:val="24"/>
          <w:lang w:val="en-US"/>
        </w:rPr>
        <w:t>Partners</w:t>
      </w:r>
      <w:r w:rsidRPr="00306051">
        <w:rPr>
          <w:rFonts w:ascii="Times New Roman" w:eastAsia="Times New Roman" w:hAnsi="Times New Roman" w:cs="Times New Roman"/>
          <w:sz w:val="24"/>
          <w:szCs w:val="24"/>
        </w:rPr>
        <w:t xml:space="preserve"> </w:t>
      </w:r>
      <w:proofErr w:type="spellStart"/>
      <w:r w:rsidRPr="00306051">
        <w:rPr>
          <w:rFonts w:ascii="Times New Roman" w:eastAsia="Times New Roman" w:hAnsi="Times New Roman" w:cs="Times New Roman"/>
          <w:sz w:val="24"/>
          <w:szCs w:val="24"/>
          <w:lang w:val="en-US"/>
        </w:rPr>
        <w:t>PrEP</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зерттеуіндегі тиімділігі және бейілділік</w:t>
      </w:r>
    </w:p>
    <w:tbl>
      <w:tblPr>
        <w:tblW w:w="4998"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3274"/>
        <w:gridCol w:w="1078"/>
        <w:gridCol w:w="1973"/>
        <w:gridCol w:w="1755"/>
        <w:gridCol w:w="997"/>
      </w:tblGrid>
      <w:tr w:rsidR="00E04647" w:rsidRPr="007A5E44" w14:paraId="3F80790E" w14:textId="77777777" w:rsidTr="00E04647">
        <w:tc>
          <w:tcPr>
            <w:tcW w:w="1803" w:type="pct"/>
            <w:vMerge w:val="restart"/>
            <w:shd w:val="clear" w:color="auto" w:fill="FFFFFF"/>
            <w:vAlign w:val="bottom"/>
          </w:tcPr>
          <w:p w14:paraId="1525361E" w14:textId="77777777" w:rsidR="00E04647" w:rsidRPr="00306051" w:rsidRDefault="00E04647">
            <w:pPr>
              <w:shd w:val="clear" w:color="auto" w:fill="FFFFFF"/>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 xml:space="preserve">Зерттеліп отырған препараттың мөлшерін анықтау </w:t>
            </w:r>
          </w:p>
        </w:tc>
        <w:tc>
          <w:tcPr>
            <w:tcW w:w="1681" w:type="pct"/>
            <w:gridSpan w:val="2"/>
            <w:shd w:val="clear" w:color="auto" w:fill="FFFFFF"/>
            <w:vAlign w:val="bottom"/>
          </w:tcPr>
          <w:p w14:paraId="4F99E461" w14:textId="77777777" w:rsidR="00E04647" w:rsidRPr="00306051" w:rsidRDefault="00E04647">
            <w:pPr>
              <w:shd w:val="clear" w:color="auto" w:fill="FFFFFF"/>
              <w:spacing w:after="0" w:line="100" w:lineRule="atLeast"/>
              <w:jc w:val="center"/>
              <w:rPr>
                <w:rFonts w:ascii="Times New Roman" w:hAnsi="Times New Roman" w:cs="Times New Roman"/>
                <w:sz w:val="24"/>
                <w:szCs w:val="24"/>
                <w:lang w:val="kk-KZ"/>
              </w:rPr>
            </w:pPr>
            <w:r w:rsidRPr="00306051">
              <w:rPr>
                <w:rFonts w:ascii="Times New Roman" w:hAnsi="Times New Roman" w:cs="Times New Roman"/>
                <w:sz w:val="24"/>
                <w:szCs w:val="24"/>
                <w:lang w:val="kk-KZ"/>
              </w:rPr>
              <w:t>Анықталған тенофовир мөшері/үлгілердің жалпы саны (%)</w:t>
            </w:r>
          </w:p>
        </w:tc>
        <w:tc>
          <w:tcPr>
            <w:tcW w:w="1515" w:type="pct"/>
            <w:gridSpan w:val="2"/>
            <w:shd w:val="clear" w:color="auto" w:fill="FFFFFF"/>
            <w:vAlign w:val="bottom"/>
          </w:tcPr>
          <w:p w14:paraId="5DDB4204" w14:textId="77777777" w:rsidR="00E04647" w:rsidRPr="00306051" w:rsidRDefault="00E04647" w:rsidP="00E77D8B">
            <w:pPr>
              <w:snapToGrid w:val="0"/>
              <w:rPr>
                <w:lang w:val="kk-KZ"/>
              </w:rPr>
            </w:pPr>
            <w:r w:rsidRPr="00306051">
              <w:rPr>
                <w:rFonts w:ascii="Times New Roman" w:hAnsi="Times New Roman" w:cs="Times New Roman"/>
                <w:sz w:val="24"/>
                <w:szCs w:val="24"/>
                <w:lang w:val="kk-KZ"/>
              </w:rPr>
              <w:t>АИТВ-1</w:t>
            </w:r>
            <w:r w:rsidR="00E77D8B" w:rsidRPr="00306051">
              <w:rPr>
                <w:rFonts w:ascii="Times New Roman" w:hAnsi="Times New Roman" w:cs="Times New Roman"/>
                <w:sz w:val="24"/>
                <w:szCs w:val="24"/>
                <w:lang w:val="kk-KZ"/>
              </w:rPr>
              <w:t>-ден қорғану үшін қауіпті бағалау:</w:t>
            </w:r>
            <w:r w:rsidR="00E77D8B" w:rsidRPr="00306051">
              <w:rPr>
                <w:rFonts w:ascii="Times New Roman" w:hAnsi="Times New Roman" w:cs="Times New Roman"/>
                <w:color w:val="000000"/>
                <w:sz w:val="24"/>
                <w:szCs w:val="24"/>
                <w:lang w:val="kk-KZ"/>
              </w:rPr>
              <w:t xml:space="preserve"> Тенофовирдің анықталуы және анықталмауы</w:t>
            </w:r>
          </w:p>
        </w:tc>
      </w:tr>
      <w:tr w:rsidR="00607595" w:rsidRPr="00306051" w14:paraId="3FDB7CD2" w14:textId="77777777" w:rsidTr="00E04647">
        <w:tblPrEx>
          <w:tblCellMar>
            <w:top w:w="30" w:type="dxa"/>
            <w:left w:w="30" w:type="dxa"/>
            <w:bottom w:w="30" w:type="dxa"/>
            <w:right w:w="30" w:type="dxa"/>
          </w:tblCellMar>
        </w:tblPrEx>
        <w:tc>
          <w:tcPr>
            <w:tcW w:w="1803" w:type="pct"/>
            <w:vMerge/>
            <w:shd w:val="clear" w:color="auto" w:fill="FFFFFF"/>
            <w:vAlign w:val="center"/>
          </w:tcPr>
          <w:p w14:paraId="3EB0F39D" w14:textId="77777777" w:rsidR="00607595" w:rsidRPr="00306051" w:rsidRDefault="00607595">
            <w:pPr>
              <w:shd w:val="clear" w:color="auto" w:fill="FFFFFF"/>
              <w:snapToGrid w:val="0"/>
              <w:spacing w:after="0" w:line="100" w:lineRule="atLeast"/>
              <w:jc w:val="both"/>
              <w:rPr>
                <w:rFonts w:ascii="Times New Roman" w:eastAsia="Times New Roman" w:hAnsi="Times New Roman" w:cs="Times New Roman"/>
                <w:sz w:val="24"/>
                <w:szCs w:val="24"/>
                <w:lang w:val="kk-KZ"/>
              </w:rPr>
            </w:pPr>
          </w:p>
        </w:tc>
        <w:tc>
          <w:tcPr>
            <w:tcW w:w="594" w:type="pct"/>
            <w:shd w:val="clear" w:color="auto" w:fill="FFFFFF"/>
            <w:vAlign w:val="bottom"/>
          </w:tcPr>
          <w:p w14:paraId="257EAC99"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lang w:val="kk-KZ"/>
              </w:rPr>
              <w:t>Жағдай</w:t>
            </w:r>
          </w:p>
        </w:tc>
        <w:tc>
          <w:tcPr>
            <w:tcW w:w="1087" w:type="pct"/>
            <w:shd w:val="clear" w:color="auto" w:fill="FFFFFF"/>
            <w:vAlign w:val="bottom"/>
          </w:tcPr>
          <w:p w14:paraId="07B025E7" w14:textId="77777777" w:rsidR="00607595" w:rsidRPr="00306051" w:rsidRDefault="00607595">
            <w:pPr>
              <w:shd w:val="clear" w:color="auto" w:fill="FFFFFF"/>
              <w:spacing w:after="0" w:line="100" w:lineRule="atLeast"/>
              <w:jc w:val="center"/>
              <w:rPr>
                <w:rFonts w:ascii="Times New Roman" w:hAnsi="Times New Roman" w:cs="Times New Roman"/>
                <w:sz w:val="24"/>
                <w:szCs w:val="24"/>
                <w:lang w:val="kk-KZ"/>
              </w:rPr>
            </w:pPr>
            <w:r w:rsidRPr="00306051">
              <w:rPr>
                <w:rFonts w:ascii="Times New Roman" w:hAnsi="Times New Roman" w:cs="Times New Roman"/>
                <w:sz w:val="24"/>
                <w:szCs w:val="24"/>
              </w:rPr>
              <w:t>Когорта</w:t>
            </w:r>
          </w:p>
        </w:tc>
        <w:tc>
          <w:tcPr>
            <w:tcW w:w="967" w:type="pct"/>
            <w:shd w:val="clear" w:color="auto" w:fill="FFFFFF"/>
            <w:vAlign w:val="bottom"/>
          </w:tcPr>
          <w:p w14:paraId="0BAACADD" w14:textId="77777777" w:rsidR="00607595" w:rsidRPr="00306051" w:rsidRDefault="00607595">
            <w:pPr>
              <w:shd w:val="clear" w:color="auto" w:fill="FFFFFF"/>
              <w:spacing w:after="0" w:line="100" w:lineRule="atLeast"/>
              <w:jc w:val="center"/>
              <w:rPr>
                <w:rFonts w:ascii="Times New Roman" w:hAnsi="Times New Roman" w:cs="Times New Roman"/>
                <w:sz w:val="24"/>
                <w:szCs w:val="24"/>
                <w:lang w:val="kk-KZ"/>
              </w:rPr>
            </w:pPr>
            <w:r w:rsidRPr="00306051">
              <w:rPr>
                <w:rFonts w:ascii="Times New Roman" w:hAnsi="Times New Roman" w:cs="Times New Roman"/>
                <w:sz w:val="24"/>
                <w:szCs w:val="24"/>
                <w:lang w:val="kk-KZ"/>
              </w:rPr>
              <w:t xml:space="preserve">Қауіптің салыстырмалы </w:t>
            </w:r>
            <w:r w:rsidRPr="00306051">
              <w:rPr>
                <w:rFonts w:ascii="Times New Roman" w:hAnsi="Times New Roman" w:cs="Times New Roman"/>
                <w:sz w:val="24"/>
                <w:szCs w:val="24"/>
                <w:lang w:val="kk-KZ"/>
              </w:rPr>
              <w:lastRenderedPageBreak/>
              <w:t>төмендеуі (СА 95% деңгейінде)</w:t>
            </w:r>
          </w:p>
        </w:tc>
        <w:tc>
          <w:tcPr>
            <w:tcW w:w="549" w:type="pct"/>
            <w:shd w:val="clear" w:color="auto" w:fill="FFFFFF"/>
            <w:vAlign w:val="bottom"/>
          </w:tcPr>
          <w:p w14:paraId="32353FC0"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lastRenderedPageBreak/>
              <w:t>p-</w:t>
            </w:r>
            <w:r w:rsidRPr="00306051">
              <w:rPr>
                <w:rFonts w:ascii="Times New Roman" w:hAnsi="Times New Roman" w:cs="Times New Roman"/>
                <w:sz w:val="24"/>
                <w:szCs w:val="24"/>
                <w:lang w:val="kk-KZ"/>
              </w:rPr>
              <w:t>мәні</w:t>
            </w:r>
          </w:p>
        </w:tc>
      </w:tr>
      <w:tr w:rsidR="00607595" w:rsidRPr="00306051" w14:paraId="6992AD19" w14:textId="77777777" w:rsidTr="00E04647">
        <w:tblPrEx>
          <w:tblCellMar>
            <w:top w:w="30" w:type="dxa"/>
            <w:left w:w="30" w:type="dxa"/>
            <w:bottom w:w="30" w:type="dxa"/>
            <w:right w:w="30" w:type="dxa"/>
          </w:tblCellMar>
        </w:tblPrEx>
        <w:tc>
          <w:tcPr>
            <w:tcW w:w="1803" w:type="pct"/>
            <w:shd w:val="clear" w:color="auto" w:fill="FFFFFF"/>
            <w:vAlign w:val="center"/>
          </w:tcPr>
          <w:p w14:paraId="6250567C"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proofErr w:type="spellStart"/>
            <w:r w:rsidRPr="00306051">
              <w:rPr>
                <w:rFonts w:ascii="Times New Roman" w:hAnsi="Times New Roman" w:cs="Times New Roman"/>
                <w:sz w:val="24"/>
                <w:szCs w:val="24"/>
              </w:rPr>
              <w:t>Эмтрицитабинм</w:t>
            </w:r>
            <w:proofErr w:type="spellEnd"/>
            <w:r w:rsidRPr="00306051">
              <w:rPr>
                <w:rFonts w:ascii="Times New Roman" w:hAnsi="Times New Roman" w:cs="Times New Roman"/>
                <w:sz w:val="24"/>
                <w:szCs w:val="24"/>
                <w:lang w:val="kk-KZ"/>
              </w:rPr>
              <w:t>ен</w:t>
            </w:r>
            <w:r w:rsidRPr="00306051">
              <w:rPr>
                <w:rFonts w:ascii="Times New Roman" w:hAnsi="Times New Roman" w:cs="Times New Roman"/>
                <w:sz w:val="24"/>
                <w:szCs w:val="24"/>
              </w:rPr>
              <w:t>/</w:t>
            </w: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дизопроксилм</w:t>
            </w:r>
            <w:proofErr w:type="spellEnd"/>
            <w:r w:rsidRPr="00306051">
              <w:rPr>
                <w:rFonts w:ascii="Times New Roman" w:hAnsi="Times New Roman" w:cs="Times New Roman"/>
                <w:sz w:val="24"/>
                <w:szCs w:val="24"/>
                <w:lang w:val="kk-KZ"/>
              </w:rPr>
              <w:t>ен емдеу тобы</w:t>
            </w:r>
            <w:r w:rsidRPr="00306051">
              <w:rPr>
                <w:rFonts w:ascii="Times New Roman" w:hAnsi="Times New Roman" w:cs="Times New Roman"/>
                <w:sz w:val="24"/>
                <w:szCs w:val="24"/>
              </w:rPr>
              <w:t xml:space="preserve"> </w:t>
            </w:r>
            <w:r w:rsidRPr="00306051">
              <w:rPr>
                <w:rFonts w:ascii="Times New Roman" w:hAnsi="Times New Roman" w:cs="Times New Roman"/>
                <w:sz w:val="24"/>
                <w:szCs w:val="24"/>
                <w:vertAlign w:val="superscript"/>
              </w:rPr>
              <w:t>a</w:t>
            </w:r>
          </w:p>
        </w:tc>
        <w:tc>
          <w:tcPr>
            <w:tcW w:w="594" w:type="pct"/>
            <w:shd w:val="clear" w:color="auto" w:fill="FFFFFF"/>
            <w:vAlign w:val="center"/>
          </w:tcPr>
          <w:p w14:paraId="3F12B6DA"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3/12 (25%)</w:t>
            </w:r>
          </w:p>
        </w:tc>
        <w:tc>
          <w:tcPr>
            <w:tcW w:w="1087" w:type="pct"/>
            <w:shd w:val="clear" w:color="auto" w:fill="FFFFFF"/>
            <w:vAlign w:val="center"/>
          </w:tcPr>
          <w:p w14:paraId="4BFDA0F0"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375/465 (81%)</w:t>
            </w:r>
          </w:p>
        </w:tc>
        <w:tc>
          <w:tcPr>
            <w:tcW w:w="967" w:type="pct"/>
            <w:shd w:val="clear" w:color="auto" w:fill="FFFFFF"/>
            <w:vAlign w:val="center"/>
          </w:tcPr>
          <w:p w14:paraId="5C13E590"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90% (56%, 98%)</w:t>
            </w:r>
          </w:p>
        </w:tc>
        <w:tc>
          <w:tcPr>
            <w:tcW w:w="549" w:type="pct"/>
            <w:shd w:val="clear" w:color="auto" w:fill="FFFFFF"/>
            <w:vAlign w:val="center"/>
          </w:tcPr>
          <w:p w14:paraId="025A9F01"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0,002</w:t>
            </w:r>
          </w:p>
        </w:tc>
      </w:tr>
      <w:tr w:rsidR="00607595" w:rsidRPr="00306051" w14:paraId="31BF310B" w14:textId="77777777" w:rsidTr="00E04647">
        <w:tblPrEx>
          <w:tblCellMar>
            <w:top w:w="30" w:type="dxa"/>
            <w:left w:w="30" w:type="dxa"/>
            <w:bottom w:w="30" w:type="dxa"/>
            <w:right w:w="30" w:type="dxa"/>
          </w:tblCellMar>
        </w:tblPrEx>
        <w:tc>
          <w:tcPr>
            <w:tcW w:w="1803" w:type="pct"/>
            <w:shd w:val="clear" w:color="auto" w:fill="FFFFFF"/>
            <w:vAlign w:val="center"/>
          </w:tcPr>
          <w:p w14:paraId="3B0779B7"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Т</w:t>
            </w:r>
            <w:proofErr w:type="spellStart"/>
            <w:r w:rsidRPr="00306051">
              <w:rPr>
                <w:rFonts w:ascii="Times New Roman" w:hAnsi="Times New Roman" w:cs="Times New Roman"/>
                <w:sz w:val="24"/>
                <w:szCs w:val="24"/>
              </w:rPr>
              <w:t>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дизопроксилм</w:t>
            </w:r>
            <w:proofErr w:type="spellEnd"/>
            <w:r w:rsidRPr="00306051">
              <w:rPr>
                <w:rFonts w:ascii="Times New Roman" w:hAnsi="Times New Roman" w:cs="Times New Roman"/>
                <w:sz w:val="24"/>
                <w:szCs w:val="24"/>
                <w:lang w:val="kk-KZ"/>
              </w:rPr>
              <w:t>ен емдеу тобы</w:t>
            </w:r>
            <w:r w:rsidRPr="00306051">
              <w:rPr>
                <w:rFonts w:ascii="Times New Roman" w:hAnsi="Times New Roman" w:cs="Times New Roman"/>
                <w:sz w:val="24"/>
                <w:szCs w:val="24"/>
              </w:rPr>
              <w:t xml:space="preserve"> </w:t>
            </w:r>
            <w:r w:rsidRPr="00306051">
              <w:rPr>
                <w:rFonts w:ascii="Times New Roman" w:hAnsi="Times New Roman" w:cs="Times New Roman"/>
                <w:sz w:val="24"/>
                <w:szCs w:val="24"/>
                <w:vertAlign w:val="superscript"/>
              </w:rPr>
              <w:t>a</w:t>
            </w:r>
          </w:p>
        </w:tc>
        <w:tc>
          <w:tcPr>
            <w:tcW w:w="594" w:type="pct"/>
            <w:shd w:val="clear" w:color="auto" w:fill="FFFFFF"/>
            <w:vAlign w:val="center"/>
          </w:tcPr>
          <w:p w14:paraId="28D545F6"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6/17 (35%)</w:t>
            </w:r>
          </w:p>
        </w:tc>
        <w:tc>
          <w:tcPr>
            <w:tcW w:w="1087" w:type="pct"/>
            <w:shd w:val="clear" w:color="auto" w:fill="FFFFFF"/>
            <w:vAlign w:val="center"/>
          </w:tcPr>
          <w:p w14:paraId="18E9B819"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363/437 (83%)</w:t>
            </w:r>
          </w:p>
        </w:tc>
        <w:tc>
          <w:tcPr>
            <w:tcW w:w="967" w:type="pct"/>
            <w:shd w:val="clear" w:color="auto" w:fill="FFFFFF"/>
            <w:vAlign w:val="center"/>
          </w:tcPr>
          <w:p w14:paraId="594866BB"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86% (67%, 95%)</w:t>
            </w:r>
          </w:p>
        </w:tc>
        <w:tc>
          <w:tcPr>
            <w:tcW w:w="549" w:type="pct"/>
            <w:shd w:val="clear" w:color="auto" w:fill="FFFFFF"/>
            <w:vAlign w:val="center"/>
          </w:tcPr>
          <w:p w14:paraId="4999F0FF"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&lt; 0,001</w:t>
            </w:r>
          </w:p>
        </w:tc>
      </w:tr>
      <w:tr w:rsidR="00E04647" w:rsidRPr="007A5E44" w14:paraId="6966674C" w14:textId="77777777" w:rsidTr="00E04647">
        <w:tc>
          <w:tcPr>
            <w:tcW w:w="1803" w:type="pct"/>
            <w:vMerge w:val="restart"/>
            <w:shd w:val="clear" w:color="auto" w:fill="FFFFFF"/>
            <w:vAlign w:val="bottom"/>
          </w:tcPr>
          <w:p w14:paraId="0EC934A3" w14:textId="77777777" w:rsidR="00E04647" w:rsidRPr="00306051" w:rsidRDefault="00E04647">
            <w:pPr>
              <w:shd w:val="clear" w:color="auto" w:fill="FFFFFF"/>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Бейілділігін қосымша зерттеу</w:t>
            </w:r>
            <w:r w:rsidRPr="00306051">
              <w:rPr>
                <w:rFonts w:ascii="Times New Roman" w:hAnsi="Times New Roman" w:cs="Times New Roman"/>
                <w:sz w:val="24"/>
                <w:szCs w:val="24"/>
              </w:rPr>
              <w:t xml:space="preserve"> </w:t>
            </w:r>
          </w:p>
        </w:tc>
        <w:tc>
          <w:tcPr>
            <w:tcW w:w="1681" w:type="pct"/>
            <w:gridSpan w:val="2"/>
            <w:shd w:val="clear" w:color="auto" w:fill="FFFFFF"/>
            <w:vAlign w:val="bottom"/>
          </w:tcPr>
          <w:p w14:paraId="57F5092F" w14:textId="77777777" w:rsidR="00E04647" w:rsidRPr="00306051" w:rsidRDefault="00E04647">
            <w:pPr>
              <w:shd w:val="clear" w:color="auto" w:fill="FFFFFF"/>
              <w:spacing w:after="0" w:line="100" w:lineRule="atLeast"/>
              <w:jc w:val="center"/>
              <w:rPr>
                <w:rFonts w:ascii="Times New Roman" w:eastAsia="Times New Roman" w:hAnsi="Times New Roman" w:cs="Times New Roman"/>
                <w:sz w:val="24"/>
                <w:szCs w:val="24"/>
                <w:lang w:val="kk-KZ"/>
              </w:rPr>
            </w:pPr>
            <w:r w:rsidRPr="00306051">
              <w:rPr>
                <w:rFonts w:ascii="Times New Roman" w:hAnsi="Times New Roman" w:cs="Times New Roman"/>
                <w:sz w:val="24"/>
                <w:szCs w:val="24"/>
                <w:lang w:val="kk-KZ"/>
              </w:rPr>
              <w:t>Бейілділігіне жүргізілген қосымша зерттеудің қатысушалары b</w:t>
            </w:r>
          </w:p>
        </w:tc>
        <w:tc>
          <w:tcPr>
            <w:tcW w:w="967" w:type="pct"/>
            <w:shd w:val="clear" w:color="auto" w:fill="FFFFFF"/>
            <w:vAlign w:val="bottom"/>
          </w:tcPr>
          <w:p w14:paraId="6E6E4436" w14:textId="77777777" w:rsidR="00E04647" w:rsidRPr="00306051" w:rsidRDefault="00E04647">
            <w:pPr>
              <w:shd w:val="clear" w:color="auto" w:fill="FFFFFF"/>
              <w:snapToGrid w:val="0"/>
              <w:spacing w:after="0" w:line="100" w:lineRule="atLeast"/>
              <w:jc w:val="center"/>
              <w:rPr>
                <w:rFonts w:ascii="Times New Roman" w:eastAsia="Times New Roman" w:hAnsi="Times New Roman" w:cs="Times New Roman"/>
                <w:sz w:val="24"/>
                <w:szCs w:val="24"/>
                <w:lang w:val="kk-KZ"/>
              </w:rPr>
            </w:pPr>
          </w:p>
        </w:tc>
        <w:tc>
          <w:tcPr>
            <w:tcW w:w="549" w:type="pct"/>
            <w:shd w:val="clear" w:color="auto" w:fill="FFFFFF"/>
            <w:vAlign w:val="bottom"/>
          </w:tcPr>
          <w:p w14:paraId="173BBA4A" w14:textId="77777777" w:rsidR="00E04647" w:rsidRPr="00306051" w:rsidRDefault="00E04647">
            <w:pPr>
              <w:snapToGrid w:val="0"/>
              <w:rPr>
                <w:lang w:val="kk-KZ"/>
              </w:rPr>
            </w:pPr>
          </w:p>
        </w:tc>
      </w:tr>
      <w:tr w:rsidR="00607595" w:rsidRPr="00306051" w14:paraId="1F7E63C8" w14:textId="77777777" w:rsidTr="00E04647">
        <w:tblPrEx>
          <w:tblCellMar>
            <w:top w:w="30" w:type="dxa"/>
            <w:left w:w="30" w:type="dxa"/>
            <w:bottom w:w="30" w:type="dxa"/>
            <w:right w:w="30" w:type="dxa"/>
          </w:tblCellMar>
        </w:tblPrEx>
        <w:tc>
          <w:tcPr>
            <w:tcW w:w="1803" w:type="pct"/>
            <w:vMerge/>
            <w:shd w:val="clear" w:color="auto" w:fill="FFFFFF"/>
            <w:vAlign w:val="center"/>
          </w:tcPr>
          <w:p w14:paraId="1895B437" w14:textId="77777777" w:rsidR="00607595" w:rsidRPr="00306051" w:rsidRDefault="00607595">
            <w:pPr>
              <w:shd w:val="clear" w:color="auto" w:fill="FFFFFF"/>
              <w:snapToGrid w:val="0"/>
              <w:spacing w:after="0" w:line="100" w:lineRule="atLeast"/>
              <w:jc w:val="both"/>
              <w:rPr>
                <w:rFonts w:ascii="Times New Roman" w:eastAsia="Times New Roman" w:hAnsi="Times New Roman" w:cs="Times New Roman"/>
                <w:sz w:val="24"/>
                <w:szCs w:val="24"/>
                <w:lang w:val="kk-KZ"/>
              </w:rPr>
            </w:pPr>
          </w:p>
        </w:tc>
        <w:tc>
          <w:tcPr>
            <w:tcW w:w="594" w:type="pct"/>
            <w:shd w:val="clear" w:color="auto" w:fill="FFFFFF"/>
            <w:vAlign w:val="bottom"/>
          </w:tcPr>
          <w:p w14:paraId="422F6125"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Плацебо</w:t>
            </w:r>
          </w:p>
        </w:tc>
        <w:tc>
          <w:tcPr>
            <w:tcW w:w="1087" w:type="pct"/>
            <w:shd w:val="clear" w:color="auto" w:fill="FFFFFF"/>
            <w:vAlign w:val="bottom"/>
          </w:tcPr>
          <w:p w14:paraId="2EAEA701" w14:textId="77777777" w:rsidR="00607595" w:rsidRPr="00306051" w:rsidRDefault="00607595">
            <w:pPr>
              <w:shd w:val="clear" w:color="auto" w:fill="FFFFFF"/>
              <w:spacing w:after="0" w:line="100" w:lineRule="atLeast"/>
              <w:jc w:val="center"/>
              <w:rPr>
                <w:rFonts w:ascii="Times New Roman" w:hAnsi="Times New Roman" w:cs="Times New Roman"/>
                <w:sz w:val="24"/>
                <w:szCs w:val="24"/>
                <w:lang w:val="kk-KZ"/>
              </w:rPr>
            </w:pP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xml:space="preserve">, 245 мг + </w:t>
            </w:r>
            <w:proofErr w:type="spellStart"/>
            <w:r w:rsidRPr="00306051">
              <w:rPr>
                <w:rFonts w:ascii="Times New Roman" w:hAnsi="Times New Roman" w:cs="Times New Roman"/>
                <w:sz w:val="24"/>
                <w:szCs w:val="24"/>
              </w:rPr>
              <w:t>Эмтрицитабин</w:t>
            </w:r>
            <w:proofErr w:type="spellEnd"/>
            <w:r w:rsidRPr="00306051">
              <w:rPr>
                <w:rFonts w:ascii="Times New Roman" w:hAnsi="Times New Roman" w:cs="Times New Roman"/>
                <w:sz w:val="24"/>
                <w:szCs w:val="24"/>
              </w:rPr>
              <w:t xml:space="preserve"> </w:t>
            </w:r>
            <w:r w:rsidRPr="00306051">
              <w:rPr>
                <w:rFonts w:ascii="Times New Roman" w:hAnsi="Times New Roman" w:cs="Times New Roman"/>
                <w:sz w:val="24"/>
                <w:szCs w:val="24"/>
                <w:lang w:val="kk-KZ"/>
              </w:rPr>
              <w:t>және</w:t>
            </w:r>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тенофовир</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дизопроксил</w:t>
            </w:r>
            <w:proofErr w:type="spellEnd"/>
            <w:r w:rsidRPr="00306051">
              <w:rPr>
                <w:rFonts w:ascii="Times New Roman" w:hAnsi="Times New Roman" w:cs="Times New Roman"/>
                <w:sz w:val="24"/>
                <w:szCs w:val="24"/>
              </w:rPr>
              <w:t xml:space="preserve"> </w:t>
            </w:r>
            <w:proofErr w:type="spellStart"/>
            <w:r w:rsidRPr="00306051">
              <w:rPr>
                <w:rFonts w:ascii="Times New Roman" w:hAnsi="Times New Roman" w:cs="Times New Roman"/>
                <w:sz w:val="24"/>
                <w:szCs w:val="24"/>
              </w:rPr>
              <w:t>фумарат</w:t>
            </w:r>
            <w:proofErr w:type="spellEnd"/>
            <w:r w:rsidRPr="00306051">
              <w:rPr>
                <w:rFonts w:ascii="Times New Roman" w:hAnsi="Times New Roman" w:cs="Times New Roman"/>
                <w:sz w:val="24"/>
                <w:szCs w:val="24"/>
                <w:lang w:val="kk-KZ"/>
              </w:rPr>
              <w:t>ы</w:t>
            </w:r>
          </w:p>
        </w:tc>
        <w:tc>
          <w:tcPr>
            <w:tcW w:w="967" w:type="pct"/>
            <w:shd w:val="clear" w:color="auto" w:fill="FFFFFF"/>
            <w:vAlign w:val="bottom"/>
          </w:tcPr>
          <w:p w14:paraId="7D498DAD" w14:textId="77777777" w:rsidR="00607595" w:rsidRPr="00306051" w:rsidRDefault="00607595">
            <w:pPr>
              <w:shd w:val="clear" w:color="auto" w:fill="FFFFFF"/>
              <w:spacing w:after="0" w:line="100" w:lineRule="atLeast"/>
              <w:jc w:val="center"/>
              <w:rPr>
                <w:rFonts w:ascii="Times New Roman" w:hAnsi="Times New Roman" w:cs="Times New Roman"/>
                <w:sz w:val="24"/>
                <w:szCs w:val="24"/>
                <w:lang w:val="kk-KZ"/>
              </w:rPr>
            </w:pPr>
            <w:r w:rsidRPr="00306051">
              <w:rPr>
                <w:rFonts w:ascii="Times New Roman" w:hAnsi="Times New Roman" w:cs="Times New Roman"/>
                <w:sz w:val="24"/>
                <w:szCs w:val="24"/>
                <w:lang w:val="kk-KZ"/>
              </w:rPr>
              <w:t>Қауіптің салыстырмалы төмендеуі (СА 95% деңгейінде)</w:t>
            </w:r>
          </w:p>
        </w:tc>
        <w:tc>
          <w:tcPr>
            <w:tcW w:w="549" w:type="pct"/>
            <w:shd w:val="clear" w:color="auto" w:fill="FFFFFF"/>
            <w:vAlign w:val="bottom"/>
          </w:tcPr>
          <w:p w14:paraId="09CD2E85"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p-</w:t>
            </w:r>
            <w:r w:rsidRPr="00306051">
              <w:rPr>
                <w:rFonts w:ascii="Times New Roman" w:hAnsi="Times New Roman" w:cs="Times New Roman"/>
                <w:sz w:val="24"/>
                <w:szCs w:val="24"/>
                <w:lang w:val="kk-KZ"/>
              </w:rPr>
              <w:t>мәні</w:t>
            </w:r>
          </w:p>
        </w:tc>
      </w:tr>
      <w:tr w:rsidR="00607595" w:rsidRPr="00306051" w14:paraId="33EDA3C9" w14:textId="77777777" w:rsidTr="00E04647">
        <w:tblPrEx>
          <w:tblCellMar>
            <w:top w:w="30" w:type="dxa"/>
            <w:left w:w="30" w:type="dxa"/>
            <w:bottom w:w="30" w:type="dxa"/>
            <w:right w:w="30" w:type="dxa"/>
          </w:tblCellMar>
        </w:tblPrEx>
        <w:tc>
          <w:tcPr>
            <w:tcW w:w="1803" w:type="pct"/>
            <w:shd w:val="clear" w:color="auto" w:fill="FFFFFF"/>
            <w:vAlign w:val="center"/>
          </w:tcPr>
          <w:p w14:paraId="4EC6C3BA" w14:textId="77777777" w:rsidR="00607595" w:rsidRPr="00306051" w:rsidRDefault="00607595">
            <w:pPr>
              <w:shd w:val="clear" w:color="auto" w:fill="FFFFFF"/>
              <w:spacing w:after="0" w:line="100" w:lineRule="atLeast"/>
              <w:jc w:val="both"/>
              <w:rPr>
                <w:rFonts w:ascii="Times New Roman" w:hAnsi="Times New Roman" w:cs="Times New Roman"/>
                <w:sz w:val="24"/>
                <w:szCs w:val="24"/>
              </w:rPr>
            </w:pPr>
            <w:proofErr w:type="spellStart"/>
            <w:r w:rsidRPr="00306051">
              <w:rPr>
                <w:rFonts w:ascii="Times New Roman" w:hAnsi="Times New Roman" w:cs="Times New Roman"/>
                <w:sz w:val="24"/>
                <w:szCs w:val="24"/>
              </w:rPr>
              <w:t>Сероконверсия</w:t>
            </w:r>
            <w:proofErr w:type="spellEnd"/>
            <w:r w:rsidRPr="00306051">
              <w:rPr>
                <w:rFonts w:ascii="Times New Roman" w:hAnsi="Times New Roman" w:cs="Times New Roman"/>
                <w:sz w:val="24"/>
                <w:szCs w:val="24"/>
              </w:rPr>
              <w:t>/N b</w:t>
            </w:r>
          </w:p>
        </w:tc>
        <w:tc>
          <w:tcPr>
            <w:tcW w:w="594" w:type="pct"/>
            <w:shd w:val="clear" w:color="auto" w:fill="FFFFFF"/>
            <w:vAlign w:val="center"/>
          </w:tcPr>
          <w:p w14:paraId="3A4F88C4"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14/404 (3,5%)</w:t>
            </w:r>
          </w:p>
        </w:tc>
        <w:tc>
          <w:tcPr>
            <w:tcW w:w="1087" w:type="pct"/>
            <w:shd w:val="clear" w:color="auto" w:fill="FFFFFF"/>
            <w:vAlign w:val="center"/>
          </w:tcPr>
          <w:p w14:paraId="183EAB03"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0/745 (0%)</w:t>
            </w:r>
          </w:p>
        </w:tc>
        <w:tc>
          <w:tcPr>
            <w:tcW w:w="967" w:type="pct"/>
            <w:shd w:val="clear" w:color="auto" w:fill="FFFFFF"/>
            <w:vAlign w:val="center"/>
          </w:tcPr>
          <w:p w14:paraId="37334378" w14:textId="77777777" w:rsidR="00607595" w:rsidRPr="00306051" w:rsidRDefault="00607595">
            <w:pPr>
              <w:shd w:val="clear" w:color="auto" w:fill="FFFFFF"/>
              <w:spacing w:after="0" w:line="100" w:lineRule="atLeast"/>
              <w:jc w:val="center"/>
              <w:rPr>
                <w:rFonts w:ascii="Times New Roman" w:hAnsi="Times New Roman" w:cs="Times New Roman"/>
                <w:sz w:val="24"/>
                <w:szCs w:val="24"/>
              </w:rPr>
            </w:pPr>
            <w:r w:rsidRPr="00306051">
              <w:rPr>
                <w:rFonts w:ascii="Times New Roman" w:hAnsi="Times New Roman" w:cs="Times New Roman"/>
                <w:sz w:val="24"/>
                <w:szCs w:val="24"/>
              </w:rPr>
              <w:t>100% (87%, 100%)</w:t>
            </w:r>
          </w:p>
        </w:tc>
        <w:tc>
          <w:tcPr>
            <w:tcW w:w="549" w:type="pct"/>
            <w:shd w:val="clear" w:color="auto" w:fill="FFFFFF"/>
            <w:vAlign w:val="center"/>
          </w:tcPr>
          <w:p w14:paraId="44B020F8" w14:textId="77777777" w:rsidR="00607595" w:rsidRPr="00306051" w:rsidRDefault="00607595">
            <w:pPr>
              <w:shd w:val="clear" w:color="auto" w:fill="FFFFFF"/>
              <w:spacing w:after="0" w:line="100" w:lineRule="atLeast"/>
              <w:jc w:val="center"/>
            </w:pPr>
            <w:r w:rsidRPr="00306051">
              <w:rPr>
                <w:rFonts w:ascii="Times New Roman" w:hAnsi="Times New Roman" w:cs="Times New Roman"/>
                <w:sz w:val="24"/>
                <w:szCs w:val="24"/>
              </w:rPr>
              <w:t>&lt; 0,001</w:t>
            </w:r>
          </w:p>
        </w:tc>
      </w:tr>
    </w:tbl>
    <w:p w14:paraId="3EB119C1" w14:textId="77777777" w:rsidR="00607595" w:rsidRPr="00306051" w:rsidRDefault="00607595">
      <w:pPr>
        <w:shd w:val="clear" w:color="auto" w:fill="FFFFFF"/>
        <w:spacing w:after="0" w:line="100" w:lineRule="atLeast"/>
        <w:jc w:val="both"/>
        <w:rPr>
          <w:rFonts w:ascii="Times New Roman" w:hAnsi="Times New Roman" w:cs="Times New Roman"/>
          <w:sz w:val="20"/>
          <w:szCs w:val="20"/>
        </w:rPr>
      </w:pPr>
      <w:r w:rsidRPr="00306051">
        <w:rPr>
          <w:rFonts w:ascii="Times New Roman" w:hAnsi="Times New Roman" w:cs="Times New Roman"/>
          <w:sz w:val="20"/>
          <w:szCs w:val="20"/>
        </w:rPr>
        <w:t>a «</w:t>
      </w:r>
      <w:r w:rsidRPr="00306051">
        <w:rPr>
          <w:rFonts w:ascii="Times New Roman" w:hAnsi="Times New Roman" w:cs="Times New Roman"/>
          <w:sz w:val="20"/>
          <w:szCs w:val="20"/>
          <w:lang w:val="kk-KZ"/>
        </w:rPr>
        <w:t>Жағдай</w:t>
      </w:r>
      <w:r w:rsidRPr="00306051">
        <w:rPr>
          <w:rFonts w:ascii="Times New Roman" w:hAnsi="Times New Roman" w:cs="Times New Roman"/>
          <w:sz w:val="20"/>
          <w:szCs w:val="20"/>
        </w:rPr>
        <w:t xml:space="preserve">» – </w:t>
      </w:r>
      <w:r w:rsidRPr="00306051">
        <w:rPr>
          <w:rFonts w:ascii="Times New Roman" w:hAnsi="Times New Roman" w:cs="Times New Roman"/>
          <w:sz w:val="20"/>
          <w:szCs w:val="20"/>
          <w:lang w:val="kk-KZ"/>
        </w:rPr>
        <w:t>АИТВ</w:t>
      </w:r>
      <w:r w:rsidRPr="00306051">
        <w:rPr>
          <w:rFonts w:ascii="Times New Roman" w:hAnsi="Times New Roman" w:cs="Times New Roman"/>
          <w:sz w:val="20"/>
          <w:szCs w:val="20"/>
        </w:rPr>
        <w:t>-</w:t>
      </w:r>
      <w:proofErr w:type="spellStart"/>
      <w:r w:rsidRPr="00306051">
        <w:rPr>
          <w:rFonts w:ascii="Times New Roman" w:hAnsi="Times New Roman" w:cs="Times New Roman"/>
          <w:sz w:val="20"/>
          <w:szCs w:val="20"/>
        </w:rPr>
        <w:t>сероконвертер</w:t>
      </w:r>
      <w:proofErr w:type="spellEnd"/>
      <w:r w:rsidRPr="00306051">
        <w:rPr>
          <w:rFonts w:ascii="Times New Roman" w:hAnsi="Times New Roman" w:cs="Times New Roman"/>
          <w:sz w:val="20"/>
          <w:szCs w:val="20"/>
        </w:rPr>
        <w:t>, «Когорта» –</w:t>
      </w:r>
      <w:r w:rsidRPr="00306051">
        <w:rPr>
          <w:rFonts w:ascii="Times New Roman" w:hAnsi="Times New Roman" w:cs="Times New Roman"/>
          <w:sz w:val="20"/>
          <w:szCs w:val="20"/>
          <w:lang w:val="kk-KZ"/>
        </w:rPr>
        <w:t xml:space="preserve"> </w:t>
      </w:r>
      <w:r w:rsidRPr="00306051">
        <w:rPr>
          <w:rFonts w:ascii="Times New Roman" w:hAnsi="Times New Roman" w:cs="Times New Roman"/>
          <w:sz w:val="20"/>
          <w:szCs w:val="20"/>
        </w:rPr>
        <w:t xml:space="preserve">245 мг </w:t>
      </w:r>
      <w:proofErr w:type="spellStart"/>
      <w:r w:rsidRPr="00306051">
        <w:rPr>
          <w:rFonts w:ascii="Times New Roman" w:hAnsi="Times New Roman" w:cs="Times New Roman"/>
          <w:sz w:val="20"/>
          <w:szCs w:val="20"/>
        </w:rPr>
        <w:t>тенофовир</w:t>
      </w:r>
      <w:proofErr w:type="spellEnd"/>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дизопроксилм</w:t>
      </w:r>
      <w:proofErr w:type="spellEnd"/>
      <w:r w:rsidRPr="00306051">
        <w:rPr>
          <w:rFonts w:ascii="Times New Roman" w:hAnsi="Times New Roman" w:cs="Times New Roman"/>
          <w:sz w:val="20"/>
          <w:szCs w:val="20"/>
          <w:lang w:val="kk-KZ"/>
        </w:rPr>
        <w:t xml:space="preserve">ен </w:t>
      </w:r>
      <w:r w:rsidR="00E04647" w:rsidRPr="00306051">
        <w:rPr>
          <w:rFonts w:ascii="Times New Roman" w:hAnsi="Times New Roman" w:cs="Times New Roman"/>
          <w:sz w:val="20"/>
          <w:szCs w:val="20"/>
          <w:lang w:val="kk-KZ"/>
        </w:rPr>
        <w:t xml:space="preserve">және </w:t>
      </w:r>
      <w:proofErr w:type="spellStart"/>
      <w:r w:rsidR="00E04647" w:rsidRPr="00306051">
        <w:rPr>
          <w:rFonts w:ascii="Times New Roman" w:hAnsi="Times New Roman" w:cs="Times New Roman"/>
          <w:sz w:val="20"/>
          <w:szCs w:val="20"/>
        </w:rPr>
        <w:t>эмтрицитабин</w:t>
      </w:r>
      <w:proofErr w:type="spellEnd"/>
      <w:r w:rsidRPr="00306051">
        <w:rPr>
          <w:rFonts w:ascii="Times New Roman" w:hAnsi="Times New Roman" w:cs="Times New Roman"/>
          <w:sz w:val="20"/>
          <w:szCs w:val="20"/>
          <w:lang w:val="kk-KZ"/>
        </w:rPr>
        <w:t xml:space="preserve"> мен </w:t>
      </w:r>
      <w:proofErr w:type="spellStart"/>
      <w:r w:rsidRPr="00306051">
        <w:rPr>
          <w:rFonts w:ascii="Times New Roman" w:hAnsi="Times New Roman" w:cs="Times New Roman"/>
          <w:sz w:val="20"/>
          <w:szCs w:val="20"/>
        </w:rPr>
        <w:t>тенофовир</w:t>
      </w:r>
      <w:proofErr w:type="spellEnd"/>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дизопроксил</w:t>
      </w:r>
      <w:proofErr w:type="spellEnd"/>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фумарат</w:t>
      </w:r>
      <w:proofErr w:type="spellEnd"/>
      <w:r w:rsidRPr="00306051">
        <w:rPr>
          <w:rFonts w:ascii="Times New Roman" w:hAnsi="Times New Roman" w:cs="Times New Roman"/>
          <w:sz w:val="20"/>
          <w:szCs w:val="20"/>
          <w:lang w:val="kk-KZ"/>
        </w:rPr>
        <w:t>ы біріктірілімімен емдеудің әрбір тобындағы кездейсоқ таңдалған</w:t>
      </w:r>
      <w:r w:rsidRPr="00306051">
        <w:rPr>
          <w:rFonts w:ascii="Times New Roman" w:hAnsi="Times New Roman" w:cs="Times New Roman"/>
          <w:sz w:val="20"/>
          <w:szCs w:val="20"/>
        </w:rPr>
        <w:t xml:space="preserve"> 100 субъект. </w:t>
      </w:r>
      <w:r w:rsidRPr="00306051">
        <w:rPr>
          <w:rFonts w:ascii="Times New Roman" w:hAnsi="Times New Roman" w:cs="Times New Roman"/>
          <w:sz w:val="20"/>
          <w:szCs w:val="20"/>
          <w:lang w:val="kk-KZ"/>
        </w:rPr>
        <w:t>Т</w:t>
      </w:r>
      <w:proofErr w:type="spellStart"/>
      <w:r w:rsidRPr="00306051">
        <w:rPr>
          <w:rFonts w:ascii="Times New Roman" w:hAnsi="Times New Roman" w:cs="Times New Roman"/>
          <w:sz w:val="20"/>
          <w:szCs w:val="20"/>
        </w:rPr>
        <w:t>енофовир</w:t>
      </w:r>
      <w:proofErr w:type="spellEnd"/>
      <w:r w:rsidRPr="00306051">
        <w:rPr>
          <w:rFonts w:ascii="Times New Roman" w:hAnsi="Times New Roman" w:cs="Times New Roman"/>
          <w:sz w:val="20"/>
          <w:szCs w:val="20"/>
          <w:lang w:val="kk-KZ"/>
        </w:rPr>
        <w:t>дің</w:t>
      </w:r>
      <w:r w:rsidRPr="00306051">
        <w:rPr>
          <w:rFonts w:ascii="Times New Roman" w:hAnsi="Times New Roman" w:cs="Times New Roman"/>
          <w:sz w:val="20"/>
          <w:szCs w:val="20"/>
        </w:rPr>
        <w:t xml:space="preserve"> плазм</w:t>
      </w:r>
      <w:r w:rsidRPr="00306051">
        <w:rPr>
          <w:rFonts w:ascii="Times New Roman" w:hAnsi="Times New Roman" w:cs="Times New Roman"/>
          <w:sz w:val="20"/>
          <w:szCs w:val="20"/>
          <w:lang w:val="kk-KZ"/>
        </w:rPr>
        <w:t xml:space="preserve">ада анықталатын деңгейлерінің болуына қатысты тек, </w:t>
      </w:r>
      <w:r w:rsidRPr="00306051">
        <w:rPr>
          <w:rFonts w:ascii="Times New Roman" w:hAnsi="Times New Roman" w:cs="Times New Roman"/>
          <w:sz w:val="20"/>
          <w:szCs w:val="20"/>
        </w:rPr>
        <w:t xml:space="preserve">245 мг </w:t>
      </w:r>
      <w:proofErr w:type="spellStart"/>
      <w:r w:rsidRPr="00306051">
        <w:rPr>
          <w:rFonts w:ascii="Times New Roman" w:hAnsi="Times New Roman" w:cs="Times New Roman"/>
          <w:sz w:val="20"/>
          <w:szCs w:val="20"/>
        </w:rPr>
        <w:t>тенофовир</w:t>
      </w:r>
      <w:proofErr w:type="spellEnd"/>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дизопроксилм</w:t>
      </w:r>
      <w:proofErr w:type="spellEnd"/>
      <w:r w:rsidRPr="00306051">
        <w:rPr>
          <w:rFonts w:ascii="Times New Roman" w:hAnsi="Times New Roman" w:cs="Times New Roman"/>
          <w:sz w:val="20"/>
          <w:szCs w:val="20"/>
          <w:lang w:val="kk-KZ"/>
        </w:rPr>
        <w:t>ен</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не болмаса</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трувад</w:t>
      </w:r>
      <w:proofErr w:type="spellEnd"/>
      <w:r w:rsidRPr="00306051">
        <w:rPr>
          <w:rFonts w:ascii="Times New Roman" w:hAnsi="Times New Roman" w:cs="Times New Roman"/>
          <w:sz w:val="20"/>
          <w:szCs w:val="20"/>
          <w:lang w:val="kk-KZ"/>
        </w:rPr>
        <w:t xml:space="preserve">амен емдеу топтарына кездейсоқ бөлінген </w:t>
      </w:r>
      <w:r w:rsidRPr="00306051">
        <w:rPr>
          <w:rFonts w:ascii="Times New Roman" w:hAnsi="Times New Roman" w:cs="Times New Roman"/>
          <w:sz w:val="20"/>
          <w:szCs w:val="20"/>
        </w:rPr>
        <w:t>субъект</w:t>
      </w:r>
      <w:r w:rsidRPr="00306051">
        <w:rPr>
          <w:rFonts w:ascii="Times New Roman" w:hAnsi="Times New Roman" w:cs="Times New Roman"/>
          <w:sz w:val="20"/>
          <w:szCs w:val="20"/>
          <w:lang w:val="kk-KZ"/>
        </w:rPr>
        <w:t>ілерден алынған</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Жағдай</w:t>
      </w:r>
      <w:r w:rsidRPr="00306051">
        <w:rPr>
          <w:rFonts w:ascii="Times New Roman" w:hAnsi="Times New Roman" w:cs="Times New Roman"/>
          <w:sz w:val="20"/>
          <w:szCs w:val="20"/>
        </w:rPr>
        <w:t>»</w:t>
      </w:r>
      <w:r w:rsidRPr="00306051">
        <w:rPr>
          <w:rFonts w:ascii="Times New Roman" w:hAnsi="Times New Roman" w:cs="Times New Roman"/>
          <w:sz w:val="20"/>
          <w:szCs w:val="20"/>
          <w:lang w:val="kk-KZ"/>
        </w:rPr>
        <w:t xml:space="preserve"> немесе</w:t>
      </w:r>
      <w:r w:rsidRPr="00306051">
        <w:rPr>
          <w:rFonts w:ascii="Times New Roman" w:hAnsi="Times New Roman" w:cs="Times New Roman"/>
          <w:sz w:val="20"/>
          <w:szCs w:val="20"/>
        </w:rPr>
        <w:t xml:space="preserve"> «Когорта»</w:t>
      </w:r>
      <w:r w:rsidRPr="00306051">
        <w:rPr>
          <w:rFonts w:ascii="Times New Roman" w:hAnsi="Times New Roman" w:cs="Times New Roman"/>
          <w:sz w:val="20"/>
          <w:szCs w:val="20"/>
          <w:lang w:val="kk-KZ"/>
        </w:rPr>
        <w:t xml:space="preserve"> үлгілері ғана бағаланған</w:t>
      </w:r>
      <w:r w:rsidRPr="00306051">
        <w:rPr>
          <w:rFonts w:ascii="Times New Roman" w:hAnsi="Times New Roman" w:cs="Times New Roman"/>
          <w:sz w:val="20"/>
          <w:szCs w:val="20"/>
        </w:rPr>
        <w:t>.</w:t>
      </w:r>
    </w:p>
    <w:p w14:paraId="2B35E2BF" w14:textId="77777777" w:rsidR="00607595" w:rsidRPr="00306051" w:rsidRDefault="00607595">
      <w:pPr>
        <w:shd w:val="clear" w:color="auto" w:fill="FFFFFF"/>
        <w:spacing w:after="0" w:line="100" w:lineRule="atLeast"/>
        <w:jc w:val="both"/>
        <w:rPr>
          <w:rFonts w:ascii="Times New Roman" w:eastAsia="Times New Roman" w:hAnsi="Times New Roman" w:cs="Times New Roman"/>
          <w:sz w:val="24"/>
          <w:szCs w:val="24"/>
          <w:shd w:val="clear" w:color="auto" w:fill="FFFF00"/>
        </w:rPr>
      </w:pPr>
      <w:r w:rsidRPr="00306051">
        <w:rPr>
          <w:rFonts w:ascii="Times New Roman" w:hAnsi="Times New Roman" w:cs="Times New Roman"/>
          <w:sz w:val="20"/>
          <w:szCs w:val="20"/>
        </w:rPr>
        <w:t>b</w:t>
      </w:r>
      <w:r w:rsidRPr="00306051">
        <w:rPr>
          <w:rFonts w:ascii="Times New Roman" w:hAnsi="Times New Roman" w:cs="Times New Roman"/>
          <w:sz w:val="20"/>
          <w:szCs w:val="20"/>
          <w:lang w:val="kk-KZ"/>
        </w:rPr>
        <w:t xml:space="preserve"> Қосымша зерттеудің қатысушаларының бейімділігі белсенді түрде бақыланды</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мысалы</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үйлеріне хабарлаусыз келу және</w:t>
      </w:r>
      <w:r w:rsidRPr="00306051">
        <w:rPr>
          <w:rFonts w:ascii="Times New Roman" w:hAnsi="Times New Roman" w:cs="Times New Roman"/>
          <w:sz w:val="20"/>
          <w:szCs w:val="20"/>
        </w:rPr>
        <w:t xml:space="preserve"> </w:t>
      </w:r>
      <w:proofErr w:type="spellStart"/>
      <w:r w:rsidRPr="00306051">
        <w:rPr>
          <w:rFonts w:ascii="Times New Roman" w:hAnsi="Times New Roman" w:cs="Times New Roman"/>
          <w:sz w:val="20"/>
          <w:szCs w:val="20"/>
        </w:rPr>
        <w:t>таблетк</w:t>
      </w:r>
      <w:proofErr w:type="spellEnd"/>
      <w:r w:rsidRPr="00306051">
        <w:rPr>
          <w:rFonts w:ascii="Times New Roman" w:hAnsi="Times New Roman" w:cs="Times New Roman"/>
          <w:sz w:val="20"/>
          <w:szCs w:val="20"/>
          <w:lang w:val="kk-KZ"/>
        </w:rPr>
        <w:t>аларды санау</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сондай-ақ,</w:t>
      </w:r>
      <w:r w:rsidRPr="00306051">
        <w:rPr>
          <w:rFonts w:ascii="Times New Roman" w:hAnsi="Times New Roman" w:cs="Times New Roman"/>
          <w:sz w:val="20"/>
          <w:szCs w:val="20"/>
        </w:rPr>
        <w:t xml:space="preserve"> </w:t>
      </w:r>
      <w:r w:rsidRPr="00306051">
        <w:rPr>
          <w:rFonts w:ascii="Times New Roman" w:hAnsi="Times New Roman" w:cs="Times New Roman"/>
          <w:sz w:val="20"/>
          <w:szCs w:val="20"/>
          <w:lang w:val="kk-KZ"/>
        </w:rPr>
        <w:t>п</w:t>
      </w:r>
      <w:proofErr w:type="spellStart"/>
      <w:r w:rsidRPr="00306051">
        <w:rPr>
          <w:rFonts w:ascii="Times New Roman" w:hAnsi="Times New Roman" w:cs="Times New Roman"/>
          <w:sz w:val="20"/>
          <w:szCs w:val="20"/>
        </w:rPr>
        <w:t>репарат</w:t>
      </w:r>
      <w:proofErr w:type="spellEnd"/>
      <w:r w:rsidRPr="00306051">
        <w:rPr>
          <w:rFonts w:ascii="Times New Roman" w:hAnsi="Times New Roman" w:cs="Times New Roman"/>
          <w:sz w:val="20"/>
          <w:szCs w:val="20"/>
          <w:lang w:val="kk-KZ"/>
        </w:rPr>
        <w:t>ты қабылдау кестесінің сақталуын жақсарту үшін</w:t>
      </w:r>
      <w:r w:rsidRPr="00306051">
        <w:rPr>
          <w:rFonts w:ascii="Times New Roman" w:hAnsi="Times New Roman" w:cs="Times New Roman"/>
          <w:sz w:val="20"/>
          <w:szCs w:val="20"/>
        </w:rPr>
        <w:t xml:space="preserve"> к</w:t>
      </w:r>
      <w:r w:rsidRPr="00306051">
        <w:rPr>
          <w:rFonts w:ascii="Times New Roman" w:hAnsi="Times New Roman" w:cs="Times New Roman"/>
          <w:sz w:val="20"/>
          <w:szCs w:val="20"/>
          <w:lang w:val="kk-KZ"/>
        </w:rPr>
        <w:t>еңес беру</w:t>
      </w:r>
      <w:r w:rsidRPr="00306051">
        <w:rPr>
          <w:rFonts w:ascii="Times New Roman" w:hAnsi="Times New Roman" w:cs="Times New Roman"/>
          <w:sz w:val="20"/>
          <w:szCs w:val="20"/>
        </w:rPr>
        <w:t>.</w:t>
      </w:r>
    </w:p>
    <w:p w14:paraId="4D4886DD" w14:textId="77777777" w:rsidR="00607595" w:rsidRPr="00306051" w:rsidRDefault="00607595">
      <w:pPr>
        <w:shd w:val="clear" w:color="auto" w:fill="FFFFFF"/>
        <w:spacing w:after="0" w:line="100" w:lineRule="atLeast"/>
        <w:jc w:val="both"/>
        <w:rPr>
          <w:rFonts w:ascii="Times New Roman" w:eastAsia="Times New Roman" w:hAnsi="Times New Roman" w:cs="Times New Roman"/>
          <w:sz w:val="24"/>
          <w:szCs w:val="24"/>
          <w:shd w:val="clear" w:color="auto" w:fill="FFFF00"/>
        </w:rPr>
      </w:pPr>
    </w:p>
    <w:p w14:paraId="726A9F14" w14:textId="77777777" w:rsidR="00607595" w:rsidRPr="00306051" w:rsidRDefault="00607595">
      <w:pPr>
        <w:spacing w:after="0" w:line="100" w:lineRule="atLeast"/>
        <w:jc w:val="both"/>
        <w:rPr>
          <w:rFonts w:ascii="Times New Roman" w:hAnsi="Times New Roman" w:cs="Times New Roman"/>
          <w:i/>
          <w:sz w:val="24"/>
          <w:szCs w:val="28"/>
          <w:lang w:val="kk-KZ" w:eastAsia="ru-RU" w:bidi="ru-RU"/>
        </w:rPr>
      </w:pPr>
      <w:r w:rsidRPr="00306051">
        <w:rPr>
          <w:rFonts w:ascii="Times New Roman" w:hAnsi="Times New Roman" w:cs="Times New Roman"/>
          <w:b/>
          <w:sz w:val="24"/>
          <w:szCs w:val="24"/>
        </w:rPr>
        <w:t xml:space="preserve">5.2. </w:t>
      </w:r>
      <w:proofErr w:type="spellStart"/>
      <w:r w:rsidRPr="00306051">
        <w:rPr>
          <w:rFonts w:ascii="Times New Roman" w:hAnsi="Times New Roman" w:cs="Times New Roman"/>
          <w:b/>
          <w:sz w:val="24"/>
          <w:szCs w:val="24"/>
        </w:rPr>
        <w:t>Фармакокинети</w:t>
      </w:r>
      <w:proofErr w:type="spellEnd"/>
      <w:r w:rsidRPr="00306051">
        <w:rPr>
          <w:rFonts w:ascii="Times New Roman" w:hAnsi="Times New Roman" w:cs="Times New Roman"/>
          <w:b/>
          <w:sz w:val="24"/>
          <w:szCs w:val="24"/>
          <w:lang w:val="kk-KZ"/>
        </w:rPr>
        <w:t>калық қасиеттері</w:t>
      </w:r>
      <w:r w:rsidRPr="00306051">
        <w:rPr>
          <w:rFonts w:ascii="Times New Roman" w:hAnsi="Times New Roman" w:cs="Times New Roman"/>
          <w:b/>
          <w:sz w:val="24"/>
          <w:szCs w:val="24"/>
        </w:rPr>
        <w:t xml:space="preserve"> </w:t>
      </w:r>
    </w:p>
    <w:p w14:paraId="7F65B773"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hAnsi="Times New Roman" w:cs="Times New Roman"/>
          <w:i/>
          <w:sz w:val="24"/>
          <w:szCs w:val="28"/>
          <w:lang w:val="kk-KZ" w:eastAsia="ru-RU" w:bidi="ru-RU"/>
        </w:rPr>
        <w:t>Сіңірілуі</w:t>
      </w:r>
    </w:p>
    <w:p w14:paraId="7C3BBA46"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Эмтрицитабин және тенофовир дизопроксил фумараты препаратының үлбірлі қабықпен қапталған бір таблеткасының, эмтрицитабиннің 200 мг бір қатты капсуласының және тенофовир дизопроксил фумаратының үлбірлі қабықпен қапталған</w:t>
      </w:r>
      <w:r w:rsidR="008A0609" w:rsidRPr="00306051">
        <w:rPr>
          <w:rFonts w:ascii="Times New Roman" w:eastAsia="Calibri" w:hAnsi="Times New Roman" w:cs="Times New Roman"/>
          <w:sz w:val="24"/>
          <w:szCs w:val="24"/>
          <w:lang w:val="kk-KZ" w:eastAsia="ar-IQ" w:bidi="ar-IQ"/>
        </w:rPr>
        <w:t xml:space="preserve"> 245 мг бір таблеткасының био</w:t>
      </w:r>
      <w:r w:rsidRPr="00306051">
        <w:rPr>
          <w:rFonts w:ascii="Times New Roman" w:eastAsia="Calibri" w:hAnsi="Times New Roman" w:cs="Times New Roman"/>
          <w:sz w:val="24"/>
          <w:szCs w:val="24"/>
          <w:lang w:val="kk-KZ" w:eastAsia="ar-IQ" w:bidi="ar-IQ"/>
        </w:rPr>
        <w:t>баламалылығы дені сау еріктілер аш қарында бір реттік дозасын қолданғаннан кейін анықталды. Эмтрицитабин және тенофовир дизопроксил фумараты препаратын дені сау еріктілердің пероральді қабылдауынан кейін эмтрицитабин мен тенофовир дизопроксил фумараты жылдам сіңіріледі, ал тенофовир дизопроксил фумараты тенофовирге айналады. Аш қарында енгізгеннен кейін эмтрицитабин мен тенофовирдің ең жоғары концентрациялары сарысуда 0.5-тен 3.0 сағатқа дейінгі аралықта байқалады. Эмтрицитабин және тенофовир дизопроксил фумараты препаратын тамақпен қабылдау тенофовирдің ең жоғарғы концентрацияларына жетуінің төрттен үш сағат мөлшерінде кідіруіне және аш қарында қабылдаумен салыстырғанда, құрамындағы май мөлшері жоғары немесе төмен тамақпен бірге қабылдағанда тенофовирдің AUC және С</w:t>
      </w:r>
      <w:r w:rsidRPr="00306051">
        <w:rPr>
          <w:rFonts w:ascii="Times New Roman" w:eastAsia="Calibri" w:hAnsi="Times New Roman" w:cs="Times New Roman"/>
          <w:sz w:val="24"/>
          <w:szCs w:val="24"/>
          <w:vertAlign w:val="subscript"/>
          <w:lang w:val="kk-KZ" w:eastAsia="ar-IQ" w:bidi="ar-IQ"/>
        </w:rPr>
        <w:t>max</w:t>
      </w:r>
      <w:r w:rsidRPr="00306051">
        <w:rPr>
          <w:rFonts w:ascii="Times New Roman" w:eastAsia="Calibri" w:hAnsi="Times New Roman" w:cs="Times New Roman"/>
          <w:sz w:val="24"/>
          <w:szCs w:val="24"/>
          <w:lang w:val="kk-KZ" w:eastAsia="ar-IQ" w:bidi="ar-IQ"/>
        </w:rPr>
        <w:t xml:space="preserve"> мәндерінің сәйкесінше, шамамен 35 % және 15 %-ға жоғарылауына алып келді. Тенофовирдің сіңірілуін оңтайландыру үшін, Эмтрицитабин және тенофовир дизопроксил фумараты препаратын тамақпен бірге қабылдаған дұрыс.</w:t>
      </w:r>
    </w:p>
    <w:p w14:paraId="1A66073E"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Таралуы</w:t>
      </w:r>
    </w:p>
    <w:p w14:paraId="57309A15"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Вена ішіне енгізгеннен кейін эмтрицитабин мен тенофовирдің таралу көлемі сәйкесінше 1.4 л/кг және 800 мл/кг жуықты құрайды. Эмтрицитабинді немесе тенофовир дизопроксил фумаратын пероральді енгізгеннен кейін эмтрицитабин мен тенофовир бүкіл организмге кеңінен таралады. Эмтрицитабиннің адамда қан плазмасы ақуыздарымен</w:t>
      </w:r>
      <w:r w:rsidRPr="00306051">
        <w:rPr>
          <w:rFonts w:ascii="Times New Roman" w:eastAsia="Calibri" w:hAnsi="Times New Roman" w:cs="Times New Roman"/>
          <w:i/>
          <w:iCs/>
          <w:sz w:val="24"/>
          <w:szCs w:val="24"/>
          <w:lang w:val="kk-KZ" w:eastAsia="ar-IQ" w:bidi="ar-IQ"/>
        </w:rPr>
        <w:t xml:space="preserve"> іn vitro </w:t>
      </w:r>
      <w:r w:rsidRPr="00306051">
        <w:rPr>
          <w:rFonts w:ascii="Times New Roman" w:eastAsia="Calibri" w:hAnsi="Times New Roman" w:cs="Times New Roman"/>
          <w:sz w:val="24"/>
          <w:szCs w:val="24"/>
          <w:lang w:val="kk-KZ" w:eastAsia="ar-IQ" w:bidi="ar-IQ"/>
        </w:rPr>
        <w:t xml:space="preserve">байланысуы &lt; 4 % құраған және 0.02-ден 200 мкг/мл дейінгі </w:t>
      </w:r>
      <w:r w:rsidRPr="00306051">
        <w:rPr>
          <w:rFonts w:ascii="Times New Roman" w:eastAsia="Calibri" w:hAnsi="Times New Roman" w:cs="Times New Roman"/>
          <w:sz w:val="24"/>
          <w:szCs w:val="24"/>
          <w:lang w:val="kk-KZ" w:eastAsia="ar-IQ" w:bidi="ar-IQ"/>
        </w:rPr>
        <w:lastRenderedPageBreak/>
        <w:t xml:space="preserve">ауқымдағы концентрациясына тәуелді болмаған. Тенофовирдің плазма ақуыздарымен немесе қан сарысуы ақуыздарымен </w:t>
      </w:r>
      <w:r w:rsidRPr="00306051">
        <w:rPr>
          <w:rFonts w:ascii="Times New Roman" w:eastAsia="Calibri" w:hAnsi="Times New Roman" w:cs="Times New Roman"/>
          <w:i/>
          <w:iCs/>
          <w:sz w:val="24"/>
          <w:szCs w:val="24"/>
          <w:lang w:val="kk-KZ" w:eastAsia="ar-IQ" w:bidi="ar-IQ"/>
        </w:rPr>
        <w:t xml:space="preserve">in vitro </w:t>
      </w:r>
      <w:r w:rsidRPr="00306051">
        <w:rPr>
          <w:rFonts w:ascii="Times New Roman" w:eastAsia="Calibri" w:hAnsi="Times New Roman" w:cs="Times New Roman"/>
          <w:sz w:val="24"/>
          <w:szCs w:val="24"/>
          <w:lang w:val="kk-KZ" w:eastAsia="ar-IQ" w:bidi="ar-IQ"/>
        </w:rPr>
        <w:t xml:space="preserve">байланысуы </w:t>
      </w:r>
      <w:r w:rsidR="00146F60">
        <w:rPr>
          <w:rFonts w:ascii="Times New Roman" w:eastAsia="Calibri" w:hAnsi="Times New Roman" w:cs="Times New Roman"/>
          <w:sz w:val="24"/>
          <w:szCs w:val="24"/>
          <w:lang w:val="kk-KZ" w:eastAsia="ar-IQ" w:bidi="ar-IQ"/>
        </w:rPr>
        <w:t xml:space="preserve">қандағы </w:t>
      </w:r>
      <w:r w:rsidRPr="00306051">
        <w:rPr>
          <w:rFonts w:ascii="Times New Roman" w:eastAsia="Calibri" w:hAnsi="Times New Roman" w:cs="Times New Roman"/>
          <w:sz w:val="24"/>
          <w:szCs w:val="24"/>
          <w:lang w:val="kk-KZ" w:eastAsia="ar-IQ" w:bidi="ar-IQ"/>
        </w:rPr>
        <w:t>тенофовирдің 0.01-ден 25 мкг/мл дейінгі концентрациялары ауқымында сәйкесінше 0.7 және 7.2 %-дан азды құрады.</w:t>
      </w:r>
    </w:p>
    <w:p w14:paraId="7E93F92F"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Биоөзгерісі</w:t>
      </w:r>
      <w:r w:rsidRPr="00306051">
        <w:rPr>
          <w:rFonts w:ascii="Times New Roman" w:eastAsia="Calibri" w:hAnsi="Times New Roman" w:cs="Times New Roman"/>
          <w:i/>
          <w:sz w:val="24"/>
          <w:szCs w:val="24"/>
          <w:lang w:val="kk-KZ" w:eastAsia="ar-IQ" w:bidi="ar-IQ"/>
        </w:rPr>
        <w:t xml:space="preserve"> </w:t>
      </w:r>
    </w:p>
    <w:p w14:paraId="0DCB6CF3"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 xml:space="preserve">Эмтрицитабиннің метаболизмі шектеулі. Эмтрицитабиннің биоөзгерісі тиолдық бөлігінің 3’-сульфоксид диастереомерлер түзе отырып тотығуын (дозасының 9 %-ына жуығы) және 2’-О-глюкуронид түзе отырып, глюкурон қышқылымен байланысуын (дозасының 4 %-ына жуығы). </w:t>
      </w:r>
      <w:r w:rsidRPr="00306051">
        <w:rPr>
          <w:rFonts w:ascii="Times New Roman" w:eastAsia="Calibri" w:hAnsi="Times New Roman" w:cs="Times New Roman"/>
          <w:i/>
          <w:iCs/>
          <w:sz w:val="24"/>
          <w:szCs w:val="24"/>
          <w:lang w:val="kk-KZ" w:eastAsia="ar-IQ" w:bidi="ar-IQ"/>
        </w:rPr>
        <w:t xml:space="preserve">Іn vitro </w:t>
      </w:r>
      <w:r w:rsidRPr="00306051">
        <w:rPr>
          <w:rFonts w:ascii="Times New Roman" w:eastAsia="Calibri" w:hAnsi="Times New Roman" w:cs="Times New Roman"/>
          <w:sz w:val="24"/>
          <w:szCs w:val="24"/>
          <w:lang w:val="kk-KZ" w:eastAsia="ar-IQ" w:bidi="ar-IQ"/>
        </w:rPr>
        <w:t xml:space="preserve">зерттеулер, тенофовир дизопроксил фумараты да, тенофовир де  CYP450 ферменттерінің субстраттары емес екендігін көрсетті. Эмтрицитабин де, тенофовир де препараттың, адамдағы CYP450 негізгі изоформаларының препарат биоөзгерісіне қатысатын кез келгені түрткі болатын метаболизмін </w:t>
      </w:r>
      <w:r w:rsidRPr="00306051">
        <w:rPr>
          <w:rFonts w:ascii="Times New Roman" w:eastAsia="Calibri" w:hAnsi="Times New Roman" w:cs="Times New Roman"/>
          <w:i/>
          <w:iCs/>
          <w:sz w:val="24"/>
          <w:szCs w:val="24"/>
          <w:lang w:val="kk-KZ" w:eastAsia="ar-IQ" w:bidi="ar-IQ"/>
        </w:rPr>
        <w:t xml:space="preserve">in vitro </w:t>
      </w:r>
      <w:r w:rsidRPr="00306051">
        <w:rPr>
          <w:rFonts w:ascii="Times New Roman" w:eastAsia="Calibri" w:hAnsi="Times New Roman" w:cs="Times New Roman"/>
          <w:sz w:val="24"/>
          <w:szCs w:val="24"/>
          <w:lang w:val="kk-KZ" w:eastAsia="ar-IQ" w:bidi="ar-IQ"/>
        </w:rPr>
        <w:t>тежемеген. Сондай-ақ, эмтрицитабин глюкуронидануға жауап беретін фермент – уридин-5’-дифосфоглюкуронил трансферазаны тежемеген.</w:t>
      </w:r>
    </w:p>
    <w:p w14:paraId="501F56E8"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Элиминациясы</w:t>
      </w:r>
    </w:p>
    <w:p w14:paraId="5D55D7B3"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Эмтрицитабин несепте (шамамен 86 %) және нәжісте (шамамен 14 %) жеткен дозасы толық анықталған жағдайда, негізінен, бүйрек арқылы шығарылады. Эмтрицитабин дозасының 13 %-ы несепте үш метаболиті түрінде анықталған. Эмтрицитабиннің жүйелі клиренсі, орташа алғанда, 307 мл/минутты құрады. Пероральді енгізгеннен кейін эмтрицитабиннің жартылай шығарылу кезеңі 10 сағатқа жуықты құрайды.</w:t>
      </w:r>
    </w:p>
    <w:p w14:paraId="4140CA90"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Тенофовир негізінен бүйрек арқылы, сүзілу жолымен де, белсенді тубулярлық тасымал жүйесінің көмегімен де шығарылады, сонымен қатар, вена ішіне енгізгеннен кейін дозасының шамамен 70-80 %-ы өзгеріссіз күйінде несеппен шығарылады. Тенофовирдің болжамды орташа клиренсі 307 мл/минутқа жуықты құрайды. Бүйректік клиренсі шамамен 210 мл/минут деп бағаланған, ол гломерулярлық сүзілісінің жылдамдығынан жоғары. Бұл, тубулярлық секреция тенофовирдің шығарылуының маңызды бөлігі болып табылатынын көрсетеді. Пероральді енгізгеннен кейін тенофовирдің жартылай шығарылу кезеңі 12-18 сағатқа жуықты құрайды.</w:t>
      </w:r>
    </w:p>
    <w:p w14:paraId="6DA7DCA9"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Егде жастағы пациенттер</w:t>
      </w:r>
    </w:p>
    <w:p w14:paraId="5BC9443E"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 xml:space="preserve">Егде жастағы (65 жастан асқан) пациенттерде эмтрицитабиннің немесе тенофовирдің фармакокинетикасын зерттеулері жүргізілмеді. </w:t>
      </w:r>
    </w:p>
    <w:p w14:paraId="534BDA4F"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Жыныс</w:t>
      </w:r>
    </w:p>
    <w:p w14:paraId="2002F619"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Ер және әйел жынысты пациенттерде эмтрицитабин мен тенофовирдің фармакокинетикасы ұқсас.</w:t>
      </w:r>
    </w:p>
    <w:p w14:paraId="2CA7D80D"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Этникалық ерекшелік</w:t>
      </w:r>
    </w:p>
    <w:p w14:paraId="3E1842B0"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Түрлі этникалық топтардың өкілдеріндегі эмтрицитабин фармакокинетикасында клиникалық тұрғыдан елеулі айырмашылықтар анықталған жоқ. Түрлі этникалық топтардың өкілдеріндегі тенофовир фармакокинетикасының ерекшеліктері зерттелмеген.</w:t>
      </w:r>
    </w:p>
    <w:p w14:paraId="43C33D38"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Бүйрек функциясының бұзылулары</w:t>
      </w:r>
    </w:p>
    <w:p w14:paraId="34105AAC"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Бүйрек функциясы бұзылған пациенттерде жеке-дара препараттар түрінде немесе Эмтрицитабин және тенофовир дизопроксил фумараты препаратының құрамында бір рет енгізгеннен кейінгі эмтрицитабин мен тенофовир  фармакокинетикасы жөніндегі деректер шектеулі. Фармакокинетикасы параметлері негізінен, АИТВ инфекциясын жұқтырмаған, бүйрек  функциясы бұзылуының түрлі дәрежелері бар пациенттерге</w:t>
      </w:r>
      <w:r w:rsidR="008A0609" w:rsidRPr="00306051">
        <w:rPr>
          <w:rFonts w:ascii="Times New Roman" w:eastAsia="Calibri" w:hAnsi="Times New Roman" w:cs="Times New Roman"/>
          <w:sz w:val="24"/>
          <w:szCs w:val="24"/>
          <w:lang w:val="kk-KZ" w:eastAsia="ar-IQ" w:bidi="ar-IQ"/>
        </w:rPr>
        <w:t xml:space="preserve"> </w:t>
      </w:r>
      <w:r w:rsidRPr="00306051">
        <w:rPr>
          <w:rFonts w:ascii="Times New Roman" w:eastAsia="Calibri" w:hAnsi="Times New Roman" w:cs="Times New Roman"/>
          <w:sz w:val="24"/>
          <w:szCs w:val="24"/>
          <w:lang w:val="kk-KZ" w:eastAsia="ar-IQ" w:bidi="ar-IQ"/>
        </w:rPr>
        <w:t>200 мг эмтрицитабинді немесе 245 мг тенофовир дизопроксилдің бір реттік дозаларын енгізгеннен кейін анықталған. Бүйрек  функциясы бұзылуының дәрежесі креатинин клиренсінің (CrCl) бастапқы мәндеріне сәйкес анықталған (CrCl &gt; 80 мл/минут болған жағдайда бүйрек функциясы; CrCl = 50-79 мл/минут жағдайында бұзылулары елеусіз; CrCl = 30-49 мл/минут жағдайында бұзылулары орташа және CrCl = 10-29 мл/минут жағдайында бұзылулары ауыр).</w:t>
      </w:r>
    </w:p>
    <w:p w14:paraId="72733D57"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lastRenderedPageBreak/>
        <w:t>Эмтрицитабинге орташа (% CV) экспозиция бүйрек функциясы қалыпты пациенттердегі 12 (25 %) мкг*сағ/мл-ден бүйрек функциясының елеусіз, орташа және ауыр бұзылулары бар пациенттерде сәйкесінше 20 (6 %) мкг*сағ/мл, 25 (23 %) мкг*сағ/мл және 34 (6 %) мкг*сағ/мл дейін жоғарылаған.</w:t>
      </w:r>
    </w:p>
    <w:p w14:paraId="4A053009"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Тенофовирге орташа (% CV) экспозиция бүйрек функциясы қалыпты пациенттердегі 2,185 (12 %) нг*сағ/мл-ден бүйрек функциясының елеусіз, орташа және ауыр бұзылулары бар пациенттерде сәйкесінше 3,064 (30 %) нг*сағ/мл, 6,009 (42 %) нг*сағ/мл және 15,985 (45 %) нг*сағ/мл дейін жоғарылаған.</w:t>
      </w:r>
    </w:p>
    <w:p w14:paraId="4410A5CE"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Бүйрек  функциясы қалыпты пациенттермен салыстырғанда, АИТВ-1 инфекциясы бар, бүйректің орташа бұзылуларымен пациенттерде Эмтрицитабин және тенофовир дизопроксил фумараты препаратын дозалау аралығының ұзартылуы қан плазмасындағы аса жоғары концентрацияларына және C</w:t>
      </w:r>
      <w:r w:rsidRPr="00306051">
        <w:rPr>
          <w:rFonts w:ascii="Times New Roman" w:eastAsia="Calibri" w:hAnsi="Times New Roman" w:cs="Times New Roman"/>
          <w:sz w:val="24"/>
          <w:szCs w:val="24"/>
          <w:vertAlign w:val="subscript"/>
          <w:lang w:val="kk-KZ" w:eastAsia="ar-IQ" w:bidi="ar-IQ"/>
        </w:rPr>
        <w:t xml:space="preserve">min </w:t>
      </w:r>
      <w:r w:rsidRPr="00306051">
        <w:rPr>
          <w:rFonts w:ascii="Times New Roman" w:eastAsia="Calibri" w:hAnsi="Times New Roman" w:cs="Times New Roman"/>
          <w:sz w:val="24"/>
          <w:szCs w:val="24"/>
          <w:lang w:val="kk-KZ" w:eastAsia="ar-IQ" w:bidi="ar-IQ"/>
        </w:rPr>
        <w:t xml:space="preserve">деңгейлерінің төменірек болуына алып келеді деп күтіледі. </w:t>
      </w:r>
    </w:p>
    <w:p w14:paraId="4DB5B630"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Бүйрек ауруының терминальді сатысы бар (end-stage renal disease – ESRD), гемодиализді қажет ететін пациенттерде, препаратқа экспозиция едәуір, эмтрицитабин үшін 72 сағат ішінде 53 (19 %) мкг*сағ/мл дейін және тенофовир үшін 48 сағат ішінде 42,857 (29 %) нг*сағ/мл дейін жоғарылаған.</w:t>
      </w:r>
    </w:p>
    <w:p w14:paraId="4F1B2DEC" w14:textId="77777777" w:rsidR="00607595" w:rsidRPr="00306051" w:rsidRDefault="00607595">
      <w:pPr>
        <w:spacing w:after="0" w:line="100" w:lineRule="atLeast"/>
        <w:jc w:val="both"/>
        <w:rPr>
          <w:rFonts w:ascii="Times New Roman" w:eastAsia="Calibri" w:hAnsi="Times New Roman" w:cs="Times New Roman"/>
          <w:i/>
          <w:iCs/>
          <w:sz w:val="24"/>
          <w:szCs w:val="24"/>
          <w:lang w:val="kk-KZ" w:eastAsia="ar-IQ" w:bidi="ar-IQ"/>
        </w:rPr>
      </w:pPr>
      <w:r w:rsidRPr="00306051">
        <w:rPr>
          <w:rFonts w:ascii="Times New Roman" w:eastAsia="Calibri" w:hAnsi="Times New Roman" w:cs="Times New Roman"/>
          <w:sz w:val="24"/>
          <w:szCs w:val="24"/>
          <w:lang w:val="kk-KZ" w:eastAsia="ar-IQ" w:bidi="ar-IQ"/>
        </w:rPr>
        <w:t xml:space="preserve">АИТВ инфекциясы бар, бүйрек функциясы бұзылған пациенттерде эмтрицитабином тенофовир дизопроксил фумаратының қауіпсіздігін, </w:t>
      </w:r>
      <w:r w:rsidR="00146F60">
        <w:rPr>
          <w:rFonts w:ascii="Times New Roman" w:eastAsia="Calibri" w:hAnsi="Times New Roman" w:cs="Times New Roman"/>
          <w:sz w:val="24"/>
          <w:szCs w:val="24"/>
          <w:lang w:val="kk-KZ" w:eastAsia="ar-IQ" w:bidi="ar-IQ"/>
        </w:rPr>
        <w:t>вирусқа қарсы</w:t>
      </w:r>
      <w:r w:rsidRPr="00306051">
        <w:rPr>
          <w:rFonts w:ascii="Times New Roman" w:eastAsia="Calibri" w:hAnsi="Times New Roman" w:cs="Times New Roman"/>
          <w:sz w:val="24"/>
          <w:szCs w:val="24"/>
          <w:lang w:val="kk-KZ" w:eastAsia="ar-IQ" w:bidi="ar-IQ"/>
        </w:rPr>
        <w:t xml:space="preserve"> белсенділігі мен фармакокинетикасын бағалау мақсатында шағын клиникалық зерттеу жүргізілді. Бастапқы креатинин клиренсі 50-60 мл/минут пациенттердің қосалқы тобында препаратты тәулігіне 1 рет қабылдау тенофовир экспозициясының 2–4 есе жоғарылауына және бүйрек функциясының нашарлауына алып келген.</w:t>
      </w:r>
    </w:p>
    <w:p w14:paraId="60BD9272" w14:textId="77777777" w:rsidR="00607595" w:rsidRPr="00306051" w:rsidRDefault="00607595">
      <w:pPr>
        <w:keepNext/>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eastAsia="ar-IQ" w:bidi="ar-IQ"/>
        </w:rPr>
        <w:t>Бауыр функциясының бұзылулары</w:t>
      </w:r>
    </w:p>
    <w:p w14:paraId="63A805D7"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Бауыр функциясы бұзылған пациенттерде Эмтрицитабин және тенофовир дизопроксил фумараты препаратының фармакокинетикасы зерттелмеген.</w:t>
      </w:r>
    </w:p>
    <w:p w14:paraId="3FF4EE8F"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В гепатиті вирусының инфекциясын жұқтырмаған, бауыр жеткіліксіздігінің түрлі дәрежелері бар пациенттерде эмтрицитабиннің фармакокинетикасы зерттелмеген. Жалпы алғанда, В гепатиті вирусының инфекциясын жұқтырған пациенттерде эмтрицитабин фармакокинетикасы дені сау адамдардағы және АИТВ инфециясы бар пациенттердегі фармакокинетикасына ұқсас болды.</w:t>
      </w:r>
    </w:p>
    <w:p w14:paraId="3270BB8B"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sz w:val="24"/>
          <w:szCs w:val="24"/>
          <w:lang w:val="kk-KZ" w:eastAsia="ar-IQ" w:bidi="ar-IQ"/>
        </w:rPr>
        <w:t>Тенофовир дизопроксилдің бір реттік 245 мг дозасы, АИТВ инфекциясын жұқтырмаған, бауыр функциясы бұзылуларының Child-Pugh-Turcotte (CPT) жіктемесіне сәйкес анықталған түрлі дәрежелері бар пациенттерде қолданылды. бауыр функциясының бұзылуларымен пациенттерде тенофовир фармакокинетикасының параметрлері елеулі өзгерістерге ұшырамаған, ол аталған пациенттер үшін дозасын түзету қажеттілігі болмағанын көрсетті. Тенофовирдің C</w:t>
      </w:r>
      <w:r w:rsidRPr="00306051">
        <w:rPr>
          <w:rFonts w:ascii="Times New Roman" w:eastAsia="Calibri" w:hAnsi="Times New Roman" w:cs="Times New Roman"/>
          <w:sz w:val="24"/>
          <w:szCs w:val="24"/>
          <w:vertAlign w:val="subscript"/>
          <w:lang w:val="kk-KZ" w:eastAsia="ar-IQ" w:bidi="ar-IQ"/>
        </w:rPr>
        <w:t>max</w:t>
      </w:r>
      <w:r w:rsidRPr="00306051">
        <w:rPr>
          <w:rFonts w:ascii="Times New Roman" w:eastAsia="Calibri" w:hAnsi="Times New Roman" w:cs="Times New Roman"/>
          <w:sz w:val="24"/>
          <w:szCs w:val="24"/>
          <w:lang w:val="kk-KZ" w:eastAsia="ar-IQ" w:bidi="ar-IQ"/>
        </w:rPr>
        <w:t xml:space="preserve"> және AUC</w:t>
      </w:r>
      <w:r w:rsidRPr="00306051">
        <w:rPr>
          <w:rFonts w:ascii="Times New Roman" w:eastAsia="Calibri" w:hAnsi="Times New Roman" w:cs="Times New Roman"/>
          <w:sz w:val="24"/>
          <w:szCs w:val="24"/>
          <w:vertAlign w:val="subscript"/>
          <w:lang w:val="kk-KZ" w:eastAsia="ar-IQ" w:bidi="ar-IQ"/>
        </w:rPr>
        <w:t>0-∞</w:t>
      </w:r>
      <w:r w:rsidRPr="00306051">
        <w:rPr>
          <w:rFonts w:ascii="Times New Roman" w:eastAsia="Calibri" w:hAnsi="Times New Roman" w:cs="Times New Roman"/>
          <w:sz w:val="24"/>
          <w:szCs w:val="24"/>
          <w:lang w:val="kk-KZ" w:eastAsia="ar-IQ" w:bidi="ar-IQ"/>
        </w:rPr>
        <w:t xml:space="preserve"> орташа (% CV) мәндері бауыр функциясының орташа бұзылулары бар пациенттердегі 289 (46.0 %) нг/мл және 2,310 (43.5 %) нг*сағ/мл-мен және бауыр функциясының ауыр бұзылулары бар пациенттердегі 305 (24.8 %) нг/мл және 2,740 (44.0 %) нг*сағ/мл-мен салыстырғанда, бауыр функциясы бұзылмаған адамдарда сәйкесінше 223 (34.8 %) нг/мл және 2,050 (50.8 %) нг*сағ/мл, құраған.</w:t>
      </w:r>
    </w:p>
    <w:p w14:paraId="29D783F0"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p>
    <w:p w14:paraId="4BED49C1" w14:textId="77777777" w:rsidR="00607595" w:rsidRPr="00306051" w:rsidRDefault="00607595">
      <w:pPr>
        <w:spacing w:after="0" w:line="100" w:lineRule="atLeast"/>
        <w:jc w:val="both"/>
        <w:rPr>
          <w:rFonts w:ascii="Times New Roman" w:eastAsia="Times New Roman" w:hAnsi="Times New Roman" w:cs="Times New Roman"/>
          <w:i/>
          <w:iCs/>
          <w:sz w:val="24"/>
          <w:szCs w:val="24"/>
          <w:lang w:val="kk-KZ"/>
        </w:rPr>
      </w:pPr>
      <w:r w:rsidRPr="00306051">
        <w:rPr>
          <w:rFonts w:ascii="Times New Roman" w:hAnsi="Times New Roman" w:cs="Times New Roman"/>
          <w:b/>
          <w:sz w:val="24"/>
          <w:szCs w:val="24"/>
          <w:lang w:val="kk-KZ"/>
        </w:rPr>
        <w:t xml:space="preserve">5.3. </w:t>
      </w:r>
      <w:r w:rsidRPr="00306051">
        <w:rPr>
          <w:rFonts w:ascii="Times New Roman" w:eastAsia="TimesNewRomanPSMT" w:hAnsi="Times New Roman" w:cs="Times New Roman"/>
          <w:b/>
          <w:sz w:val="24"/>
          <w:szCs w:val="24"/>
          <w:lang w:val="kk-KZ"/>
        </w:rPr>
        <w:t>Клиникаға дейінгі қауіпсіздік деректері</w:t>
      </w:r>
    </w:p>
    <w:p w14:paraId="69335A76" w14:textId="77777777" w:rsidR="00607595" w:rsidRPr="00306051" w:rsidRDefault="00607595">
      <w:pPr>
        <w:shd w:val="clear" w:color="auto" w:fill="FFFFFF"/>
        <w:spacing w:after="0" w:line="100" w:lineRule="atLeast"/>
        <w:jc w:val="both"/>
        <w:rPr>
          <w:rFonts w:ascii="Times New Roman" w:eastAsia="Times New Roman" w:hAnsi="Times New Roman" w:cs="Times New Roman"/>
          <w:i/>
          <w:iCs/>
          <w:sz w:val="24"/>
          <w:szCs w:val="24"/>
          <w:lang w:val="kk-KZ"/>
        </w:rPr>
      </w:pPr>
      <w:r w:rsidRPr="00306051">
        <w:rPr>
          <w:rFonts w:ascii="Times New Roman" w:eastAsia="Times New Roman" w:hAnsi="Times New Roman" w:cs="Times New Roman"/>
          <w:i/>
          <w:iCs/>
          <w:sz w:val="24"/>
          <w:szCs w:val="24"/>
          <w:lang w:val="kk-KZ"/>
        </w:rPr>
        <w:t>Эмтрицитабин:</w:t>
      </w:r>
      <w:r w:rsidRPr="00306051">
        <w:rPr>
          <w:rFonts w:ascii="Times New Roman" w:eastAsia="Times New Roman" w:hAnsi="Times New Roman" w:cs="Times New Roman"/>
          <w:sz w:val="24"/>
          <w:szCs w:val="24"/>
          <w:lang w:val="kk-KZ"/>
        </w:rPr>
        <w:t>  эмтрицитабин бойынша фармакологиясын, қауіпсіздігін қайталанатын дозаларының уыттылығын, гендік уыттылығы, канцерогенділік ық</w:t>
      </w:r>
      <w:r w:rsidR="00180238">
        <w:rPr>
          <w:rFonts w:ascii="Times New Roman" w:eastAsia="Times New Roman" w:hAnsi="Times New Roman" w:cs="Times New Roman"/>
          <w:sz w:val="24"/>
          <w:szCs w:val="24"/>
          <w:lang w:val="kk-KZ"/>
        </w:rPr>
        <w:t>т</w:t>
      </w:r>
      <w:r w:rsidRPr="00306051">
        <w:rPr>
          <w:rFonts w:ascii="Times New Roman" w:eastAsia="Times New Roman" w:hAnsi="Times New Roman" w:cs="Times New Roman"/>
          <w:sz w:val="24"/>
          <w:szCs w:val="24"/>
          <w:lang w:val="kk-KZ"/>
        </w:rPr>
        <w:t>ималдылығын және көбею мен даму үшін уыттылығына жүргізілген дәстүрлі зерттеулерге негізделген, клиникаға дейінгі деректерден адам үшін ерекше қауіптілігі анықталмады.</w:t>
      </w:r>
    </w:p>
    <w:p w14:paraId="7222498A" w14:textId="77777777" w:rsidR="00607595" w:rsidRPr="00306051" w:rsidRDefault="00607595">
      <w:pPr>
        <w:shd w:val="clear" w:color="auto" w:fill="FFFFFF"/>
        <w:spacing w:after="0" w:line="100" w:lineRule="atLeast"/>
        <w:jc w:val="both"/>
        <w:rPr>
          <w:rFonts w:ascii="Times New Roman" w:eastAsia="Times New Roman" w:hAnsi="Times New Roman" w:cs="Times New Roman"/>
          <w:sz w:val="24"/>
          <w:szCs w:val="24"/>
          <w:lang w:val="kk-KZ"/>
        </w:rPr>
      </w:pPr>
      <w:r w:rsidRPr="00306051">
        <w:rPr>
          <w:rFonts w:ascii="Times New Roman" w:eastAsia="Times New Roman" w:hAnsi="Times New Roman" w:cs="Times New Roman"/>
          <w:i/>
          <w:iCs/>
          <w:sz w:val="24"/>
          <w:szCs w:val="24"/>
          <w:lang w:val="kk-KZ"/>
        </w:rPr>
        <w:t>Тенофовир дизопроксил:</w:t>
      </w:r>
      <w:r w:rsidRPr="00306051">
        <w:rPr>
          <w:rFonts w:ascii="Times New Roman" w:eastAsia="Times New Roman" w:hAnsi="Times New Roman" w:cs="Times New Roman"/>
          <w:sz w:val="24"/>
          <w:szCs w:val="24"/>
          <w:lang w:val="kk-KZ"/>
        </w:rPr>
        <w:t xml:space="preserve">  тенофовир дисопроксил фармакологиясына, қауіпсіздігіне жүргізілген клиникаға дейінгі зерттеулерден адам үшін ерекше қауіптілігі анықталмаған. Егеуқұйрықтарда, иттерде және маймылдарда клиникалық әсер етуі </w:t>
      </w:r>
      <w:r w:rsidRPr="00306051">
        <w:rPr>
          <w:rFonts w:ascii="Times New Roman" w:eastAsia="Times New Roman" w:hAnsi="Times New Roman" w:cs="Times New Roman"/>
          <w:sz w:val="24"/>
          <w:szCs w:val="24"/>
          <w:lang w:val="kk-KZ"/>
        </w:rPr>
        <w:lastRenderedPageBreak/>
        <w:t>деңгейінен асатын немесе тең әсер ету деңгейлері жағдайында, қайталанатын дозаларының уыттылығын және клиникада қолданылуына қатысты болуы ықтимал зерттеулер бүйрек пен сүйектер үшін уыттылығын және сарысудағы фосфат концентрациясының төмендеуін қамтыған. Остеоуыттылығы диагнозы остеомаляция (маймылдарда) және СМТ төмендеуі (егеуқұйрықтар мен иттерде) ретінде анықталған. Жас ересек егеуқұйрықтар мен иттердегі остеоуыттылығы балалардағы немесе ересек пациенттердегі ≥ 5 еселік әсері жағдайында байқалды; ол инфекция жұқтырған ювенильді маймылдарда өте жоғары дозаларында тері астына енгізгеннен кейін (пациенттердегі ≥ 40 еселік концентрациясы) туындаған. Егеуқұйрықтар мен маймылдарға жүргізілген зерттеулердің нәтижелері, фосфаттың ішекте сіңірілуінің осы затпен байланысты азаюы СМТ салдарлы төмендеуі мүмкіндігімен орын алғанын көрсетті.</w:t>
      </w:r>
    </w:p>
    <w:p w14:paraId="286C29D2" w14:textId="77777777" w:rsidR="00607595" w:rsidRPr="00306051" w:rsidRDefault="00607595">
      <w:pPr>
        <w:shd w:val="clear" w:color="auto" w:fill="FFFFFF"/>
        <w:spacing w:after="0" w:line="100" w:lineRule="atLeast"/>
        <w:jc w:val="both"/>
        <w:rPr>
          <w:rFonts w:ascii="Times New Roman" w:eastAsia="Times New Roman" w:hAnsi="Times New Roman" w:cs="Times New Roman"/>
          <w:sz w:val="24"/>
          <w:szCs w:val="24"/>
          <w:lang w:val="kk-KZ"/>
        </w:rPr>
      </w:pPr>
      <w:r w:rsidRPr="00306051">
        <w:rPr>
          <w:rFonts w:ascii="Times New Roman" w:eastAsia="Times New Roman" w:hAnsi="Times New Roman" w:cs="Times New Roman"/>
          <w:sz w:val="24"/>
          <w:szCs w:val="24"/>
          <w:lang w:val="kk-KZ"/>
        </w:rPr>
        <w:t xml:space="preserve">Гендік уыттылығын зерттеулерден тышқандар лимфомасына жүргізілген </w:t>
      </w:r>
      <w:r w:rsidRPr="00306051">
        <w:rPr>
          <w:rFonts w:ascii="Times New Roman" w:eastAsia="Times New Roman" w:hAnsi="Times New Roman" w:cs="Times New Roman"/>
          <w:i/>
          <w:iCs/>
          <w:sz w:val="24"/>
          <w:szCs w:val="24"/>
          <w:lang w:val="kk-KZ"/>
        </w:rPr>
        <w:t>in vitro</w:t>
      </w:r>
      <w:r w:rsidRPr="00306051">
        <w:rPr>
          <w:rFonts w:ascii="Times New Roman" w:eastAsia="Times New Roman" w:hAnsi="Times New Roman" w:cs="Times New Roman"/>
          <w:sz w:val="24"/>
          <w:szCs w:val="24"/>
          <w:lang w:val="kk-KZ"/>
        </w:rPr>
        <w:t xml:space="preserve"> талдауда оң нәтижерлер, Эймс тестісінде пайдаланылған штамдардың біреуінде екіұшты нәтижелер, және егеуқұйрықтардың бастапқы гепатоциттеріне жүргізілген UDS тестісінде әлсіз оң нәтижелер анықталды. Алайда, тышқандардың сүйек кемігі микроядроларын </w:t>
      </w:r>
      <w:r w:rsidRPr="00306051">
        <w:rPr>
          <w:rFonts w:ascii="Times New Roman" w:eastAsia="Times New Roman" w:hAnsi="Times New Roman" w:cs="Times New Roman"/>
          <w:i/>
          <w:iCs/>
          <w:sz w:val="24"/>
          <w:szCs w:val="24"/>
          <w:lang w:val="kk-KZ"/>
        </w:rPr>
        <w:t>in vivo</w:t>
      </w:r>
      <w:r w:rsidRPr="00306051">
        <w:rPr>
          <w:rFonts w:ascii="Times New Roman" w:eastAsia="Times New Roman" w:hAnsi="Times New Roman" w:cs="Times New Roman"/>
          <w:sz w:val="24"/>
          <w:szCs w:val="24"/>
          <w:lang w:val="kk-KZ"/>
        </w:rPr>
        <w:t xml:space="preserve"> талдауда ол теріс болды.</w:t>
      </w:r>
    </w:p>
    <w:p w14:paraId="588D2C56" w14:textId="77777777" w:rsidR="00607595" w:rsidRPr="00306051" w:rsidRDefault="00607595">
      <w:pPr>
        <w:shd w:val="clear" w:color="auto" w:fill="FFFFFF"/>
        <w:spacing w:after="0" w:line="100" w:lineRule="atLeast"/>
        <w:jc w:val="both"/>
        <w:rPr>
          <w:rFonts w:ascii="Times New Roman" w:eastAsia="Times New Roman" w:hAnsi="Times New Roman" w:cs="Times New Roman"/>
          <w:sz w:val="24"/>
          <w:szCs w:val="24"/>
          <w:lang w:val="kk-KZ"/>
        </w:rPr>
      </w:pPr>
      <w:r w:rsidRPr="00306051">
        <w:rPr>
          <w:rFonts w:ascii="Times New Roman" w:eastAsia="Times New Roman" w:hAnsi="Times New Roman" w:cs="Times New Roman"/>
          <w:sz w:val="24"/>
          <w:szCs w:val="24"/>
          <w:lang w:val="kk-KZ"/>
        </w:rPr>
        <w:t>Егеуқұйрықтар мен тышқандарда пероральді енгізілгендегі канцерогенділігін зерттеулерден тек,  тышқандардағы аса жоғары дозасында он екі елі ішек ісіктері жиілігінің төмендегені анықталды. Ол ісіктердің адамдарға қатысты болуы екіталай.</w:t>
      </w:r>
    </w:p>
    <w:p w14:paraId="3AEAD149" w14:textId="77777777" w:rsidR="00607595" w:rsidRPr="00306051" w:rsidRDefault="00607595">
      <w:pPr>
        <w:shd w:val="clear" w:color="auto" w:fill="FFFFFF"/>
        <w:spacing w:after="0" w:line="100" w:lineRule="atLeast"/>
        <w:jc w:val="both"/>
        <w:rPr>
          <w:rFonts w:ascii="Times New Roman" w:eastAsia="Calibri" w:hAnsi="Times New Roman" w:cs="Times New Roman"/>
          <w:i/>
          <w:iCs/>
          <w:sz w:val="24"/>
          <w:szCs w:val="24"/>
          <w:lang w:val="kk-KZ"/>
        </w:rPr>
      </w:pPr>
      <w:r w:rsidRPr="00306051">
        <w:rPr>
          <w:rFonts w:ascii="Times New Roman" w:eastAsia="Times New Roman" w:hAnsi="Times New Roman" w:cs="Times New Roman"/>
          <w:sz w:val="24"/>
          <w:szCs w:val="24"/>
          <w:lang w:val="kk-KZ"/>
        </w:rPr>
        <w:t>Егеуқұйрықтар мен үй қояндарында репродуктивтік уыттылығын зерттеулерден шағылысу, фертильділік, жүктілік немесе шарана параметрлері көрсеткіштеріне әсері анықталмады. Алайда, анасы үшін уытты дозалары</w:t>
      </w:r>
      <w:r w:rsidR="008A0609" w:rsidRPr="00306051">
        <w:rPr>
          <w:rFonts w:ascii="Times New Roman" w:eastAsia="Times New Roman" w:hAnsi="Times New Roman" w:cs="Times New Roman"/>
          <w:sz w:val="24"/>
          <w:szCs w:val="24"/>
          <w:lang w:val="kk-KZ"/>
        </w:rPr>
        <w:t>ндағы уыттылығын перинаталдық</w:t>
      </w:r>
      <w:r w:rsidRPr="00306051">
        <w:rPr>
          <w:rFonts w:ascii="Times New Roman" w:eastAsia="Times New Roman" w:hAnsi="Times New Roman" w:cs="Times New Roman"/>
          <w:sz w:val="24"/>
          <w:szCs w:val="24"/>
          <w:lang w:val="kk-KZ"/>
        </w:rPr>
        <w:t xml:space="preserve"> және постнатальді зерттеуде тенофовир дизопроксил күшіктерде  тіршілікке қабілеттілік индексі мен салмағын төмендеткен.</w:t>
      </w:r>
    </w:p>
    <w:p w14:paraId="5D6BA287"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r w:rsidRPr="00306051">
        <w:rPr>
          <w:rFonts w:ascii="Times New Roman" w:eastAsia="Calibri" w:hAnsi="Times New Roman" w:cs="Times New Roman"/>
          <w:i/>
          <w:iCs/>
          <w:sz w:val="24"/>
          <w:szCs w:val="24"/>
          <w:lang w:val="kk-KZ"/>
        </w:rPr>
        <w:t>Эмтрицитабин мен тенофовир дисопроксилдің біріктірілімі:</w:t>
      </w:r>
      <w:r w:rsidRPr="00306051">
        <w:rPr>
          <w:rFonts w:ascii="Times New Roman" w:eastAsia="Calibri" w:hAnsi="Times New Roman" w:cs="Times New Roman"/>
          <w:sz w:val="24"/>
          <w:szCs w:val="24"/>
          <w:lang w:val="kk-KZ"/>
        </w:rPr>
        <w:t xml:space="preserve"> жекелеген компоненттерін зерттеулермен салыстырғанда, бұл екі компоненттің біріктірілімімен бір ай немесе одан аз уақыт ішінде гендік уыттылығын және қайталанатын дозаларының уыттылығын зерттеулерден токсикологиялық әсерлерінің өршулері анықталмаған.</w:t>
      </w:r>
    </w:p>
    <w:p w14:paraId="0546FA0D" w14:textId="77777777" w:rsidR="00607595" w:rsidRPr="00306051" w:rsidRDefault="00607595">
      <w:pPr>
        <w:spacing w:after="0" w:line="100" w:lineRule="atLeast"/>
        <w:jc w:val="both"/>
        <w:rPr>
          <w:rFonts w:ascii="Times New Roman" w:eastAsia="Calibri" w:hAnsi="Times New Roman" w:cs="Times New Roman"/>
          <w:sz w:val="24"/>
          <w:szCs w:val="24"/>
          <w:lang w:val="kk-KZ" w:eastAsia="ar-IQ" w:bidi="ar-IQ"/>
        </w:rPr>
      </w:pPr>
    </w:p>
    <w:p w14:paraId="0EF37282" w14:textId="77777777" w:rsidR="00607595" w:rsidRPr="00306051" w:rsidRDefault="00607595">
      <w:pPr>
        <w:spacing w:after="0" w:line="100" w:lineRule="atLeast"/>
        <w:jc w:val="both"/>
        <w:rPr>
          <w:rFonts w:ascii="Times New Roman" w:hAnsi="Times New Roman" w:cs="Times New Roman"/>
          <w:b/>
          <w:sz w:val="24"/>
          <w:szCs w:val="24"/>
          <w:lang w:val="kk-KZ"/>
        </w:rPr>
      </w:pPr>
      <w:r w:rsidRPr="00306051">
        <w:rPr>
          <w:rFonts w:ascii="Times New Roman" w:hAnsi="Times New Roman" w:cs="Times New Roman"/>
          <w:b/>
          <w:sz w:val="24"/>
          <w:szCs w:val="24"/>
          <w:lang w:val="kk-KZ"/>
        </w:rPr>
        <w:t xml:space="preserve">6. ФАРМАЦЕВТИКАЛЫҚ ҚАСИЕТТЕРІ </w:t>
      </w:r>
    </w:p>
    <w:p w14:paraId="2C7C9808"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b/>
          <w:sz w:val="24"/>
          <w:szCs w:val="24"/>
          <w:lang w:val="kk-KZ"/>
        </w:rPr>
        <w:t>6.1. Қосымша заттар тізбесі</w:t>
      </w:r>
      <w:r w:rsidRPr="00306051">
        <w:rPr>
          <w:rFonts w:ascii="Times New Roman" w:hAnsi="Times New Roman" w:cs="Times New Roman"/>
          <w:sz w:val="24"/>
          <w:szCs w:val="24"/>
          <w:lang w:val="kk-KZ"/>
        </w:rPr>
        <w:t xml:space="preserve"> </w:t>
      </w:r>
    </w:p>
    <w:p w14:paraId="42E1243A"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Сусыз лактоза (Super Tab 24 AN)</w:t>
      </w:r>
    </w:p>
    <w:p w14:paraId="52379D2F"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Микрокристалды целлюлоза (Avicel PH 112)</w:t>
      </w:r>
    </w:p>
    <w:p w14:paraId="3A96054B"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Натрий кроскармеллозасы  (Ac-di-sol)</w:t>
      </w:r>
    </w:p>
    <w:p w14:paraId="2855D355" w14:textId="77777777" w:rsidR="00607595" w:rsidRPr="00306051" w:rsidRDefault="00607595">
      <w:pPr>
        <w:spacing w:after="0" w:line="100" w:lineRule="atLeast"/>
        <w:jc w:val="both"/>
        <w:rPr>
          <w:rFonts w:ascii="Times New Roman" w:hAnsi="Times New Roman" w:cs="Times New Roman"/>
          <w:i/>
          <w:sz w:val="24"/>
          <w:szCs w:val="24"/>
          <w:lang w:val="kk-KZ"/>
        </w:rPr>
      </w:pPr>
      <w:r w:rsidRPr="00306051">
        <w:rPr>
          <w:rFonts w:ascii="Times New Roman" w:hAnsi="Times New Roman" w:cs="Times New Roman"/>
          <w:sz w:val="24"/>
          <w:szCs w:val="24"/>
          <w:lang w:val="kk-KZ"/>
        </w:rPr>
        <w:t>Магний стеараты</w:t>
      </w:r>
    </w:p>
    <w:p w14:paraId="7F99297C"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i/>
          <w:sz w:val="24"/>
          <w:szCs w:val="24"/>
          <w:lang w:val="kk-KZ"/>
        </w:rPr>
        <w:t>Үлбірлі қабығының құрамы:</w:t>
      </w:r>
      <w:r w:rsidRPr="00306051">
        <w:rPr>
          <w:rFonts w:ascii="Times New Roman" w:hAnsi="Times New Roman" w:cs="Times New Roman"/>
          <w:sz w:val="24"/>
          <w:szCs w:val="24"/>
          <w:lang w:val="kk-KZ"/>
        </w:rPr>
        <w:t xml:space="preserve"> </w:t>
      </w:r>
    </w:p>
    <w:p w14:paraId="31D9706F"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Опадрай II Көгілдір 32K505040:</w:t>
      </w:r>
    </w:p>
    <w:p w14:paraId="7DBB2BDC"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Гипромеллоза 2910</w:t>
      </w:r>
    </w:p>
    <w:p w14:paraId="108E9973" w14:textId="77777777" w:rsidR="00607595" w:rsidRPr="00306051" w:rsidRDefault="00607595">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Лактоз</w:t>
      </w:r>
      <w:r w:rsidRPr="00306051">
        <w:rPr>
          <w:rFonts w:ascii="Times New Roman" w:hAnsi="Times New Roman" w:cs="Times New Roman"/>
          <w:sz w:val="24"/>
          <w:szCs w:val="24"/>
          <w:lang w:val="kk-KZ"/>
        </w:rPr>
        <w:t>а</w:t>
      </w:r>
      <w:r w:rsidRPr="00306051">
        <w:rPr>
          <w:rFonts w:ascii="Times New Roman" w:hAnsi="Times New Roman" w:cs="Times New Roman"/>
          <w:sz w:val="24"/>
          <w:szCs w:val="24"/>
        </w:rPr>
        <w:t xml:space="preserve"> моногидрат</w:t>
      </w:r>
      <w:r w:rsidRPr="00306051">
        <w:rPr>
          <w:rFonts w:ascii="Times New Roman" w:hAnsi="Times New Roman" w:cs="Times New Roman"/>
          <w:sz w:val="24"/>
          <w:szCs w:val="24"/>
          <w:lang w:val="kk-KZ"/>
        </w:rPr>
        <w:t>ы</w:t>
      </w:r>
    </w:p>
    <w:p w14:paraId="49A19470" w14:textId="77777777" w:rsidR="00607595" w:rsidRPr="00306051" w:rsidRDefault="00607595">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Титан</w:t>
      </w:r>
      <w:r w:rsidRPr="00306051">
        <w:rPr>
          <w:rFonts w:ascii="Times New Roman" w:hAnsi="Times New Roman" w:cs="Times New Roman"/>
          <w:sz w:val="24"/>
          <w:szCs w:val="24"/>
          <w:lang w:val="kk-KZ"/>
        </w:rPr>
        <w:t>ның қостотығы</w:t>
      </w:r>
      <w:r w:rsidRPr="00306051">
        <w:rPr>
          <w:rFonts w:ascii="Times New Roman" w:hAnsi="Times New Roman" w:cs="Times New Roman"/>
          <w:sz w:val="24"/>
          <w:szCs w:val="24"/>
        </w:rPr>
        <w:t xml:space="preserve"> (Е171)</w:t>
      </w:r>
    </w:p>
    <w:p w14:paraId="56C8675A" w14:textId="77777777" w:rsidR="00607595" w:rsidRPr="00306051" w:rsidRDefault="00607595">
      <w:pPr>
        <w:spacing w:after="0" w:line="100" w:lineRule="atLeast"/>
        <w:jc w:val="both"/>
        <w:rPr>
          <w:rFonts w:ascii="Times New Roman" w:hAnsi="Times New Roman" w:cs="Times New Roman"/>
          <w:sz w:val="24"/>
          <w:szCs w:val="24"/>
        </w:rPr>
      </w:pPr>
      <w:proofErr w:type="spellStart"/>
      <w:r w:rsidRPr="00306051">
        <w:rPr>
          <w:rFonts w:ascii="Times New Roman" w:hAnsi="Times New Roman" w:cs="Times New Roman"/>
          <w:sz w:val="24"/>
          <w:szCs w:val="24"/>
        </w:rPr>
        <w:t>Триацетин</w:t>
      </w:r>
      <w:proofErr w:type="spellEnd"/>
    </w:p>
    <w:p w14:paraId="6131B94A" w14:textId="77777777" w:rsidR="00607595" w:rsidRPr="00306051" w:rsidRDefault="00607595">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rPr>
        <w:t xml:space="preserve">FD&amp;C </w:t>
      </w:r>
      <w:r w:rsidRPr="00306051">
        <w:rPr>
          <w:rFonts w:ascii="Times New Roman" w:hAnsi="Times New Roman" w:cs="Times New Roman"/>
          <w:sz w:val="24"/>
          <w:szCs w:val="24"/>
          <w:lang w:val="kk-KZ"/>
        </w:rPr>
        <w:t>Көгілдір</w:t>
      </w:r>
      <w:r w:rsidRPr="00306051">
        <w:rPr>
          <w:rFonts w:ascii="Times New Roman" w:hAnsi="Times New Roman" w:cs="Times New Roman"/>
          <w:sz w:val="24"/>
          <w:szCs w:val="24"/>
        </w:rPr>
        <w:t xml:space="preserve"> # 2 Индигокармин </w:t>
      </w:r>
      <w:proofErr w:type="spellStart"/>
      <w:r w:rsidRPr="00306051">
        <w:rPr>
          <w:rFonts w:ascii="Times New Roman" w:hAnsi="Times New Roman" w:cs="Times New Roman"/>
          <w:sz w:val="24"/>
          <w:szCs w:val="24"/>
        </w:rPr>
        <w:t>алюмини</w:t>
      </w:r>
      <w:proofErr w:type="spellEnd"/>
      <w:r w:rsidRPr="00306051">
        <w:rPr>
          <w:rFonts w:ascii="Times New Roman" w:hAnsi="Times New Roman" w:cs="Times New Roman"/>
          <w:sz w:val="24"/>
          <w:szCs w:val="24"/>
          <w:lang w:val="kk-KZ"/>
        </w:rPr>
        <w:t>й</w:t>
      </w:r>
      <w:r w:rsidRPr="00306051">
        <w:rPr>
          <w:rFonts w:ascii="Times New Roman" w:hAnsi="Times New Roman" w:cs="Times New Roman"/>
          <w:sz w:val="24"/>
          <w:szCs w:val="24"/>
        </w:rPr>
        <w:t xml:space="preserve"> ла</w:t>
      </w:r>
      <w:r w:rsidRPr="00306051">
        <w:rPr>
          <w:rFonts w:ascii="Times New Roman" w:hAnsi="Times New Roman" w:cs="Times New Roman"/>
          <w:sz w:val="24"/>
          <w:szCs w:val="24"/>
          <w:lang w:val="kk-KZ"/>
        </w:rPr>
        <w:t>гы</w:t>
      </w:r>
      <w:r w:rsidRPr="00306051">
        <w:rPr>
          <w:rFonts w:ascii="Times New Roman" w:hAnsi="Times New Roman" w:cs="Times New Roman"/>
          <w:sz w:val="24"/>
          <w:szCs w:val="24"/>
        </w:rPr>
        <w:t xml:space="preserve"> (Е132))</w:t>
      </w:r>
    </w:p>
    <w:p w14:paraId="4B9E44AB" w14:textId="77777777" w:rsidR="00607595" w:rsidRPr="00306051" w:rsidRDefault="00607595">
      <w:pPr>
        <w:spacing w:after="0" w:line="100" w:lineRule="atLeast"/>
        <w:jc w:val="both"/>
        <w:rPr>
          <w:rFonts w:ascii="Times New Roman" w:hAnsi="Times New Roman" w:cs="Times New Roman"/>
          <w:sz w:val="24"/>
          <w:szCs w:val="24"/>
        </w:rPr>
      </w:pPr>
    </w:p>
    <w:p w14:paraId="11BD2678" w14:textId="77777777" w:rsidR="00607595" w:rsidRPr="00306051" w:rsidRDefault="00607595">
      <w:pPr>
        <w:spacing w:after="0" w:line="100" w:lineRule="atLeast"/>
        <w:jc w:val="both"/>
        <w:rPr>
          <w:rFonts w:ascii="Times New Roman" w:eastAsia="TimesNewRomanPSMT" w:hAnsi="Times New Roman" w:cs="Times New Roman"/>
          <w:sz w:val="24"/>
          <w:szCs w:val="24"/>
          <w:lang w:val="kk-KZ"/>
        </w:rPr>
      </w:pPr>
      <w:r w:rsidRPr="00306051">
        <w:rPr>
          <w:rFonts w:ascii="Times New Roman" w:hAnsi="Times New Roman" w:cs="Times New Roman"/>
          <w:b/>
          <w:sz w:val="24"/>
          <w:szCs w:val="24"/>
        </w:rPr>
        <w:t xml:space="preserve">6.2. </w:t>
      </w:r>
      <w:r w:rsidRPr="00306051">
        <w:rPr>
          <w:rFonts w:ascii="Times New Roman" w:eastAsia="TimesNewRomanPSMT" w:hAnsi="Times New Roman" w:cs="Times New Roman"/>
          <w:b/>
          <w:sz w:val="24"/>
          <w:szCs w:val="24"/>
          <w:lang w:val="kk-KZ"/>
        </w:rPr>
        <w:t>Үйлесімсіздік</w:t>
      </w:r>
    </w:p>
    <w:p w14:paraId="207994F9" w14:textId="77777777" w:rsidR="00607595" w:rsidRPr="00306051" w:rsidRDefault="00607595">
      <w:pPr>
        <w:tabs>
          <w:tab w:val="left" w:pos="1788"/>
        </w:tabs>
        <w:spacing w:after="0" w:line="100" w:lineRule="atLeast"/>
        <w:jc w:val="both"/>
        <w:rPr>
          <w:rFonts w:ascii="Times New Roman" w:hAnsi="Times New Roman" w:cs="Times New Roman"/>
          <w:b/>
          <w:sz w:val="24"/>
          <w:szCs w:val="24"/>
          <w:lang w:val="kk-KZ" w:eastAsia="ru-RU" w:bidi="ru-RU"/>
        </w:rPr>
      </w:pPr>
      <w:r w:rsidRPr="00306051">
        <w:rPr>
          <w:rFonts w:ascii="Times New Roman" w:eastAsia="TimesNewRomanPSMT" w:hAnsi="Times New Roman" w:cs="Times New Roman"/>
          <w:sz w:val="24"/>
          <w:szCs w:val="24"/>
          <w:lang w:val="kk-KZ"/>
        </w:rPr>
        <w:t>Белгісіз</w:t>
      </w:r>
      <w:r w:rsidRPr="00306051">
        <w:rPr>
          <w:rFonts w:ascii="Times New Roman" w:eastAsia="TimesNewRomanPSMT" w:hAnsi="Times New Roman" w:cs="Times New Roman"/>
          <w:sz w:val="24"/>
          <w:szCs w:val="24"/>
        </w:rPr>
        <w:t xml:space="preserve">. </w:t>
      </w:r>
      <w:r w:rsidRPr="00306051">
        <w:rPr>
          <w:rFonts w:ascii="Times New Roman" w:eastAsia="TimesNewRomanPSMT" w:hAnsi="Times New Roman" w:cs="Times New Roman"/>
          <w:sz w:val="24"/>
          <w:szCs w:val="24"/>
        </w:rPr>
        <w:tab/>
      </w:r>
    </w:p>
    <w:p w14:paraId="7354E3F4" w14:textId="77777777" w:rsidR="00607595" w:rsidRPr="00306051" w:rsidRDefault="00607595">
      <w:pPr>
        <w:spacing w:after="0" w:line="100" w:lineRule="atLeast"/>
        <w:jc w:val="both"/>
        <w:rPr>
          <w:rFonts w:ascii="Times New Roman" w:hAnsi="Times New Roman" w:cs="Times New Roman"/>
          <w:b/>
          <w:sz w:val="24"/>
          <w:szCs w:val="24"/>
          <w:lang w:val="kk-KZ" w:eastAsia="ru-RU" w:bidi="ru-RU"/>
        </w:rPr>
      </w:pPr>
    </w:p>
    <w:p w14:paraId="1AB9FD21" w14:textId="77777777" w:rsidR="00607595" w:rsidRPr="00306051" w:rsidRDefault="00607595">
      <w:pPr>
        <w:spacing w:after="0" w:line="100" w:lineRule="atLeast"/>
        <w:jc w:val="both"/>
        <w:rPr>
          <w:rFonts w:ascii="Times New Roman" w:hAnsi="Times New Roman" w:cs="Times New Roman"/>
          <w:sz w:val="24"/>
          <w:szCs w:val="24"/>
        </w:rPr>
      </w:pPr>
      <w:r w:rsidRPr="00306051">
        <w:rPr>
          <w:rFonts w:ascii="Times New Roman" w:hAnsi="Times New Roman" w:cs="Times New Roman"/>
          <w:b/>
          <w:sz w:val="24"/>
          <w:szCs w:val="24"/>
          <w:lang w:eastAsia="ru-RU" w:bidi="ru-RU"/>
        </w:rPr>
        <w:t>6.3</w:t>
      </w:r>
      <w:r w:rsidRPr="00306051">
        <w:rPr>
          <w:rFonts w:ascii="Times New Roman" w:hAnsi="Times New Roman" w:cs="Times New Roman"/>
          <w:sz w:val="24"/>
          <w:szCs w:val="24"/>
          <w:lang w:eastAsia="ru-RU" w:bidi="ru-RU"/>
        </w:rPr>
        <w:t xml:space="preserve"> </w:t>
      </w:r>
      <w:r w:rsidRPr="00306051">
        <w:rPr>
          <w:rFonts w:ascii="Times New Roman" w:hAnsi="Times New Roman" w:cs="Times New Roman"/>
          <w:b/>
          <w:sz w:val="24"/>
          <w:szCs w:val="24"/>
          <w:lang w:val="kk-KZ" w:eastAsia="ru-RU" w:bidi="ru-RU"/>
        </w:rPr>
        <w:t>Жарамдылық</w:t>
      </w:r>
      <w:r w:rsidRPr="00306051">
        <w:rPr>
          <w:rFonts w:ascii="Times New Roman" w:hAnsi="Times New Roman" w:cs="Times New Roman"/>
          <w:b/>
          <w:sz w:val="24"/>
          <w:szCs w:val="24"/>
          <w:lang w:val="kk-KZ"/>
        </w:rPr>
        <w:t xml:space="preserve"> мерзімі</w:t>
      </w:r>
    </w:p>
    <w:p w14:paraId="6C30ADA2" w14:textId="77777777" w:rsidR="00607595" w:rsidRPr="00306051" w:rsidRDefault="00C50297">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rPr>
        <w:t>3</w:t>
      </w:r>
      <w:r w:rsidR="00607595" w:rsidRPr="00306051">
        <w:rPr>
          <w:rFonts w:ascii="Times New Roman" w:hAnsi="Times New Roman" w:cs="Times New Roman"/>
          <w:sz w:val="24"/>
          <w:szCs w:val="24"/>
        </w:rPr>
        <w:t xml:space="preserve"> </w:t>
      </w:r>
      <w:r w:rsidR="00607595" w:rsidRPr="00306051">
        <w:rPr>
          <w:rFonts w:ascii="Times New Roman" w:hAnsi="Times New Roman" w:cs="Times New Roman"/>
          <w:sz w:val="24"/>
          <w:szCs w:val="24"/>
          <w:lang w:val="kk-KZ"/>
        </w:rPr>
        <w:t>жыл</w:t>
      </w:r>
    </w:p>
    <w:p w14:paraId="2282071B" w14:textId="77777777" w:rsidR="00607595" w:rsidRPr="00306051" w:rsidRDefault="00607595">
      <w:pPr>
        <w:spacing w:after="0" w:line="100" w:lineRule="atLeast"/>
        <w:jc w:val="both"/>
        <w:rPr>
          <w:rFonts w:ascii="Times New Roman" w:hAnsi="Times New Roman" w:cs="Times New Roman"/>
          <w:sz w:val="24"/>
          <w:szCs w:val="24"/>
        </w:rPr>
      </w:pPr>
      <w:r w:rsidRPr="00306051">
        <w:rPr>
          <w:rFonts w:ascii="Times New Roman" w:hAnsi="Times New Roman" w:cs="Times New Roman"/>
          <w:sz w:val="24"/>
          <w:szCs w:val="24"/>
          <w:lang w:val="kk-KZ"/>
        </w:rPr>
        <w:t>Жарамдылық мерзімі өткеннен кейін қолдануға болмайды</w:t>
      </w:r>
      <w:r w:rsidRPr="00306051">
        <w:rPr>
          <w:rFonts w:ascii="Times New Roman" w:hAnsi="Times New Roman" w:cs="Times New Roman"/>
          <w:sz w:val="24"/>
          <w:szCs w:val="24"/>
        </w:rPr>
        <w:t>.</w:t>
      </w:r>
    </w:p>
    <w:p w14:paraId="715755F8" w14:textId="77777777" w:rsidR="00607595" w:rsidRPr="00306051" w:rsidRDefault="00607595">
      <w:pPr>
        <w:spacing w:after="0" w:line="100" w:lineRule="atLeast"/>
        <w:jc w:val="both"/>
        <w:rPr>
          <w:rFonts w:ascii="Times New Roman" w:hAnsi="Times New Roman" w:cs="Times New Roman"/>
          <w:sz w:val="24"/>
          <w:szCs w:val="24"/>
        </w:rPr>
      </w:pPr>
    </w:p>
    <w:p w14:paraId="3E8A1004"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b/>
          <w:sz w:val="24"/>
          <w:szCs w:val="24"/>
        </w:rPr>
        <w:lastRenderedPageBreak/>
        <w:t xml:space="preserve">6.4. </w:t>
      </w:r>
      <w:r w:rsidRPr="00306051">
        <w:rPr>
          <w:rFonts w:ascii="Times New Roman" w:hAnsi="Times New Roman" w:cs="Times New Roman"/>
          <w:b/>
          <w:sz w:val="24"/>
          <w:szCs w:val="24"/>
          <w:lang w:val="kk-KZ" w:eastAsia="ru-RU" w:bidi="ru-RU"/>
        </w:rPr>
        <w:t>Сақтау кезіндегі ерекше сақтық шаралары</w:t>
      </w:r>
    </w:p>
    <w:p w14:paraId="51954C48"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Құрғақ, жарықтан қорғалған жерде, 30</w:t>
      </w:r>
      <w:r w:rsidR="00377EEB" w:rsidRPr="00306051">
        <w:rPr>
          <w:rFonts w:ascii="Times New Roman" w:hAnsi="Times New Roman" w:cs="Times New Roman"/>
          <w:sz w:val="24"/>
          <w:szCs w:val="24"/>
        </w:rPr>
        <w:t xml:space="preserve"> </w:t>
      </w:r>
      <w:r w:rsidRPr="00306051">
        <w:rPr>
          <w:rFonts w:ascii="Times New Roman" w:hAnsi="Times New Roman" w:cs="Times New Roman"/>
          <w:sz w:val="24"/>
          <w:szCs w:val="24"/>
          <w:vertAlign w:val="superscript"/>
          <w:lang w:val="kk-KZ"/>
        </w:rPr>
        <w:t>0</w:t>
      </w:r>
      <w:r w:rsidRPr="00306051">
        <w:rPr>
          <w:rFonts w:ascii="Times New Roman" w:hAnsi="Times New Roman" w:cs="Times New Roman"/>
          <w:sz w:val="24"/>
          <w:szCs w:val="24"/>
          <w:lang w:val="kk-KZ"/>
        </w:rPr>
        <w:t>С-ден аспайтын температурада сақтау керек.</w:t>
      </w:r>
    </w:p>
    <w:p w14:paraId="679C5666"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Балалардың қолы жетпейтін жерде сақтау керек!</w:t>
      </w:r>
    </w:p>
    <w:p w14:paraId="73AB64A3" w14:textId="77777777" w:rsidR="00607595" w:rsidRPr="00306051" w:rsidRDefault="00607595">
      <w:pPr>
        <w:spacing w:after="0" w:line="100" w:lineRule="atLeast"/>
        <w:jc w:val="both"/>
        <w:rPr>
          <w:rFonts w:ascii="Times New Roman" w:hAnsi="Times New Roman" w:cs="Times New Roman"/>
          <w:sz w:val="24"/>
          <w:szCs w:val="24"/>
          <w:lang w:val="kk-KZ"/>
        </w:rPr>
      </w:pPr>
    </w:p>
    <w:p w14:paraId="1140BC66" w14:textId="77777777" w:rsidR="00607595" w:rsidRPr="00306051" w:rsidRDefault="00607595">
      <w:pPr>
        <w:spacing w:after="0" w:line="100" w:lineRule="atLeast"/>
        <w:jc w:val="both"/>
        <w:rPr>
          <w:rFonts w:ascii="Times New Roman" w:hAnsi="Times New Roman" w:cs="Times New Roman"/>
          <w:sz w:val="24"/>
          <w:szCs w:val="24"/>
          <w:lang w:val="kk-KZ"/>
        </w:rPr>
      </w:pPr>
      <w:r w:rsidRPr="00306051">
        <w:rPr>
          <w:rFonts w:ascii="Times New Roman" w:hAnsi="Times New Roman" w:cs="Times New Roman"/>
          <w:b/>
          <w:sz w:val="24"/>
          <w:szCs w:val="24"/>
          <w:lang w:val="kk-KZ"/>
        </w:rPr>
        <w:t>6.5. Шығарылу түрі және қаптамасы</w:t>
      </w:r>
    </w:p>
    <w:p w14:paraId="7B886034" w14:textId="77777777" w:rsidR="00607595" w:rsidRPr="00306051" w:rsidRDefault="00180238" w:rsidP="0035657F">
      <w:pPr>
        <w:spacing w:after="0" w:line="240" w:lineRule="auto"/>
        <w:jc w:val="both"/>
        <w:rPr>
          <w:rFonts w:ascii="Times New Roman" w:hAnsi="Times New Roman" w:cs="Times New Roman"/>
          <w:sz w:val="24"/>
          <w:szCs w:val="24"/>
          <w:lang w:val="kk-KZ"/>
        </w:rPr>
      </w:pPr>
      <w:r w:rsidRPr="00306051">
        <w:rPr>
          <w:rFonts w:ascii="Times New Roman" w:hAnsi="Times New Roman" w:cs="Times New Roman"/>
          <w:sz w:val="24"/>
          <w:szCs w:val="24"/>
          <w:lang w:val="kk-KZ"/>
        </w:rPr>
        <w:t xml:space="preserve">30 немесе 90 таблеткадан </w:t>
      </w:r>
      <w:r>
        <w:rPr>
          <w:rFonts w:ascii="Times New Roman" w:hAnsi="Times New Roman" w:cs="Times New Roman"/>
          <w:sz w:val="24"/>
          <w:szCs w:val="24"/>
          <w:lang w:val="kk-KZ"/>
        </w:rPr>
        <w:t>т</w:t>
      </w:r>
      <w:r w:rsidR="00607595" w:rsidRPr="00306051">
        <w:rPr>
          <w:rFonts w:ascii="Times New Roman" w:hAnsi="Times New Roman" w:cs="Times New Roman"/>
          <w:sz w:val="24"/>
          <w:szCs w:val="24"/>
          <w:lang w:val="kk-KZ"/>
        </w:rPr>
        <w:t xml:space="preserve">ығыздығы жоғары полиэтилен контейнерге </w:t>
      </w:r>
      <w:r w:rsidR="008A0609" w:rsidRPr="00306051">
        <w:rPr>
          <w:rFonts w:ascii="Times New Roman" w:hAnsi="Times New Roman" w:cs="Times New Roman"/>
          <w:sz w:val="24"/>
          <w:szCs w:val="24"/>
          <w:lang w:val="kk-KZ"/>
        </w:rPr>
        <w:t>салынады</w:t>
      </w:r>
      <w:r w:rsidR="00607595" w:rsidRPr="00306051">
        <w:rPr>
          <w:rFonts w:ascii="Times New Roman" w:hAnsi="Times New Roman" w:cs="Times New Roman"/>
          <w:sz w:val="24"/>
          <w:szCs w:val="24"/>
          <w:lang w:val="kk-KZ"/>
        </w:rPr>
        <w:t>. Құтыда ылғал сіңіргіш силикагель болады.</w:t>
      </w:r>
    </w:p>
    <w:p w14:paraId="39DFB236" w14:textId="77777777" w:rsidR="00607595" w:rsidRPr="00306051" w:rsidRDefault="00607595" w:rsidP="0035657F">
      <w:pPr>
        <w:spacing w:after="0" w:line="240" w:lineRule="auto"/>
        <w:jc w:val="both"/>
        <w:rPr>
          <w:rFonts w:ascii="Times New Roman" w:hAnsi="Times New Roman" w:cs="Times New Roman"/>
          <w:bCs/>
          <w:sz w:val="24"/>
          <w:szCs w:val="24"/>
          <w:lang w:val="kk-KZ"/>
        </w:rPr>
      </w:pPr>
      <w:r w:rsidRPr="00306051">
        <w:rPr>
          <w:rFonts w:ascii="Times New Roman" w:hAnsi="Times New Roman" w:cs="Times New Roman"/>
          <w:sz w:val="24"/>
          <w:szCs w:val="24"/>
          <w:lang w:val="kk-KZ"/>
        </w:rPr>
        <w:t>Контейнерге өздігінен желімденетін заттаңба және медициналық қолдану жөніндегі қазақ және орыс тілдеріндегі нұсқаулық жабыстырылады</w:t>
      </w:r>
      <w:r w:rsidRPr="00306051">
        <w:rPr>
          <w:rFonts w:ascii="Times New Roman" w:eastAsia="Batang" w:hAnsi="Times New Roman" w:cs="Times New Roman"/>
          <w:sz w:val="24"/>
          <w:szCs w:val="24"/>
          <w:lang w:val="kk-KZ"/>
        </w:rPr>
        <w:t>.</w:t>
      </w:r>
    </w:p>
    <w:p w14:paraId="55C49D41" w14:textId="77777777" w:rsidR="00607595" w:rsidRPr="00306051" w:rsidRDefault="00607595">
      <w:pPr>
        <w:spacing w:after="0" w:line="100" w:lineRule="atLeast"/>
        <w:jc w:val="both"/>
        <w:rPr>
          <w:rFonts w:ascii="Times New Roman" w:hAnsi="Times New Roman" w:cs="Times New Roman"/>
          <w:bCs/>
          <w:sz w:val="24"/>
          <w:szCs w:val="24"/>
          <w:lang w:val="kk-KZ"/>
        </w:rPr>
      </w:pPr>
    </w:p>
    <w:p w14:paraId="72D1A612" w14:textId="77777777" w:rsidR="00607595" w:rsidRPr="00306051" w:rsidRDefault="00607595">
      <w:pPr>
        <w:spacing w:after="0" w:line="100" w:lineRule="atLeast"/>
        <w:jc w:val="both"/>
        <w:rPr>
          <w:rFonts w:ascii="Times New Roman" w:eastAsia="Microsoft Sans Serif" w:hAnsi="Times New Roman" w:cs="Times New Roman"/>
          <w:sz w:val="24"/>
          <w:szCs w:val="24"/>
          <w:lang w:val="kk-KZ" w:eastAsia="ru-RU" w:bidi="ru-RU"/>
        </w:rPr>
      </w:pPr>
      <w:r w:rsidRPr="00306051">
        <w:rPr>
          <w:rFonts w:ascii="Times New Roman" w:hAnsi="Times New Roman" w:cs="Times New Roman"/>
          <w:b/>
          <w:bCs/>
          <w:sz w:val="24"/>
          <w:szCs w:val="24"/>
          <w:lang w:val="kk-KZ"/>
        </w:rPr>
        <w:t xml:space="preserve">6.6. </w:t>
      </w:r>
      <w:r w:rsidRPr="00306051">
        <w:rPr>
          <w:rFonts w:ascii="Times New Roman" w:eastAsia="TimesNewRomanPSMT" w:hAnsi="Times New Roman" w:cs="Times New Roman"/>
          <w:b/>
          <w:sz w:val="24"/>
          <w:szCs w:val="24"/>
          <w:lang w:val="kk-KZ"/>
        </w:rPr>
        <w:t>Пайдаланылған  дәрілік препаратты немесе дәрілік препаратты қолданудан кейін немесе онымен жұмыс істеуден кейін алынған қалдықтарды жою кезіндегі ерекше сақтық шаралары</w:t>
      </w:r>
    </w:p>
    <w:p w14:paraId="6FDCEA1C" w14:textId="77777777" w:rsidR="00607595" w:rsidRPr="00306051" w:rsidRDefault="00607595">
      <w:pPr>
        <w:spacing w:after="0" w:line="100" w:lineRule="atLeast"/>
        <w:jc w:val="both"/>
        <w:rPr>
          <w:rFonts w:ascii="Times New Roman" w:hAnsi="Times New Roman" w:cs="Times New Roman"/>
          <w:bCs/>
          <w:sz w:val="24"/>
          <w:szCs w:val="24"/>
          <w:lang w:val="uk-UA"/>
        </w:rPr>
      </w:pPr>
      <w:r w:rsidRPr="00306051">
        <w:rPr>
          <w:rFonts w:ascii="Times New Roman" w:eastAsia="Microsoft Sans Serif" w:hAnsi="Times New Roman" w:cs="Times New Roman"/>
          <w:sz w:val="24"/>
          <w:szCs w:val="24"/>
          <w:lang w:val="kk-KZ" w:eastAsia="ru-RU" w:bidi="ru-RU"/>
        </w:rPr>
        <w:t>Бүкіл дәрілік</w:t>
      </w:r>
      <w:r w:rsidRPr="00306051">
        <w:rPr>
          <w:rFonts w:ascii="Times New Roman" w:eastAsia="Microsoft Sans Serif" w:hAnsi="Times New Roman" w:cs="Times New Roman"/>
          <w:sz w:val="24"/>
          <w:szCs w:val="24"/>
          <w:lang w:val="uk-UA" w:eastAsia="ru-RU" w:bidi="ru-RU"/>
        </w:rPr>
        <w:t xml:space="preserve"> препарат</w:t>
      </w:r>
      <w:r w:rsidRPr="00306051">
        <w:rPr>
          <w:rFonts w:ascii="Times New Roman" w:eastAsia="Microsoft Sans Serif" w:hAnsi="Times New Roman" w:cs="Times New Roman"/>
          <w:sz w:val="24"/>
          <w:szCs w:val="24"/>
          <w:lang w:val="kk-KZ" w:eastAsia="ru-RU" w:bidi="ru-RU"/>
        </w:rPr>
        <w:t>тың</w:t>
      </w:r>
      <w:r w:rsidRPr="00306051">
        <w:rPr>
          <w:rFonts w:ascii="Times New Roman" w:eastAsia="Microsoft Sans Serif" w:hAnsi="Times New Roman" w:cs="Times New Roman"/>
          <w:sz w:val="24"/>
          <w:szCs w:val="24"/>
          <w:lang w:val="uk-UA" w:eastAsia="ru-RU" w:bidi="ru-RU"/>
        </w:rPr>
        <w:t xml:space="preserve"> </w:t>
      </w:r>
      <w:r w:rsidRPr="00306051">
        <w:rPr>
          <w:rFonts w:ascii="Times New Roman" w:eastAsia="Microsoft Sans Serif" w:hAnsi="Times New Roman" w:cs="Times New Roman"/>
          <w:sz w:val="24"/>
          <w:szCs w:val="24"/>
          <w:lang w:val="kk-KZ" w:eastAsia="ru-RU" w:bidi="ru-RU"/>
        </w:rPr>
        <w:t>қалғанын және қалдықтарын</w:t>
      </w:r>
      <w:r w:rsidRPr="00306051">
        <w:rPr>
          <w:rFonts w:ascii="Times New Roman" w:eastAsia="Microsoft Sans Serif" w:hAnsi="Times New Roman" w:cs="Times New Roman"/>
          <w:sz w:val="24"/>
          <w:szCs w:val="24"/>
          <w:lang w:val="uk-UA" w:eastAsia="ru-RU" w:bidi="ru-RU"/>
        </w:rPr>
        <w:t xml:space="preserve"> </w:t>
      </w:r>
      <w:r w:rsidRPr="00306051">
        <w:rPr>
          <w:rFonts w:ascii="Times New Roman" w:eastAsia="Microsoft Sans Serif" w:hAnsi="Times New Roman" w:cs="Times New Roman"/>
          <w:sz w:val="24"/>
          <w:szCs w:val="24"/>
          <w:lang w:val="kk-KZ" w:eastAsia="ru-RU" w:bidi="ru-RU"/>
        </w:rPr>
        <w:t>белгіленген тәртіппен жою керек</w:t>
      </w:r>
      <w:r w:rsidRPr="00306051">
        <w:rPr>
          <w:rFonts w:ascii="Times New Roman" w:hAnsi="Times New Roman" w:cs="Times New Roman"/>
          <w:bCs/>
          <w:sz w:val="24"/>
          <w:szCs w:val="24"/>
          <w:lang w:val="uk-UA"/>
        </w:rPr>
        <w:t>.</w:t>
      </w:r>
    </w:p>
    <w:p w14:paraId="090E31D5" w14:textId="77777777" w:rsidR="00607595" w:rsidRPr="00306051" w:rsidRDefault="00607595">
      <w:pPr>
        <w:spacing w:after="0" w:line="100" w:lineRule="atLeast"/>
        <w:jc w:val="both"/>
        <w:rPr>
          <w:rFonts w:ascii="Times New Roman" w:hAnsi="Times New Roman" w:cs="Times New Roman"/>
          <w:bCs/>
          <w:sz w:val="24"/>
          <w:szCs w:val="24"/>
          <w:lang w:val="uk-UA"/>
        </w:rPr>
      </w:pPr>
    </w:p>
    <w:p w14:paraId="009A5D06" w14:textId="77777777" w:rsidR="00607595" w:rsidRPr="00306051" w:rsidRDefault="00607595">
      <w:pPr>
        <w:pStyle w:val="1e"/>
        <w:jc w:val="both"/>
        <w:rPr>
          <w:sz w:val="24"/>
          <w:szCs w:val="24"/>
          <w:lang w:val="kk-KZ"/>
        </w:rPr>
      </w:pPr>
      <w:r w:rsidRPr="00306051">
        <w:rPr>
          <w:b/>
          <w:bCs/>
          <w:sz w:val="24"/>
          <w:szCs w:val="28"/>
        </w:rPr>
        <w:t xml:space="preserve">6.7. </w:t>
      </w:r>
      <w:r w:rsidRPr="00306051">
        <w:rPr>
          <w:b/>
          <w:bCs/>
          <w:sz w:val="24"/>
          <w:szCs w:val="24"/>
          <w:lang w:val="kk-KZ"/>
        </w:rPr>
        <w:t>Дәріханалардан босатылу шарттары</w:t>
      </w:r>
    </w:p>
    <w:p w14:paraId="3CEF5BD6" w14:textId="77777777" w:rsidR="00607595" w:rsidRPr="00306051" w:rsidRDefault="00607595">
      <w:pPr>
        <w:spacing w:after="0"/>
        <w:jc w:val="both"/>
        <w:rPr>
          <w:rFonts w:ascii="Times New Roman" w:hAnsi="Times New Roman" w:cs="Times New Roman"/>
          <w:bCs/>
          <w:szCs w:val="24"/>
          <w:lang w:val="uk-UA"/>
        </w:rPr>
      </w:pPr>
      <w:r w:rsidRPr="00306051">
        <w:rPr>
          <w:rFonts w:ascii="Times New Roman" w:hAnsi="Times New Roman" w:cs="Times New Roman"/>
          <w:sz w:val="24"/>
          <w:szCs w:val="24"/>
          <w:lang w:val="kk-KZ"/>
        </w:rPr>
        <w:t xml:space="preserve">Рецепт арқылы </w:t>
      </w:r>
    </w:p>
    <w:p w14:paraId="45A30479" w14:textId="77777777" w:rsidR="00607595" w:rsidRPr="00306051" w:rsidRDefault="00607595">
      <w:pPr>
        <w:spacing w:after="0" w:line="100" w:lineRule="atLeast"/>
        <w:jc w:val="both"/>
        <w:rPr>
          <w:rFonts w:ascii="Times New Roman" w:hAnsi="Times New Roman" w:cs="Times New Roman"/>
          <w:bCs/>
          <w:szCs w:val="24"/>
          <w:lang w:val="uk-UA"/>
        </w:rPr>
      </w:pPr>
    </w:p>
    <w:p w14:paraId="19EF7232" w14:textId="77777777" w:rsidR="00607595" w:rsidRPr="00306051" w:rsidRDefault="00607595">
      <w:pPr>
        <w:spacing w:after="0" w:line="100" w:lineRule="atLeast"/>
        <w:jc w:val="both"/>
        <w:rPr>
          <w:rFonts w:ascii="Times New Roman" w:hAnsi="Times New Roman" w:cs="Times New Roman"/>
          <w:bCs/>
          <w:sz w:val="24"/>
          <w:szCs w:val="24"/>
          <w:lang w:val="kk-KZ"/>
        </w:rPr>
      </w:pPr>
      <w:r w:rsidRPr="00306051">
        <w:rPr>
          <w:rFonts w:ascii="Times New Roman" w:hAnsi="Times New Roman" w:cs="Times New Roman"/>
          <w:b/>
          <w:bCs/>
          <w:sz w:val="24"/>
          <w:szCs w:val="24"/>
          <w:lang w:val="uk-UA"/>
        </w:rPr>
        <w:t>7.</w:t>
      </w:r>
      <w:r w:rsidRPr="00306051">
        <w:rPr>
          <w:rFonts w:ascii="Times New Roman" w:hAnsi="Times New Roman" w:cs="Times New Roman"/>
          <w:b/>
          <w:bCs/>
          <w:sz w:val="24"/>
          <w:szCs w:val="24"/>
        </w:rPr>
        <w:t> </w:t>
      </w:r>
      <w:r w:rsidRPr="00306051">
        <w:rPr>
          <w:rFonts w:ascii="Times New Roman" w:hAnsi="Times New Roman" w:cs="Times New Roman"/>
          <w:b/>
          <w:sz w:val="24"/>
          <w:szCs w:val="24"/>
          <w:lang w:val="uk-UA"/>
        </w:rPr>
        <w:t>ТІРКЕУ КУӘЛІГІНІҢ ҰСТАУШЫСЫ</w:t>
      </w:r>
    </w:p>
    <w:p w14:paraId="11FCB2A5" w14:textId="77777777" w:rsidR="00607595" w:rsidRPr="00306051" w:rsidRDefault="00607595">
      <w:pPr>
        <w:spacing w:after="0" w:line="100" w:lineRule="atLeast"/>
        <w:jc w:val="both"/>
        <w:rPr>
          <w:rFonts w:ascii="Times New Roman" w:hAnsi="Times New Roman" w:cs="Times New Roman"/>
          <w:bCs/>
          <w:sz w:val="24"/>
          <w:szCs w:val="24"/>
          <w:lang w:val="en-US"/>
        </w:rPr>
      </w:pPr>
      <w:r w:rsidRPr="00306051">
        <w:rPr>
          <w:rFonts w:ascii="Times New Roman" w:hAnsi="Times New Roman" w:cs="Times New Roman"/>
          <w:bCs/>
          <w:sz w:val="24"/>
          <w:szCs w:val="24"/>
          <w:lang w:val="kk-KZ"/>
        </w:rPr>
        <w:t>Үндістан</w:t>
      </w:r>
    </w:p>
    <w:p w14:paraId="265E2C8C" w14:textId="77777777" w:rsidR="00607595" w:rsidRPr="00306051" w:rsidRDefault="00607595">
      <w:pPr>
        <w:spacing w:after="0" w:line="100" w:lineRule="atLeast"/>
        <w:jc w:val="both"/>
        <w:rPr>
          <w:rFonts w:ascii="Times New Roman" w:hAnsi="Times New Roman" w:cs="Times New Roman"/>
          <w:bCs/>
          <w:sz w:val="24"/>
          <w:szCs w:val="24"/>
          <w:lang w:val="en-US"/>
        </w:rPr>
      </w:pPr>
      <w:r w:rsidRPr="00306051">
        <w:rPr>
          <w:rFonts w:ascii="Times New Roman" w:hAnsi="Times New Roman" w:cs="Times New Roman"/>
          <w:bCs/>
          <w:sz w:val="24"/>
          <w:szCs w:val="24"/>
          <w:lang w:val="en-US"/>
        </w:rPr>
        <w:t xml:space="preserve">Laurus Labs Limited (Unit-II), </w:t>
      </w:r>
    </w:p>
    <w:p w14:paraId="05DFD114" w14:textId="77777777" w:rsidR="00607595" w:rsidRPr="00306051" w:rsidRDefault="00607595">
      <w:pPr>
        <w:spacing w:after="0" w:line="100" w:lineRule="atLeast"/>
        <w:jc w:val="both"/>
        <w:rPr>
          <w:rFonts w:ascii="Times New Roman" w:hAnsi="Times New Roman" w:cs="Times New Roman"/>
          <w:bCs/>
          <w:iCs/>
          <w:sz w:val="24"/>
          <w:szCs w:val="24"/>
          <w:lang w:val="kk-KZ"/>
        </w:rPr>
      </w:pPr>
      <w:r w:rsidRPr="00306051">
        <w:rPr>
          <w:rFonts w:ascii="Times New Roman" w:hAnsi="Times New Roman" w:cs="Times New Roman"/>
          <w:bCs/>
          <w:sz w:val="24"/>
          <w:szCs w:val="24"/>
          <w:lang w:val="en-US"/>
        </w:rPr>
        <w:t xml:space="preserve">Plot No.: 19, 20 &amp; 21, Western Sector, APSEZ, </w:t>
      </w:r>
      <w:proofErr w:type="spellStart"/>
      <w:r w:rsidRPr="00306051">
        <w:rPr>
          <w:rFonts w:ascii="Times New Roman" w:hAnsi="Times New Roman" w:cs="Times New Roman"/>
          <w:bCs/>
          <w:sz w:val="24"/>
          <w:szCs w:val="24"/>
          <w:lang w:val="en-US"/>
        </w:rPr>
        <w:t>Atchutapuram</w:t>
      </w:r>
      <w:proofErr w:type="spellEnd"/>
      <w:r w:rsidRPr="00306051">
        <w:rPr>
          <w:rFonts w:ascii="Times New Roman" w:hAnsi="Times New Roman" w:cs="Times New Roman"/>
          <w:bCs/>
          <w:sz w:val="24"/>
          <w:szCs w:val="24"/>
          <w:lang w:val="en-US"/>
        </w:rPr>
        <w:t xml:space="preserve"> Mandal, Visakhapatnam District – 531011, Andhra Pradesh, </w:t>
      </w:r>
      <w:r w:rsidRPr="00306051">
        <w:rPr>
          <w:rFonts w:ascii="Times New Roman" w:hAnsi="Times New Roman" w:cs="Times New Roman"/>
          <w:bCs/>
          <w:sz w:val="24"/>
          <w:szCs w:val="24"/>
          <w:lang w:val="kk-KZ"/>
        </w:rPr>
        <w:t>Үндістан.</w:t>
      </w:r>
    </w:p>
    <w:p w14:paraId="7664940D" w14:textId="77777777" w:rsidR="00607595" w:rsidRPr="00306051" w:rsidRDefault="00607595">
      <w:pPr>
        <w:spacing w:after="0" w:line="100" w:lineRule="atLeast"/>
        <w:jc w:val="both"/>
        <w:rPr>
          <w:rFonts w:ascii="Times New Roman" w:hAnsi="Times New Roman" w:cs="Times New Roman"/>
          <w:bCs/>
          <w:sz w:val="24"/>
          <w:szCs w:val="24"/>
          <w:lang w:val="kk-KZ"/>
        </w:rPr>
      </w:pPr>
      <w:r w:rsidRPr="00306051">
        <w:rPr>
          <w:rFonts w:ascii="Times New Roman" w:hAnsi="Times New Roman" w:cs="Times New Roman"/>
          <w:bCs/>
          <w:iCs/>
          <w:sz w:val="24"/>
          <w:szCs w:val="24"/>
          <w:lang w:val="kk-KZ"/>
        </w:rPr>
        <w:t>тел. +914039804333/23420500/501</w:t>
      </w:r>
    </w:p>
    <w:p w14:paraId="0B90A1E0" w14:textId="77777777" w:rsidR="00607595" w:rsidRPr="00306051" w:rsidRDefault="00525C29">
      <w:pPr>
        <w:spacing w:after="0" w:line="100" w:lineRule="atLeast"/>
        <w:jc w:val="both"/>
        <w:rPr>
          <w:rFonts w:ascii="Times New Roman" w:hAnsi="Times New Roman" w:cs="Times New Roman"/>
          <w:bCs/>
          <w:sz w:val="24"/>
          <w:szCs w:val="24"/>
          <w:lang w:val="kk-KZ"/>
        </w:rPr>
      </w:pPr>
      <w:r>
        <w:fldChar w:fldCharType="begin"/>
      </w:r>
      <w:r w:rsidRPr="007A5E44">
        <w:rPr>
          <w:lang w:val="kk-KZ"/>
        </w:rPr>
        <w:instrText xml:space="preserve"> HYPERLINK "mailto:info@lauruslabs.com" </w:instrText>
      </w:r>
      <w:r>
        <w:fldChar w:fldCharType="separate"/>
      </w:r>
      <w:r w:rsidR="007670F9" w:rsidRPr="00306051">
        <w:rPr>
          <w:rStyle w:val="a4"/>
          <w:rFonts w:ascii="Times New Roman" w:hAnsi="Times New Roman" w:cs="Times New Roman"/>
          <w:bCs/>
          <w:sz w:val="24"/>
          <w:szCs w:val="24"/>
          <w:lang w:val="kk-KZ"/>
        </w:rPr>
        <w:t>info@lauruslabs.com</w:t>
      </w:r>
      <w:r>
        <w:rPr>
          <w:rStyle w:val="a4"/>
          <w:rFonts w:ascii="Times New Roman" w:hAnsi="Times New Roman" w:cs="Times New Roman"/>
          <w:bCs/>
          <w:sz w:val="24"/>
          <w:szCs w:val="24"/>
          <w:lang w:val="kk-KZ"/>
        </w:rPr>
        <w:fldChar w:fldCharType="end"/>
      </w:r>
    </w:p>
    <w:p w14:paraId="469EB843" w14:textId="77777777" w:rsidR="007670F9" w:rsidRPr="00306051" w:rsidRDefault="007670F9">
      <w:pPr>
        <w:spacing w:after="0" w:line="100" w:lineRule="atLeast"/>
        <w:jc w:val="both"/>
        <w:rPr>
          <w:rFonts w:ascii="Times New Roman" w:hAnsi="Times New Roman" w:cs="Times New Roman"/>
          <w:b/>
          <w:bCs/>
          <w:iCs/>
          <w:sz w:val="24"/>
          <w:szCs w:val="24"/>
          <w:lang w:val="kk-KZ"/>
        </w:rPr>
      </w:pPr>
    </w:p>
    <w:p w14:paraId="520FAA6C" w14:textId="77777777" w:rsidR="00607595" w:rsidRPr="00306051" w:rsidRDefault="00607595">
      <w:pPr>
        <w:spacing w:after="0"/>
        <w:jc w:val="both"/>
        <w:rPr>
          <w:rFonts w:ascii="Times New Roman" w:hAnsi="Times New Roman" w:cs="Times New Roman"/>
          <w:bCs/>
          <w:iCs/>
          <w:sz w:val="24"/>
          <w:szCs w:val="24"/>
          <w:lang w:val="kk-KZ"/>
        </w:rPr>
      </w:pPr>
      <w:r w:rsidRPr="00306051">
        <w:rPr>
          <w:rFonts w:ascii="Times New Roman" w:hAnsi="Times New Roman" w:cs="Times New Roman"/>
          <w:b/>
          <w:bCs/>
          <w:iCs/>
          <w:sz w:val="24"/>
          <w:szCs w:val="24"/>
          <w:lang w:val="kk-KZ"/>
        </w:rPr>
        <w:t xml:space="preserve">7.1. </w:t>
      </w:r>
      <w:r w:rsidRPr="00306051">
        <w:rPr>
          <w:rFonts w:ascii="Times New Roman" w:hAnsi="Times New Roman" w:cs="Times New Roman"/>
          <w:b/>
          <w:sz w:val="24"/>
          <w:szCs w:val="24"/>
          <w:lang w:val="uk-UA"/>
        </w:rPr>
        <w:t>ТІРКЕУ КУӘЛІГІН ҰСТАУШЫСЫНЫҢ ӨКІЛІ</w:t>
      </w:r>
      <w:r w:rsidRPr="00306051">
        <w:rPr>
          <w:rFonts w:ascii="Times New Roman" w:hAnsi="Times New Roman" w:cs="Times New Roman"/>
          <w:b/>
          <w:bCs/>
          <w:iCs/>
          <w:sz w:val="24"/>
          <w:szCs w:val="24"/>
          <w:lang w:val="kk-KZ"/>
        </w:rPr>
        <w:t>.</w:t>
      </w:r>
    </w:p>
    <w:p w14:paraId="3E09C109" w14:textId="77777777" w:rsidR="00607595" w:rsidRPr="00306051" w:rsidRDefault="00607595">
      <w:pPr>
        <w:spacing w:after="0" w:line="100" w:lineRule="atLeast"/>
        <w:jc w:val="both"/>
        <w:rPr>
          <w:rFonts w:ascii="Times New Roman" w:hAnsi="Times New Roman" w:cs="Times New Roman"/>
          <w:bCs/>
          <w:iCs/>
          <w:sz w:val="24"/>
          <w:szCs w:val="24"/>
          <w:lang w:val="kk-KZ"/>
        </w:rPr>
      </w:pPr>
      <w:r w:rsidRPr="00306051">
        <w:rPr>
          <w:rFonts w:ascii="Times New Roman" w:hAnsi="Times New Roman" w:cs="Times New Roman"/>
          <w:bCs/>
          <w:iCs/>
          <w:sz w:val="24"/>
          <w:szCs w:val="24"/>
          <w:lang w:val="kk-KZ"/>
        </w:rPr>
        <w:t>Тұтынушылардың шағымдарын мына мекенжайға жолдаңыз:</w:t>
      </w:r>
    </w:p>
    <w:p w14:paraId="173F3AE8" w14:textId="77777777" w:rsidR="00607595" w:rsidRPr="00306051" w:rsidRDefault="00607595">
      <w:pPr>
        <w:spacing w:after="0" w:line="100" w:lineRule="atLeast"/>
        <w:jc w:val="both"/>
        <w:rPr>
          <w:rFonts w:ascii="Times New Roman" w:hAnsi="Times New Roman" w:cs="Times New Roman"/>
          <w:bCs/>
          <w:iCs/>
          <w:sz w:val="24"/>
          <w:szCs w:val="24"/>
          <w:lang w:val="kk-KZ"/>
        </w:rPr>
      </w:pPr>
      <w:r w:rsidRPr="00306051">
        <w:rPr>
          <w:rFonts w:ascii="Times New Roman" w:hAnsi="Times New Roman" w:cs="Times New Roman"/>
          <w:bCs/>
          <w:iCs/>
          <w:sz w:val="24"/>
          <w:szCs w:val="24"/>
          <w:lang w:val="kk-KZ"/>
        </w:rPr>
        <w:t>Қазақстан</w:t>
      </w:r>
    </w:p>
    <w:p w14:paraId="6FC39871" w14:textId="77777777" w:rsidR="00607595" w:rsidRPr="00306051" w:rsidRDefault="00607595">
      <w:pPr>
        <w:spacing w:after="0" w:line="240" w:lineRule="auto"/>
        <w:jc w:val="both"/>
        <w:rPr>
          <w:rFonts w:ascii="Times New Roman" w:hAnsi="Times New Roman" w:cs="Times New Roman"/>
          <w:bCs/>
          <w:iCs/>
          <w:sz w:val="24"/>
          <w:szCs w:val="24"/>
          <w:lang w:val="kk-KZ"/>
        </w:rPr>
      </w:pPr>
      <w:r w:rsidRPr="00306051">
        <w:rPr>
          <w:rFonts w:ascii="Times New Roman" w:hAnsi="Times New Roman" w:cs="Times New Roman"/>
          <w:bCs/>
          <w:iCs/>
          <w:sz w:val="24"/>
          <w:szCs w:val="24"/>
          <w:lang w:val="kk-KZ"/>
        </w:rPr>
        <w:t>Канумуру И. Г.</w:t>
      </w:r>
      <w:r w:rsidRPr="00306051">
        <w:rPr>
          <w:rFonts w:ascii="Times New Roman" w:hAnsi="Times New Roman" w:cs="Times New Roman"/>
          <w:bCs/>
          <w:iCs/>
          <w:sz w:val="24"/>
          <w:szCs w:val="24"/>
          <w:lang w:val="de-DE"/>
        </w:rPr>
        <w:t xml:space="preserve">, </w:t>
      </w:r>
    </w:p>
    <w:p w14:paraId="3DBC0FCD" w14:textId="77777777" w:rsidR="00607595" w:rsidRPr="00202CAB" w:rsidRDefault="00607595">
      <w:pPr>
        <w:spacing w:after="0" w:line="100" w:lineRule="atLeast"/>
        <w:jc w:val="both"/>
        <w:rPr>
          <w:rFonts w:ascii="Times New Roman" w:hAnsi="Times New Roman" w:cs="Times New Roman"/>
          <w:bCs/>
          <w:iCs/>
          <w:sz w:val="24"/>
          <w:szCs w:val="24"/>
          <w:lang w:val="kk-KZ"/>
        </w:rPr>
      </w:pPr>
      <w:r w:rsidRPr="00306051">
        <w:rPr>
          <w:rFonts w:ascii="Times New Roman" w:hAnsi="Times New Roman" w:cs="Times New Roman"/>
          <w:bCs/>
          <w:iCs/>
          <w:sz w:val="24"/>
          <w:szCs w:val="24"/>
          <w:lang w:val="kk-KZ"/>
        </w:rPr>
        <w:t>050043, Алматы қ., Мирас ықшам</w:t>
      </w:r>
      <w:r w:rsidR="00BA64AE" w:rsidRPr="00306051">
        <w:rPr>
          <w:rFonts w:ascii="Times New Roman" w:hAnsi="Times New Roman" w:cs="Times New Roman"/>
          <w:bCs/>
          <w:iCs/>
          <w:sz w:val="24"/>
          <w:szCs w:val="24"/>
          <w:lang w:val="kk-KZ"/>
        </w:rPr>
        <w:t xml:space="preserve"> </w:t>
      </w:r>
      <w:r w:rsidRPr="00306051">
        <w:rPr>
          <w:rFonts w:ascii="Times New Roman" w:hAnsi="Times New Roman" w:cs="Times New Roman"/>
          <w:bCs/>
          <w:iCs/>
          <w:sz w:val="24"/>
          <w:szCs w:val="24"/>
          <w:lang w:val="kk-KZ"/>
        </w:rPr>
        <w:t>ауданы 157</w:t>
      </w:r>
      <w:r w:rsidR="00BA64AE" w:rsidRPr="00306051">
        <w:rPr>
          <w:rFonts w:ascii="Times New Roman" w:hAnsi="Times New Roman" w:cs="Times New Roman"/>
          <w:bCs/>
          <w:iCs/>
          <w:sz w:val="24"/>
          <w:szCs w:val="24"/>
          <w:lang w:val="kk-KZ"/>
        </w:rPr>
        <w:t xml:space="preserve">, </w:t>
      </w:r>
      <w:r w:rsidR="00180238" w:rsidRPr="00180238">
        <w:rPr>
          <w:rFonts w:ascii="Times New Roman" w:hAnsi="Times New Roman" w:cs="Times New Roman"/>
          <w:bCs/>
          <w:iCs/>
          <w:sz w:val="24"/>
          <w:szCs w:val="24"/>
          <w:lang w:val="kk-KZ"/>
        </w:rPr>
        <w:t>819</w:t>
      </w:r>
      <w:r w:rsidR="00180238">
        <w:rPr>
          <w:rFonts w:ascii="Times New Roman" w:hAnsi="Times New Roman" w:cs="Times New Roman"/>
          <w:bCs/>
          <w:iCs/>
          <w:sz w:val="24"/>
          <w:szCs w:val="24"/>
          <w:lang w:val="kk-KZ"/>
        </w:rPr>
        <w:t xml:space="preserve"> </w:t>
      </w:r>
      <w:r w:rsidR="00BA64AE" w:rsidRPr="00306051">
        <w:rPr>
          <w:rFonts w:ascii="Times New Roman" w:hAnsi="Times New Roman" w:cs="Times New Roman"/>
          <w:bCs/>
          <w:iCs/>
          <w:sz w:val="24"/>
          <w:szCs w:val="24"/>
          <w:lang w:val="kk-KZ"/>
        </w:rPr>
        <w:t xml:space="preserve">т.е. </w:t>
      </w:r>
    </w:p>
    <w:p w14:paraId="72B702E9" w14:textId="77777777" w:rsidR="00607595" w:rsidRPr="00306051" w:rsidRDefault="00607595">
      <w:pPr>
        <w:spacing w:after="0" w:line="100" w:lineRule="atLeast"/>
        <w:jc w:val="both"/>
        <w:rPr>
          <w:rFonts w:ascii="Times New Roman" w:hAnsi="Times New Roman" w:cs="Times New Roman"/>
          <w:bCs/>
          <w:iCs/>
          <w:sz w:val="24"/>
          <w:szCs w:val="24"/>
          <w:lang w:val="en-US"/>
        </w:rPr>
      </w:pPr>
      <w:r w:rsidRPr="00306051">
        <w:rPr>
          <w:rFonts w:ascii="Times New Roman" w:hAnsi="Times New Roman" w:cs="Times New Roman"/>
          <w:bCs/>
          <w:iCs/>
          <w:sz w:val="24"/>
          <w:szCs w:val="24"/>
        </w:rPr>
        <w:t>Тел</w:t>
      </w:r>
      <w:r w:rsidRPr="00306051">
        <w:rPr>
          <w:rFonts w:ascii="Times New Roman" w:hAnsi="Times New Roman" w:cs="Times New Roman"/>
          <w:bCs/>
          <w:iCs/>
          <w:sz w:val="24"/>
          <w:szCs w:val="24"/>
          <w:lang w:val="en-US"/>
        </w:rPr>
        <w:t xml:space="preserve">. </w:t>
      </w:r>
      <w:r w:rsidR="00C31C13" w:rsidRPr="00306051">
        <w:rPr>
          <w:rFonts w:ascii="Times New Roman" w:hAnsi="Times New Roman" w:cs="Times New Roman"/>
          <w:bCs/>
          <w:iCs/>
          <w:sz w:val="24"/>
          <w:szCs w:val="24"/>
          <w:lang w:val="en-US"/>
        </w:rPr>
        <w:t xml:space="preserve">+7 </w:t>
      </w:r>
      <w:r w:rsidRPr="00306051">
        <w:rPr>
          <w:rFonts w:ascii="Times New Roman" w:hAnsi="Times New Roman" w:cs="Times New Roman"/>
          <w:bCs/>
          <w:iCs/>
          <w:sz w:val="24"/>
          <w:szCs w:val="24"/>
          <w:lang w:val="en-US"/>
        </w:rPr>
        <w:t xml:space="preserve">(727) 311-81-96/97, </w:t>
      </w:r>
    </w:p>
    <w:p w14:paraId="71F7A3DF" w14:textId="77777777" w:rsidR="007670F9" w:rsidRPr="00306051" w:rsidRDefault="00607595">
      <w:pPr>
        <w:spacing w:after="0" w:line="100" w:lineRule="atLeast"/>
        <w:jc w:val="both"/>
        <w:rPr>
          <w:rFonts w:ascii="Times New Roman" w:hAnsi="Times New Roman" w:cs="Times New Roman"/>
          <w:bCs/>
          <w:iCs/>
          <w:sz w:val="24"/>
          <w:szCs w:val="24"/>
          <w:lang w:val="en-US"/>
        </w:rPr>
      </w:pPr>
      <w:r w:rsidRPr="00306051">
        <w:rPr>
          <w:rFonts w:ascii="Times New Roman" w:hAnsi="Times New Roman" w:cs="Times New Roman"/>
          <w:bCs/>
          <w:iCs/>
          <w:sz w:val="24"/>
          <w:szCs w:val="24"/>
          <w:lang w:val="en-US"/>
        </w:rPr>
        <w:t xml:space="preserve">e-mail: </w:t>
      </w:r>
      <w:r w:rsidR="00525C29">
        <w:fldChar w:fldCharType="begin"/>
      </w:r>
      <w:r w:rsidR="00525C29" w:rsidRPr="007A5E44">
        <w:rPr>
          <w:lang w:val="en-US"/>
        </w:rPr>
        <w:instrText xml:space="preserve"> HYPERLINK "mailto:irina.volovnikova@gmail.com" </w:instrText>
      </w:r>
      <w:r w:rsidR="00525C29">
        <w:fldChar w:fldCharType="separate"/>
      </w:r>
      <w:r w:rsidR="007670F9" w:rsidRPr="00306051">
        <w:rPr>
          <w:rStyle w:val="a4"/>
          <w:rFonts w:ascii="Times New Roman" w:hAnsi="Times New Roman" w:cs="Times New Roman"/>
          <w:bCs/>
          <w:iCs/>
          <w:sz w:val="24"/>
          <w:szCs w:val="24"/>
          <w:lang w:val="en-US"/>
        </w:rPr>
        <w:t>irina.volovnikova@gmail.com</w:t>
      </w:r>
      <w:r w:rsidR="00525C29">
        <w:rPr>
          <w:rStyle w:val="a4"/>
          <w:rFonts w:ascii="Times New Roman" w:hAnsi="Times New Roman" w:cs="Times New Roman"/>
          <w:bCs/>
          <w:iCs/>
          <w:sz w:val="24"/>
          <w:szCs w:val="24"/>
          <w:lang w:val="en-US"/>
        </w:rPr>
        <w:fldChar w:fldCharType="end"/>
      </w:r>
    </w:p>
    <w:p w14:paraId="44568C56" w14:textId="77777777" w:rsidR="007670F9" w:rsidRPr="00306051" w:rsidRDefault="007670F9">
      <w:pPr>
        <w:spacing w:after="0" w:line="100" w:lineRule="atLeast"/>
        <w:jc w:val="both"/>
        <w:rPr>
          <w:lang w:val="en-US"/>
        </w:rPr>
      </w:pPr>
    </w:p>
    <w:p w14:paraId="47528F7E" w14:textId="77777777" w:rsidR="00607595" w:rsidRPr="00306051" w:rsidRDefault="00607595">
      <w:pPr>
        <w:spacing w:after="0" w:line="100" w:lineRule="atLeast"/>
        <w:jc w:val="both"/>
        <w:rPr>
          <w:rFonts w:ascii="Times New Roman" w:hAnsi="Times New Roman" w:cs="Times New Roman"/>
          <w:bCs/>
          <w:sz w:val="24"/>
          <w:szCs w:val="24"/>
          <w:lang w:val="en-US"/>
        </w:rPr>
      </w:pPr>
      <w:r w:rsidRPr="00306051">
        <w:rPr>
          <w:rFonts w:ascii="Times New Roman" w:hAnsi="Times New Roman" w:cs="Times New Roman"/>
          <w:bCs/>
          <w:iCs/>
          <w:sz w:val="24"/>
          <w:szCs w:val="24"/>
          <w:lang w:val="en-US"/>
        </w:rPr>
        <w:t xml:space="preserve"> </w:t>
      </w:r>
      <w:r w:rsidRPr="00306051">
        <w:rPr>
          <w:rFonts w:ascii="Times New Roman" w:hAnsi="Times New Roman" w:cs="Times New Roman"/>
          <w:b/>
          <w:bCs/>
          <w:sz w:val="24"/>
          <w:szCs w:val="24"/>
          <w:lang w:val="en-US"/>
        </w:rPr>
        <w:t xml:space="preserve">8. </w:t>
      </w:r>
      <w:r w:rsidRPr="00306051">
        <w:rPr>
          <w:rFonts w:ascii="Times New Roman" w:hAnsi="Times New Roman" w:cs="Times New Roman"/>
          <w:b/>
          <w:sz w:val="24"/>
          <w:szCs w:val="24"/>
          <w:lang w:val="uk-UA"/>
        </w:rPr>
        <w:t>ТІРКЕУ КУӘЛІГІНІҢ НӨМІРІ</w:t>
      </w:r>
    </w:p>
    <w:p w14:paraId="45579CDB" w14:textId="77777777" w:rsidR="00607595" w:rsidRPr="00306051" w:rsidRDefault="00396ED1">
      <w:pPr>
        <w:spacing w:after="0" w:line="100" w:lineRule="atLeast"/>
        <w:jc w:val="both"/>
        <w:rPr>
          <w:rFonts w:ascii="Times New Roman" w:hAnsi="Times New Roman" w:cs="Times New Roman"/>
          <w:sz w:val="24"/>
          <w:szCs w:val="24"/>
          <w:lang w:val="en-US"/>
        </w:rPr>
      </w:pPr>
      <w:r w:rsidRPr="00306051">
        <w:rPr>
          <w:rFonts w:ascii="Times New Roman" w:hAnsi="Times New Roman" w:cs="Times New Roman"/>
          <w:sz w:val="24"/>
          <w:szCs w:val="24"/>
          <w:lang w:val="en-US"/>
        </w:rPr>
        <w:t>Қ</w:t>
      </w:r>
      <w:r w:rsidRPr="00306051">
        <w:rPr>
          <w:rFonts w:ascii="Times New Roman" w:hAnsi="Times New Roman" w:cs="Times New Roman"/>
          <w:sz w:val="24"/>
          <w:szCs w:val="24"/>
        </w:rPr>
        <w:t>Р</w:t>
      </w:r>
      <w:r w:rsidRPr="00306051">
        <w:rPr>
          <w:rFonts w:ascii="Times New Roman" w:hAnsi="Times New Roman" w:cs="Times New Roman"/>
          <w:sz w:val="24"/>
          <w:szCs w:val="24"/>
          <w:lang w:val="en-US"/>
        </w:rPr>
        <w:t>-</w:t>
      </w:r>
      <w:r w:rsidRPr="00306051">
        <w:rPr>
          <w:rFonts w:ascii="Times New Roman" w:hAnsi="Times New Roman" w:cs="Times New Roman"/>
          <w:sz w:val="24"/>
          <w:szCs w:val="24"/>
        </w:rPr>
        <w:t>ДЗ</w:t>
      </w:r>
      <w:r w:rsidRPr="00306051">
        <w:rPr>
          <w:rFonts w:ascii="Times New Roman" w:hAnsi="Times New Roman" w:cs="Times New Roman"/>
          <w:sz w:val="24"/>
          <w:szCs w:val="24"/>
          <w:lang w:val="en-US"/>
        </w:rPr>
        <w:t>-5№024611</w:t>
      </w:r>
    </w:p>
    <w:p w14:paraId="4D294D5B" w14:textId="77777777" w:rsidR="00396ED1" w:rsidRPr="00306051" w:rsidRDefault="00396ED1">
      <w:pPr>
        <w:spacing w:after="0" w:line="100" w:lineRule="atLeast"/>
        <w:jc w:val="both"/>
        <w:rPr>
          <w:rFonts w:ascii="Times New Roman" w:hAnsi="Times New Roman" w:cs="Times New Roman"/>
          <w:b/>
          <w:bCs/>
          <w:sz w:val="24"/>
          <w:szCs w:val="24"/>
          <w:lang w:val="en-US"/>
        </w:rPr>
      </w:pPr>
    </w:p>
    <w:p w14:paraId="4489870E" w14:textId="77777777" w:rsidR="00607595" w:rsidRPr="00306051" w:rsidRDefault="00607595">
      <w:pPr>
        <w:spacing w:after="0" w:line="100" w:lineRule="atLeast"/>
        <w:jc w:val="both"/>
        <w:rPr>
          <w:lang w:val="kk-KZ"/>
        </w:rPr>
      </w:pPr>
      <w:r w:rsidRPr="00306051">
        <w:rPr>
          <w:rFonts w:ascii="Times New Roman" w:hAnsi="Times New Roman" w:cs="Times New Roman"/>
          <w:b/>
          <w:bCs/>
          <w:sz w:val="24"/>
          <w:szCs w:val="24"/>
          <w:lang w:val="en-US"/>
        </w:rPr>
        <w:t>9. </w:t>
      </w:r>
      <w:r w:rsidRPr="00306051">
        <w:rPr>
          <w:rFonts w:ascii="Times New Roman" w:hAnsi="Times New Roman" w:cs="Times New Roman"/>
          <w:b/>
          <w:sz w:val="24"/>
          <w:szCs w:val="24"/>
          <w:lang w:val="uk-UA"/>
        </w:rPr>
        <w:t>АЛҒАШҚЫ ТІРКЕЛГЕН КҮНІ (ТІРКЕЛГЕНІН РАСТАУ, ҚАЙТА ТІРКЕУ)</w:t>
      </w:r>
    </w:p>
    <w:p w14:paraId="6B0F0C9C" w14:textId="77777777" w:rsidR="00607595" w:rsidRPr="00306051" w:rsidRDefault="00607595" w:rsidP="00C50297">
      <w:pPr>
        <w:pStyle w:val="Style5"/>
        <w:widowControl/>
        <w:tabs>
          <w:tab w:val="left" w:pos="7371"/>
        </w:tabs>
        <w:spacing w:line="100" w:lineRule="atLeast"/>
        <w:jc w:val="both"/>
        <w:rPr>
          <w:rFonts w:eastAsia="Microsoft Sans Serif"/>
          <w:szCs w:val="28"/>
          <w:lang w:val="kk-KZ" w:eastAsia="ru-RU" w:bidi="ru-RU"/>
        </w:rPr>
      </w:pPr>
      <w:r w:rsidRPr="00306051">
        <w:rPr>
          <w:lang w:val="kk-KZ"/>
        </w:rPr>
        <w:t>Алғашқы тіркелген күні</w:t>
      </w:r>
      <w:r w:rsidRPr="00306051">
        <w:rPr>
          <w:rFonts w:eastAsia="Microsoft Sans Serif"/>
          <w:szCs w:val="28"/>
          <w:lang w:val="kk-KZ" w:eastAsia="ru-RU" w:bidi="ru-RU"/>
        </w:rPr>
        <w:t xml:space="preserve">: </w:t>
      </w:r>
      <w:r w:rsidR="00C50297" w:rsidRPr="00306051">
        <w:rPr>
          <w:rFonts w:eastAsia="Microsoft Sans Serif"/>
          <w:szCs w:val="28"/>
          <w:lang w:val="kk-KZ" w:eastAsia="ru-RU" w:bidi="ru-RU"/>
        </w:rPr>
        <w:t>03.07.2020</w:t>
      </w:r>
    </w:p>
    <w:p w14:paraId="3B63A56C" w14:textId="77777777" w:rsidR="00D43F7D" w:rsidRPr="00306051" w:rsidRDefault="00D43F7D" w:rsidP="00C50297">
      <w:pPr>
        <w:pStyle w:val="Style5"/>
        <w:widowControl/>
        <w:tabs>
          <w:tab w:val="left" w:pos="7371"/>
        </w:tabs>
        <w:spacing w:line="100" w:lineRule="atLeast"/>
        <w:jc w:val="both"/>
        <w:rPr>
          <w:lang w:val="kk-KZ"/>
        </w:rPr>
      </w:pPr>
    </w:p>
    <w:p w14:paraId="78CDF7AC" w14:textId="77777777" w:rsidR="00D43F7D" w:rsidRPr="00306051" w:rsidRDefault="00607595" w:rsidP="00D43F7D">
      <w:pPr>
        <w:spacing w:after="0" w:line="240" w:lineRule="auto"/>
        <w:jc w:val="both"/>
        <w:rPr>
          <w:rFonts w:ascii="Times New Roman" w:hAnsi="Times New Roman" w:cs="Times New Roman"/>
          <w:b/>
          <w:sz w:val="24"/>
          <w:szCs w:val="24"/>
          <w:lang w:val="uk-UA"/>
        </w:rPr>
      </w:pPr>
      <w:r w:rsidRPr="00306051">
        <w:rPr>
          <w:rFonts w:ascii="Times New Roman" w:hAnsi="Times New Roman" w:cs="Times New Roman"/>
          <w:b/>
          <w:bCs/>
          <w:sz w:val="24"/>
          <w:szCs w:val="24"/>
          <w:lang w:val="kk-KZ"/>
        </w:rPr>
        <w:t xml:space="preserve">10. </w:t>
      </w:r>
      <w:r w:rsidRPr="00306051">
        <w:rPr>
          <w:rFonts w:ascii="Times New Roman" w:hAnsi="Times New Roman" w:cs="Times New Roman"/>
          <w:b/>
          <w:sz w:val="24"/>
          <w:szCs w:val="24"/>
          <w:lang w:val="uk-UA"/>
        </w:rPr>
        <w:t>МӘТІННІҢ ҚАЙТА ҚАРАЛҒАН КҮНІ</w:t>
      </w:r>
    </w:p>
    <w:p w14:paraId="10A380B7" w14:textId="77777777" w:rsidR="00607595" w:rsidRPr="001D13C6" w:rsidRDefault="00607595" w:rsidP="00D43F7D">
      <w:pPr>
        <w:spacing w:after="0" w:line="240" w:lineRule="auto"/>
        <w:jc w:val="both"/>
        <w:rPr>
          <w:lang w:val="kk-KZ"/>
        </w:rPr>
      </w:pPr>
      <w:r w:rsidRPr="00306051">
        <w:rPr>
          <w:rFonts w:ascii="Times New Roman" w:eastAsia="TimesNewRomanPSMT" w:hAnsi="Times New Roman" w:cs="Times New Roman"/>
          <w:sz w:val="24"/>
          <w:szCs w:val="24"/>
          <w:lang w:val="uk-UA"/>
        </w:rPr>
        <w:t>Д</w:t>
      </w:r>
      <w:r w:rsidRPr="00306051">
        <w:rPr>
          <w:rFonts w:ascii="Times New Roman" w:eastAsia="TimesNewRomanPSMT" w:hAnsi="Times New Roman" w:cs="Times New Roman"/>
          <w:sz w:val="24"/>
          <w:szCs w:val="24"/>
          <w:lang w:val="kk-KZ"/>
        </w:rPr>
        <w:t>әрілік п</w:t>
      </w:r>
      <w:proofErr w:type="spellStart"/>
      <w:r w:rsidRPr="00306051">
        <w:rPr>
          <w:rFonts w:ascii="Times New Roman" w:eastAsia="TimesNewRomanPSMT" w:hAnsi="Times New Roman" w:cs="Times New Roman"/>
          <w:sz w:val="24"/>
          <w:szCs w:val="24"/>
          <w:lang w:val="uk-UA"/>
        </w:rPr>
        <w:t>репарат</w:t>
      </w:r>
      <w:proofErr w:type="spellEnd"/>
      <w:r w:rsidRPr="00306051">
        <w:rPr>
          <w:rFonts w:ascii="Times New Roman" w:eastAsia="TimesNewRomanPSMT" w:hAnsi="Times New Roman" w:cs="Times New Roman"/>
          <w:sz w:val="24"/>
          <w:szCs w:val="24"/>
          <w:lang w:val="kk-KZ"/>
        </w:rPr>
        <w:t xml:space="preserve">тың жалпы сипаттамасын </w:t>
      </w:r>
      <w:r w:rsidR="00525C29">
        <w:fldChar w:fldCharType="begin"/>
      </w:r>
      <w:r w:rsidR="00525C29" w:rsidRPr="007A5E44">
        <w:rPr>
          <w:lang w:val="uk-UA"/>
        </w:rPr>
        <w:instrText xml:space="preserve"> </w:instrText>
      </w:r>
      <w:r w:rsidR="00525C29">
        <w:instrText>HYPERLINK</w:instrText>
      </w:r>
      <w:r w:rsidR="00525C29" w:rsidRPr="007A5E44">
        <w:rPr>
          <w:lang w:val="uk-UA"/>
        </w:rPr>
        <w:instrText xml:space="preserve"> "</w:instrText>
      </w:r>
      <w:r w:rsidR="00525C29">
        <w:instrText>http</w:instrText>
      </w:r>
      <w:r w:rsidR="00525C29" w:rsidRPr="007A5E44">
        <w:rPr>
          <w:lang w:val="uk-UA"/>
        </w:rPr>
        <w:instrText>://</w:instrText>
      </w:r>
      <w:r w:rsidR="00525C29">
        <w:instrText>www</w:instrText>
      </w:r>
      <w:r w:rsidR="00525C29" w:rsidRPr="007A5E44">
        <w:rPr>
          <w:lang w:val="uk-UA"/>
        </w:rPr>
        <w:instrText>.</w:instrText>
      </w:r>
      <w:r w:rsidR="00525C29">
        <w:instrText>ndda</w:instrText>
      </w:r>
      <w:r w:rsidR="00525C29" w:rsidRPr="007A5E44">
        <w:rPr>
          <w:lang w:val="uk-UA"/>
        </w:rPr>
        <w:instrText>.</w:instrText>
      </w:r>
      <w:r w:rsidR="00525C29">
        <w:instrText>kz</w:instrText>
      </w:r>
      <w:r w:rsidR="00525C29" w:rsidRPr="007A5E44">
        <w:rPr>
          <w:lang w:val="uk-UA"/>
        </w:rPr>
        <w:instrText xml:space="preserve">/" </w:instrText>
      </w:r>
      <w:r w:rsidR="00525C29">
        <w:fldChar w:fldCharType="separate"/>
      </w:r>
      <w:r w:rsidRPr="00306051">
        <w:rPr>
          <w:rStyle w:val="a4"/>
          <w:rFonts w:ascii="Times New Roman" w:hAnsi="Times New Roman" w:cs="Times New Roman"/>
          <w:color w:val="auto"/>
          <w:sz w:val="24"/>
          <w:szCs w:val="24"/>
          <w:lang w:val="kk-KZ"/>
        </w:rPr>
        <w:t>http</w:t>
      </w:r>
      <w:r w:rsidRPr="00306051">
        <w:rPr>
          <w:rStyle w:val="a4"/>
          <w:rFonts w:ascii="Times New Roman" w:hAnsi="Times New Roman" w:cs="Times New Roman"/>
          <w:color w:val="auto"/>
          <w:sz w:val="24"/>
          <w:szCs w:val="24"/>
          <w:lang w:val="uk-UA"/>
        </w:rPr>
        <w:t>://</w:t>
      </w:r>
      <w:r w:rsidRPr="00306051">
        <w:rPr>
          <w:rStyle w:val="a4"/>
          <w:rFonts w:ascii="Times New Roman" w:hAnsi="Times New Roman" w:cs="Times New Roman"/>
          <w:color w:val="auto"/>
          <w:sz w:val="24"/>
          <w:szCs w:val="24"/>
          <w:lang w:val="kk-KZ"/>
        </w:rPr>
        <w:t>www</w:t>
      </w:r>
      <w:r w:rsidRPr="00306051">
        <w:rPr>
          <w:rStyle w:val="a4"/>
          <w:rFonts w:ascii="Times New Roman" w:hAnsi="Times New Roman" w:cs="Times New Roman"/>
          <w:color w:val="auto"/>
          <w:sz w:val="24"/>
          <w:szCs w:val="24"/>
          <w:lang w:val="uk-UA"/>
        </w:rPr>
        <w:t>.</w:t>
      </w:r>
      <w:r w:rsidRPr="00306051">
        <w:rPr>
          <w:rStyle w:val="a4"/>
          <w:rFonts w:ascii="Times New Roman" w:hAnsi="Times New Roman" w:cs="Times New Roman"/>
          <w:color w:val="auto"/>
          <w:sz w:val="24"/>
          <w:szCs w:val="24"/>
          <w:lang w:val="kk-KZ"/>
        </w:rPr>
        <w:t>ndda</w:t>
      </w:r>
      <w:r w:rsidRPr="00306051">
        <w:rPr>
          <w:rStyle w:val="a4"/>
          <w:rFonts w:ascii="Times New Roman" w:hAnsi="Times New Roman" w:cs="Times New Roman"/>
          <w:color w:val="auto"/>
          <w:sz w:val="24"/>
          <w:szCs w:val="24"/>
          <w:lang w:val="uk-UA"/>
        </w:rPr>
        <w:t>.</w:t>
      </w:r>
      <w:r w:rsidRPr="00306051">
        <w:rPr>
          <w:rStyle w:val="a4"/>
          <w:rFonts w:ascii="Times New Roman" w:hAnsi="Times New Roman" w:cs="Times New Roman"/>
          <w:color w:val="auto"/>
          <w:sz w:val="24"/>
          <w:szCs w:val="24"/>
          <w:lang w:val="kk-KZ"/>
        </w:rPr>
        <w:t>kz</w:t>
      </w:r>
      <w:r w:rsidR="00525C29">
        <w:rPr>
          <w:rStyle w:val="a4"/>
          <w:rFonts w:ascii="Times New Roman" w:hAnsi="Times New Roman" w:cs="Times New Roman"/>
          <w:color w:val="auto"/>
          <w:sz w:val="24"/>
          <w:szCs w:val="24"/>
          <w:lang w:val="kk-KZ"/>
        </w:rPr>
        <w:fldChar w:fldCharType="end"/>
      </w:r>
      <w:r w:rsidRPr="00306051">
        <w:rPr>
          <w:rFonts w:ascii="Times New Roman" w:hAnsi="Times New Roman" w:cs="Times New Roman"/>
          <w:sz w:val="24"/>
          <w:szCs w:val="24"/>
          <w:lang w:val="kk-KZ"/>
        </w:rPr>
        <w:t xml:space="preserve"> ресми </w:t>
      </w:r>
      <w:proofErr w:type="spellStart"/>
      <w:r w:rsidRPr="00306051">
        <w:rPr>
          <w:rFonts w:ascii="Times New Roman" w:eastAsia="TimesNewRomanPSMT" w:hAnsi="Times New Roman" w:cs="Times New Roman"/>
          <w:sz w:val="24"/>
          <w:szCs w:val="24"/>
          <w:lang w:val="uk-UA"/>
        </w:rPr>
        <w:t>сайтынан</w:t>
      </w:r>
      <w:proofErr w:type="spellEnd"/>
      <w:r w:rsidRPr="00306051">
        <w:rPr>
          <w:rFonts w:ascii="Times New Roman" w:eastAsia="TimesNewRomanPSMT" w:hAnsi="Times New Roman" w:cs="Times New Roman"/>
          <w:sz w:val="24"/>
          <w:szCs w:val="24"/>
          <w:lang w:val="uk-UA"/>
        </w:rPr>
        <w:t xml:space="preserve"> </w:t>
      </w:r>
      <w:proofErr w:type="spellStart"/>
      <w:r w:rsidRPr="00306051">
        <w:rPr>
          <w:rFonts w:ascii="Times New Roman" w:eastAsia="TimesNewRomanPSMT" w:hAnsi="Times New Roman" w:cs="Times New Roman"/>
          <w:sz w:val="24"/>
          <w:szCs w:val="24"/>
          <w:lang w:val="uk-UA"/>
        </w:rPr>
        <w:t>көруге</w:t>
      </w:r>
      <w:proofErr w:type="spellEnd"/>
      <w:r w:rsidRPr="00306051">
        <w:rPr>
          <w:rFonts w:ascii="Times New Roman" w:eastAsia="TimesNewRomanPSMT" w:hAnsi="Times New Roman" w:cs="Times New Roman"/>
          <w:sz w:val="24"/>
          <w:szCs w:val="24"/>
          <w:lang w:val="uk-UA"/>
        </w:rPr>
        <w:t xml:space="preserve"> </w:t>
      </w:r>
      <w:proofErr w:type="spellStart"/>
      <w:r w:rsidRPr="00306051">
        <w:rPr>
          <w:rFonts w:ascii="Times New Roman" w:eastAsia="TimesNewRomanPSMT" w:hAnsi="Times New Roman" w:cs="Times New Roman"/>
          <w:sz w:val="24"/>
          <w:szCs w:val="24"/>
          <w:lang w:val="uk-UA"/>
        </w:rPr>
        <w:t>болады</w:t>
      </w:r>
      <w:proofErr w:type="spellEnd"/>
    </w:p>
    <w:p w14:paraId="6B8DB070" w14:textId="77777777" w:rsidR="00607595" w:rsidRPr="001D13C6" w:rsidRDefault="00607595">
      <w:pPr>
        <w:spacing w:after="0" w:line="100" w:lineRule="atLeast"/>
        <w:jc w:val="both"/>
        <w:rPr>
          <w:lang w:val="kk-KZ"/>
        </w:rPr>
      </w:pPr>
    </w:p>
    <w:sectPr w:rsidR="00607595" w:rsidRPr="001D13C6">
      <w:headerReference w:type="default" r:id="rId9"/>
      <w:footerReference w:type="even" r:id="rId10"/>
      <w:footerReference w:type="default" r:id="rId11"/>
      <w:headerReference w:type="first" r:id="rId12"/>
      <w:footerReference w:type="first" r:id="rId13"/>
      <w:pgSz w:w="11906" w:h="16838"/>
      <w:pgMar w:top="1134" w:right="1134" w:bottom="1134" w:left="1701" w:header="709"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81F9" w14:textId="77777777" w:rsidR="00525C29" w:rsidRDefault="00525C29">
      <w:pPr>
        <w:spacing w:after="0" w:line="240" w:lineRule="auto"/>
      </w:pPr>
      <w:r>
        <w:separator/>
      </w:r>
    </w:p>
  </w:endnote>
  <w:endnote w:type="continuationSeparator" w:id="0">
    <w:p w14:paraId="12848227" w14:textId="77777777" w:rsidR="00525C29" w:rsidRDefault="005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81">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CC"/>
    <w:family w:val="swiss"/>
    <w:pitch w:val="variable"/>
    <w:sig w:usb0="8100AAF7" w:usb1="0000807B" w:usb2="00000008" w:usb3="00000000" w:csb0="0000009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001" w:usb1="08070000" w:usb2="00000010" w:usb3="00000000" w:csb0="00020004"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4B83" w14:textId="77777777" w:rsidR="00B250DB" w:rsidRDefault="00B250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B0F7" w14:textId="77777777" w:rsidR="00B250DB" w:rsidRDefault="00B250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0F1F" w14:textId="77777777" w:rsidR="00B250DB" w:rsidRDefault="00B250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3ABAE" w14:textId="77777777" w:rsidR="00525C29" w:rsidRDefault="00525C29">
      <w:pPr>
        <w:spacing w:after="0" w:line="240" w:lineRule="auto"/>
      </w:pPr>
      <w:r>
        <w:separator/>
      </w:r>
    </w:p>
  </w:footnote>
  <w:footnote w:type="continuationSeparator" w:id="0">
    <w:p w14:paraId="2B2D4C05" w14:textId="77777777" w:rsidR="00525C29" w:rsidRDefault="00525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F9BF" w14:textId="77777777" w:rsidR="00B250DB" w:rsidRDefault="00B250DB">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D494" w14:textId="77777777" w:rsidR="00B250DB" w:rsidRDefault="00B250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502" w:hanging="360"/>
      </w:pPr>
      <w:rPr>
        <w:rFonts w:ascii="Symbol" w:hAnsi="Symbol" w:cs="Symbol"/>
        <w:b w:val="0"/>
        <w:color w:val="00000A"/>
        <w:lang w:val="kk-KZ"/>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lang w:val="kk-KZ"/>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kk-KZ"/>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kk-KZ"/>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b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B"/>
    <w:multiLevelType w:val="multilevel"/>
    <w:tmpl w:val="0000000B"/>
    <w:name w:val="WWNum26"/>
    <w:lvl w:ilvl="0">
      <w:start w:val="1"/>
      <w:numFmt w:val="bullet"/>
      <w:lvlText w:val=""/>
      <w:lvlJc w:val="left"/>
      <w:pPr>
        <w:tabs>
          <w:tab w:val="num" w:pos="0"/>
        </w:tabs>
        <w:ind w:left="720" w:hanging="360"/>
      </w:pPr>
      <w:rPr>
        <w:rFonts w:ascii="Symbol" w:hAnsi="Symbol"/>
        <w:b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3C6"/>
    <w:rsid w:val="00001652"/>
    <w:rsid w:val="00021921"/>
    <w:rsid w:val="0002469A"/>
    <w:rsid w:val="000513F5"/>
    <w:rsid w:val="000804BD"/>
    <w:rsid w:val="0008167E"/>
    <w:rsid w:val="000A3F61"/>
    <w:rsid w:val="000B0B03"/>
    <w:rsid w:val="000B33D3"/>
    <w:rsid w:val="00146F60"/>
    <w:rsid w:val="00180238"/>
    <w:rsid w:val="001D13C6"/>
    <w:rsid w:val="001F7495"/>
    <w:rsid w:val="00202CAB"/>
    <w:rsid w:val="0023252A"/>
    <w:rsid w:val="00233E2E"/>
    <w:rsid w:val="00245696"/>
    <w:rsid w:val="00262B70"/>
    <w:rsid w:val="0026399C"/>
    <w:rsid w:val="002A5778"/>
    <w:rsid w:val="002B67EE"/>
    <w:rsid w:val="002D4F30"/>
    <w:rsid w:val="00306051"/>
    <w:rsid w:val="00322AA5"/>
    <w:rsid w:val="00345E74"/>
    <w:rsid w:val="0035657F"/>
    <w:rsid w:val="00377EEB"/>
    <w:rsid w:val="00383AE1"/>
    <w:rsid w:val="00396ED1"/>
    <w:rsid w:val="004271D7"/>
    <w:rsid w:val="00443478"/>
    <w:rsid w:val="00465145"/>
    <w:rsid w:val="004657DF"/>
    <w:rsid w:val="004C09ED"/>
    <w:rsid w:val="004E4076"/>
    <w:rsid w:val="004E4247"/>
    <w:rsid w:val="00525C29"/>
    <w:rsid w:val="005474EB"/>
    <w:rsid w:val="005508D7"/>
    <w:rsid w:val="005848F4"/>
    <w:rsid w:val="005B1907"/>
    <w:rsid w:val="005D2F33"/>
    <w:rsid w:val="005D5F56"/>
    <w:rsid w:val="005E0154"/>
    <w:rsid w:val="005E32BD"/>
    <w:rsid w:val="00607595"/>
    <w:rsid w:val="00627783"/>
    <w:rsid w:val="00681378"/>
    <w:rsid w:val="00690742"/>
    <w:rsid w:val="00696E13"/>
    <w:rsid w:val="006A7B23"/>
    <w:rsid w:val="006D1138"/>
    <w:rsid w:val="007670F9"/>
    <w:rsid w:val="007A5E44"/>
    <w:rsid w:val="007D5684"/>
    <w:rsid w:val="00802895"/>
    <w:rsid w:val="00877C3F"/>
    <w:rsid w:val="00884782"/>
    <w:rsid w:val="008909EA"/>
    <w:rsid w:val="008A0609"/>
    <w:rsid w:val="008C36CA"/>
    <w:rsid w:val="008F456B"/>
    <w:rsid w:val="009035F9"/>
    <w:rsid w:val="0090743F"/>
    <w:rsid w:val="00923273"/>
    <w:rsid w:val="009B78B8"/>
    <w:rsid w:val="00A73F3C"/>
    <w:rsid w:val="00AB3E3E"/>
    <w:rsid w:val="00B22B57"/>
    <w:rsid w:val="00B23D8A"/>
    <w:rsid w:val="00B250DB"/>
    <w:rsid w:val="00B553AB"/>
    <w:rsid w:val="00BA64AE"/>
    <w:rsid w:val="00BC6EE9"/>
    <w:rsid w:val="00C10AF2"/>
    <w:rsid w:val="00C31C13"/>
    <w:rsid w:val="00C50297"/>
    <w:rsid w:val="00CA38CA"/>
    <w:rsid w:val="00CE7C2E"/>
    <w:rsid w:val="00D03FE8"/>
    <w:rsid w:val="00D21E4E"/>
    <w:rsid w:val="00D439E3"/>
    <w:rsid w:val="00D43F7D"/>
    <w:rsid w:val="00D52051"/>
    <w:rsid w:val="00D5224D"/>
    <w:rsid w:val="00D600E8"/>
    <w:rsid w:val="00DC4F0E"/>
    <w:rsid w:val="00DD123B"/>
    <w:rsid w:val="00DF21A5"/>
    <w:rsid w:val="00DF73DC"/>
    <w:rsid w:val="00E0175E"/>
    <w:rsid w:val="00E04647"/>
    <w:rsid w:val="00E5133F"/>
    <w:rsid w:val="00E60F6A"/>
    <w:rsid w:val="00E77D8B"/>
    <w:rsid w:val="00EB2DBA"/>
    <w:rsid w:val="00EC47B4"/>
    <w:rsid w:val="00EC6293"/>
    <w:rsid w:val="00EE3EDF"/>
    <w:rsid w:val="00F21BE1"/>
    <w:rsid w:val="00F65A29"/>
    <w:rsid w:val="00F67426"/>
    <w:rsid w:val="00F713A2"/>
    <w:rsid w:val="00F82B6D"/>
    <w:rsid w:val="00F86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C08AA5"/>
  <w15:docId w15:val="{E9A64D23-E042-4BA2-8AF8-27D680B0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SimSun" w:hAnsi="Calibri" w:cs="font281"/>
      <w:sz w:val="22"/>
      <w:szCs w:val="22"/>
      <w:lang w:eastAsia="ar-SA"/>
    </w:rPr>
  </w:style>
  <w:style w:type="paragraph" w:styleId="1">
    <w:name w:val="heading 1"/>
    <w:basedOn w:val="a"/>
    <w:next w:val="a0"/>
    <w:qFormat/>
    <w:pPr>
      <w:keepNext/>
      <w:tabs>
        <w:tab w:val="num" w:pos="0"/>
      </w:tabs>
      <w:spacing w:before="240" w:after="60"/>
      <w:ind w:left="432" w:hanging="432"/>
      <w:outlineLvl w:val="0"/>
    </w:pPr>
    <w:rPr>
      <w:rFonts w:ascii="Cambria" w:eastAsia="Times New Roman" w:hAnsi="Cambria" w:cs="Times New Roman"/>
      <w:b/>
      <w:bCs/>
      <w:kern w:val="1"/>
      <w:sz w:val="32"/>
      <w:szCs w:val="32"/>
      <w:lang w:val="en-US"/>
    </w:rPr>
  </w:style>
  <w:style w:type="paragraph" w:styleId="2">
    <w:name w:val="heading 2"/>
    <w:basedOn w:val="a"/>
    <w:next w:val="a0"/>
    <w:qFormat/>
    <w:pPr>
      <w:keepNext/>
      <w:tabs>
        <w:tab w:val="num" w:pos="0"/>
      </w:tabs>
      <w:spacing w:before="240" w:after="60"/>
      <w:ind w:left="576" w:hanging="576"/>
      <w:outlineLvl w:val="1"/>
    </w:pPr>
    <w:rPr>
      <w:rFonts w:ascii="Cambria" w:eastAsia="Times New Roman" w:hAnsi="Cambria" w:cs="Times New Roman"/>
      <w:b/>
      <w:bCs/>
      <w:i/>
      <w:iCs/>
      <w:sz w:val="28"/>
      <w:szCs w:val="28"/>
      <w:lang w:val="en-US"/>
    </w:rPr>
  </w:style>
  <w:style w:type="paragraph" w:styleId="3">
    <w:name w:val="heading 3"/>
    <w:basedOn w:val="a"/>
    <w:next w:val="a0"/>
    <w:qFormat/>
    <w:pPr>
      <w:keepNext/>
      <w:tabs>
        <w:tab w:val="num" w:pos="0"/>
      </w:tabs>
      <w:spacing w:before="240" w:after="60"/>
      <w:ind w:left="720" w:hanging="720"/>
      <w:outlineLvl w:val="2"/>
    </w:pPr>
    <w:rPr>
      <w:rFonts w:ascii="Cambria" w:eastAsia="Times New Roman" w:hAnsi="Cambria" w:cs="Times New Roman"/>
      <w:b/>
      <w:bCs/>
      <w:sz w:val="26"/>
      <w:szCs w:val="26"/>
      <w:lang w:val="en-US"/>
    </w:rPr>
  </w:style>
  <w:style w:type="paragraph" w:styleId="4">
    <w:name w:val="heading 4"/>
    <w:basedOn w:val="a"/>
    <w:next w:val="a0"/>
    <w:qFormat/>
    <w:pPr>
      <w:keepNext/>
      <w:tabs>
        <w:tab w:val="num" w:pos="0"/>
      </w:tabs>
      <w:spacing w:after="0" w:line="100" w:lineRule="atLeast"/>
      <w:ind w:left="864" w:hanging="864"/>
      <w:jc w:val="both"/>
      <w:outlineLvl w:val="3"/>
    </w:pPr>
    <w:rPr>
      <w:rFonts w:ascii="Times New Roman" w:eastAsia="Times New Roman" w:hAnsi="Times New Roman" w:cs="Times New Roman"/>
      <w:sz w:val="24"/>
      <w:szCs w:val="24"/>
      <w:u w:val="single"/>
      <w:lang w:val="uk-UA"/>
    </w:rPr>
  </w:style>
  <w:style w:type="paragraph" w:styleId="5">
    <w:name w:val="heading 5"/>
    <w:basedOn w:val="a"/>
    <w:next w:val="a0"/>
    <w:qFormat/>
    <w:pPr>
      <w:tabs>
        <w:tab w:val="num" w:pos="0"/>
      </w:tabs>
      <w:spacing w:before="240" w:after="60"/>
      <w:ind w:left="1008" w:hanging="1008"/>
      <w:outlineLvl w:val="4"/>
    </w:pPr>
    <w:rPr>
      <w:rFonts w:eastAsia="Times New Roman" w:cs="Times New Roman"/>
      <w:b/>
      <w:bCs/>
      <w:i/>
      <w:iCs/>
      <w:sz w:val="26"/>
      <w:szCs w:val="2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val="0"/>
      <w:color w:val="00000A"/>
      <w:lang w:val="kk-KZ"/>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lang w:val="kk-KZ"/>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b w:val="0"/>
      <w:color w:val="00000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10">
    <w:name w:val="Основной шрифт абзаца1"/>
  </w:style>
  <w:style w:type="character" w:styleId="a4">
    <w:name w:val="Hyperlink"/>
    <w:rPr>
      <w:color w:val="0000FF"/>
      <w:u w:val="single"/>
    </w:rPr>
  </w:style>
  <w:style w:type="character" w:customStyle="1" w:styleId="11">
    <w:name w:val="Заголовок 1 Знак"/>
    <w:rPr>
      <w:rFonts w:ascii="Cambria" w:eastAsia="Times New Roman" w:hAnsi="Cambria" w:cs="Times New Roman"/>
      <w:b/>
      <w:bCs/>
      <w:kern w:val="1"/>
      <w:sz w:val="32"/>
      <w:szCs w:val="32"/>
      <w:lang w:val="en-US"/>
    </w:rPr>
  </w:style>
  <w:style w:type="character" w:customStyle="1" w:styleId="20">
    <w:name w:val="Заголовок 2 Знак"/>
    <w:rPr>
      <w:rFonts w:ascii="Cambria" w:eastAsia="Times New Roman" w:hAnsi="Cambria" w:cs="Times New Roman"/>
      <w:b/>
      <w:bCs/>
      <w:i/>
      <w:iCs/>
      <w:sz w:val="28"/>
      <w:szCs w:val="28"/>
      <w:lang w:val="en-US"/>
    </w:rPr>
  </w:style>
  <w:style w:type="character" w:customStyle="1" w:styleId="30">
    <w:name w:val="Заголовок 3 Знак"/>
    <w:rPr>
      <w:rFonts w:ascii="Cambria" w:eastAsia="Times New Roman" w:hAnsi="Cambria" w:cs="Times New Roman"/>
      <w:b/>
      <w:bCs/>
      <w:sz w:val="26"/>
      <w:szCs w:val="26"/>
      <w:lang w:val="en-US"/>
    </w:rPr>
  </w:style>
  <w:style w:type="character" w:customStyle="1" w:styleId="40">
    <w:name w:val="Заголовок 4 Знак"/>
    <w:rPr>
      <w:rFonts w:ascii="Times New Roman" w:eastAsia="Times New Roman" w:hAnsi="Times New Roman" w:cs="Times New Roman"/>
      <w:sz w:val="24"/>
      <w:szCs w:val="24"/>
      <w:u w:val="single"/>
      <w:lang w:val="uk-UA"/>
    </w:rPr>
  </w:style>
  <w:style w:type="character" w:customStyle="1" w:styleId="50">
    <w:name w:val="Заголовок 5 Знак"/>
    <w:rPr>
      <w:rFonts w:ascii="Calibri" w:eastAsia="Times New Roman" w:hAnsi="Calibri" w:cs="Times New Roman"/>
      <w:b/>
      <w:bCs/>
      <w:i/>
      <w:iCs/>
      <w:sz w:val="26"/>
      <w:szCs w:val="26"/>
      <w:lang w:val="en-US"/>
    </w:rPr>
  </w:style>
  <w:style w:type="character" w:customStyle="1" w:styleId="a5">
    <w:name w:val="Нижний колонтитул Знак"/>
    <w:rPr>
      <w:rFonts w:ascii="Calibri" w:eastAsia="Calibri" w:hAnsi="Calibri" w:cs="Times New Roman"/>
      <w:lang w:val="en-US"/>
    </w:rPr>
  </w:style>
  <w:style w:type="character" w:customStyle="1" w:styleId="12">
    <w:name w:val="Номер страницы1"/>
    <w:basedOn w:val="10"/>
  </w:style>
  <w:style w:type="character" w:customStyle="1" w:styleId="a6">
    <w:name w:val="Текст выноски Знак"/>
    <w:rPr>
      <w:rFonts w:ascii="Tahoma" w:eastAsia="Calibri" w:hAnsi="Tahoma" w:cs="Tahoma"/>
      <w:sz w:val="16"/>
      <w:szCs w:val="16"/>
      <w:lang w:val="en-US"/>
    </w:rPr>
  </w:style>
  <w:style w:type="character" w:customStyle="1" w:styleId="FontStyle42">
    <w:name w:val="Font Style42"/>
    <w:rPr>
      <w:rFonts w:ascii="Times New Roman" w:hAnsi="Times New Roman" w:cs="Times New Roman"/>
      <w:sz w:val="20"/>
      <w:szCs w:val="20"/>
    </w:rPr>
  </w:style>
  <w:style w:type="character" w:customStyle="1" w:styleId="FontStyle36">
    <w:name w:val="Font Style36"/>
    <w:rPr>
      <w:rFonts w:ascii="Times New Roman" w:hAnsi="Times New Roman" w:cs="Times New Roman"/>
      <w:b/>
      <w:bCs/>
      <w:i/>
      <w:iCs/>
      <w:sz w:val="20"/>
      <w:szCs w:val="20"/>
    </w:rPr>
  </w:style>
  <w:style w:type="character" w:customStyle="1" w:styleId="FontStyle39">
    <w:name w:val="Font Style39"/>
    <w:rPr>
      <w:rFonts w:ascii="Times New Roman" w:hAnsi="Times New Roman" w:cs="Times New Roman"/>
      <w:sz w:val="16"/>
      <w:szCs w:val="16"/>
    </w:rPr>
  </w:style>
  <w:style w:type="character" w:customStyle="1" w:styleId="FontStyle40">
    <w:name w:val="Font Style40"/>
    <w:rPr>
      <w:rFonts w:ascii="Times New Roman" w:hAnsi="Times New Roman" w:cs="Times New Roman"/>
      <w:i/>
      <w:iCs/>
      <w:sz w:val="20"/>
      <w:szCs w:val="20"/>
    </w:rPr>
  </w:style>
  <w:style w:type="character" w:customStyle="1" w:styleId="FontStyle41">
    <w:name w:val="Font Style41"/>
    <w:rPr>
      <w:rFonts w:ascii="Times New Roman" w:hAnsi="Times New Roman" w:cs="Times New Roman"/>
      <w:b/>
      <w:bCs/>
      <w:sz w:val="20"/>
      <w:szCs w:val="20"/>
    </w:rPr>
  </w:style>
  <w:style w:type="character" w:customStyle="1" w:styleId="13">
    <w:name w:val="Знак примечания1"/>
    <w:rPr>
      <w:sz w:val="16"/>
      <w:szCs w:val="16"/>
    </w:rPr>
  </w:style>
  <w:style w:type="character" w:customStyle="1" w:styleId="a7">
    <w:name w:val="Текст примечания Знак"/>
    <w:rPr>
      <w:rFonts w:ascii="Calibri" w:eastAsia="Calibri" w:hAnsi="Calibri" w:cs="Times New Roman"/>
      <w:sz w:val="20"/>
      <w:szCs w:val="20"/>
      <w:lang w:val="en-US"/>
    </w:rPr>
  </w:style>
  <w:style w:type="character" w:customStyle="1" w:styleId="a8">
    <w:name w:val="Тема примечания Знак"/>
    <w:rPr>
      <w:rFonts w:ascii="Calibri" w:eastAsia="Calibri" w:hAnsi="Calibri" w:cs="Times New Roman"/>
      <w:b/>
      <w:bCs/>
      <w:sz w:val="20"/>
      <w:szCs w:val="20"/>
      <w:lang w:val="en-US"/>
    </w:rPr>
  </w:style>
  <w:style w:type="character" w:customStyle="1" w:styleId="a9">
    <w:name w:val="Верхний колонтитул Знак"/>
    <w:rPr>
      <w:rFonts w:ascii="Calibri" w:eastAsia="Calibri" w:hAnsi="Calibri" w:cs="Times New Roman"/>
      <w:lang w:val="en-US"/>
    </w:rPr>
  </w:style>
  <w:style w:type="character" w:customStyle="1" w:styleId="31">
    <w:name w:val="Основной текст 3 Знак"/>
    <w:rPr>
      <w:rFonts w:ascii="Times New Roman" w:eastAsia="Times New Roman" w:hAnsi="Times New Roman" w:cs="Times New Roman"/>
      <w:bCs/>
      <w:i/>
      <w:sz w:val="28"/>
      <w:szCs w:val="24"/>
      <w:lang w:val="en-US"/>
    </w:rPr>
  </w:style>
  <w:style w:type="character" w:customStyle="1" w:styleId="aa">
    <w:name w:val="Основной текст Знак"/>
    <w:rPr>
      <w:rFonts w:ascii="Calibri" w:eastAsia="Calibri" w:hAnsi="Calibri" w:cs="Times New Roman"/>
      <w:lang w:val="en-US"/>
    </w:rPr>
  </w:style>
  <w:style w:type="character" w:customStyle="1" w:styleId="ab">
    <w:name w:val="Текст Знак"/>
    <w:rPr>
      <w:rFonts w:ascii="Courier New" w:eastAsia="Times New Roman" w:hAnsi="Courier New" w:cs="Times New Roman"/>
      <w:sz w:val="20"/>
      <w:szCs w:val="20"/>
    </w:rPr>
  </w:style>
  <w:style w:type="character" w:customStyle="1" w:styleId="HTML">
    <w:name w:val="Стандартный HTML Знак"/>
    <w:rPr>
      <w:rFonts w:ascii="Courier New" w:eastAsia="Times New Roman" w:hAnsi="Courier New" w:cs="Times New Roman"/>
      <w:sz w:val="20"/>
      <w:szCs w:val="20"/>
      <w:lang w:val="en-US"/>
    </w:rPr>
  </w:style>
  <w:style w:type="character" w:customStyle="1" w:styleId="ac">
    <w:name w:val="Основной текст с отступом Знак"/>
    <w:rPr>
      <w:rFonts w:ascii="Times New Roman" w:eastAsia="Times New Roman" w:hAnsi="Times New Roman" w:cs="Times New Roman"/>
      <w:sz w:val="24"/>
      <w:szCs w:val="20"/>
    </w:rPr>
  </w:style>
  <w:style w:type="character" w:customStyle="1" w:styleId="21">
    <w:name w:val="Основной текст с отступом 2 Знак"/>
    <w:rPr>
      <w:rFonts w:ascii="Times New Roman" w:eastAsia="Times New Roman" w:hAnsi="Times New Roman" w:cs="Times New Roman"/>
      <w:sz w:val="24"/>
      <w:szCs w:val="20"/>
    </w:rPr>
  </w:style>
  <w:style w:type="character" w:customStyle="1" w:styleId="22">
    <w:name w:val="Основной текст 2 Знак"/>
    <w:rPr>
      <w:rFonts w:ascii="Times New Roman" w:eastAsia="Times New Roman" w:hAnsi="Times New Roman" w:cs="Times New Roman"/>
      <w:sz w:val="24"/>
      <w:szCs w:val="20"/>
    </w:rPr>
  </w:style>
  <w:style w:type="character" w:customStyle="1" w:styleId="ListLabel1">
    <w:name w:val="ListLabel 1"/>
    <w:rPr>
      <w:b w:val="0"/>
      <w:color w:val="00000A"/>
    </w:rPr>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paragraph" w:customStyle="1" w:styleId="14">
    <w:name w:val="Заголовок1"/>
    <w:basedOn w:val="a"/>
    <w:next w:val="a0"/>
    <w:pPr>
      <w:keepNext/>
      <w:spacing w:before="240" w:after="120"/>
    </w:pPr>
    <w:rPr>
      <w:rFonts w:ascii="Arial" w:eastAsia="Microsoft YaHei" w:hAnsi="Arial" w:cs="Lucida Sans"/>
      <w:sz w:val="28"/>
      <w:szCs w:val="28"/>
    </w:rPr>
  </w:style>
  <w:style w:type="paragraph" w:styleId="a0">
    <w:name w:val="Body Text"/>
    <w:basedOn w:val="a"/>
    <w:pPr>
      <w:spacing w:after="120"/>
    </w:pPr>
    <w:rPr>
      <w:rFonts w:eastAsia="Calibri" w:cs="Times New Roman"/>
      <w:lang w:val="en-US"/>
    </w:rPr>
  </w:style>
  <w:style w:type="paragraph" w:styleId="ad">
    <w:name w:val="List"/>
    <w:basedOn w:val="a"/>
    <w:pPr>
      <w:spacing w:after="0" w:line="100" w:lineRule="atLeast"/>
      <w:ind w:left="283" w:hanging="283"/>
    </w:pPr>
    <w:rPr>
      <w:rFonts w:ascii="Times New Roman" w:eastAsia="Times New Roman" w:hAnsi="Times New Roman" w:cs="Times New Roman"/>
      <w:sz w:val="24"/>
      <w:szCs w:val="20"/>
    </w:rPr>
  </w:style>
  <w:style w:type="paragraph" w:customStyle="1" w:styleId="15">
    <w:name w:val="Название1"/>
    <w:basedOn w:val="a"/>
    <w:pPr>
      <w:suppressLineNumbers/>
      <w:spacing w:before="120" w:after="120"/>
    </w:pPr>
    <w:rPr>
      <w:rFonts w:cs="Lucida Sans"/>
      <w:i/>
      <w:iCs/>
      <w:sz w:val="24"/>
      <w:szCs w:val="24"/>
    </w:rPr>
  </w:style>
  <w:style w:type="paragraph" w:customStyle="1" w:styleId="16">
    <w:name w:val="Указатель1"/>
    <w:basedOn w:val="a"/>
    <w:pPr>
      <w:suppressLineNumbers/>
    </w:pPr>
    <w:rPr>
      <w:rFonts w:cs="Lucida Sans"/>
    </w:rPr>
  </w:style>
  <w:style w:type="paragraph" w:customStyle="1" w:styleId="ae">
    <w:name w:val="Без інтервалів"/>
    <w:pPr>
      <w:suppressAutoHyphens/>
      <w:spacing w:line="100" w:lineRule="atLeast"/>
    </w:pPr>
    <w:rPr>
      <w:rFonts w:ascii="Calibri" w:eastAsia="Calibri" w:hAnsi="Calibri"/>
      <w:sz w:val="22"/>
      <w:szCs w:val="22"/>
      <w:lang w:val="en-US" w:eastAsia="ar-SA"/>
    </w:rPr>
  </w:style>
  <w:style w:type="paragraph" w:customStyle="1" w:styleId="Text1">
    <w:name w:val="Text 1"/>
    <w:basedOn w:val="a"/>
    <w:pPr>
      <w:spacing w:before="120" w:after="0" w:line="100" w:lineRule="atLeast"/>
    </w:pPr>
    <w:rPr>
      <w:rFonts w:ascii="Arial" w:eastAsia="Times New Roman" w:hAnsi="Arial" w:cs="Times New Roman"/>
      <w:sz w:val="24"/>
      <w:szCs w:val="20"/>
      <w:lang w:val="en-US"/>
    </w:rPr>
  </w:style>
  <w:style w:type="paragraph" w:styleId="af">
    <w:name w:val="footer"/>
    <w:basedOn w:val="a"/>
    <w:pPr>
      <w:suppressLineNumbers/>
      <w:tabs>
        <w:tab w:val="center" w:pos="4677"/>
        <w:tab w:val="right" w:pos="9355"/>
      </w:tabs>
    </w:pPr>
    <w:rPr>
      <w:rFonts w:eastAsia="Calibri" w:cs="Times New Roman"/>
      <w:lang w:val="en-US"/>
    </w:rPr>
  </w:style>
  <w:style w:type="paragraph" w:customStyle="1" w:styleId="17">
    <w:name w:val="Текст выноски1"/>
    <w:basedOn w:val="a"/>
    <w:rPr>
      <w:rFonts w:ascii="Tahoma" w:eastAsia="Calibri" w:hAnsi="Tahoma" w:cs="Tahoma"/>
      <w:sz w:val="16"/>
      <w:szCs w:val="16"/>
      <w:lang w:val="en-US"/>
    </w:rPr>
  </w:style>
  <w:style w:type="paragraph" w:customStyle="1" w:styleId="Style22">
    <w:name w:val="Style22"/>
    <w:basedOn w:val="a"/>
    <w:pPr>
      <w:widowControl w:val="0"/>
      <w:spacing w:after="0" w:line="100" w:lineRule="atLeast"/>
    </w:pPr>
    <w:rPr>
      <w:rFonts w:ascii="Times New Roman" w:eastAsia="Times New Roman" w:hAnsi="Times New Roman" w:cs="Times New Roman"/>
      <w:sz w:val="24"/>
      <w:szCs w:val="24"/>
    </w:rPr>
  </w:style>
  <w:style w:type="paragraph" w:customStyle="1" w:styleId="Style7">
    <w:name w:val="Style7"/>
    <w:basedOn w:val="a"/>
    <w:pPr>
      <w:widowControl w:val="0"/>
      <w:spacing w:after="0" w:line="250" w:lineRule="exact"/>
      <w:jc w:val="both"/>
    </w:pPr>
    <w:rPr>
      <w:rFonts w:ascii="Times New Roman" w:eastAsia="Times New Roman" w:hAnsi="Times New Roman" w:cs="Times New Roman"/>
      <w:sz w:val="24"/>
      <w:szCs w:val="24"/>
    </w:rPr>
  </w:style>
  <w:style w:type="paragraph" w:customStyle="1" w:styleId="Style24">
    <w:name w:val="Style24"/>
    <w:basedOn w:val="a"/>
    <w:pPr>
      <w:widowControl w:val="0"/>
      <w:spacing w:after="0" w:line="206" w:lineRule="exact"/>
      <w:jc w:val="both"/>
    </w:pPr>
    <w:rPr>
      <w:rFonts w:ascii="Times New Roman" w:eastAsia="Times New Roman" w:hAnsi="Times New Roman" w:cs="Times New Roman"/>
      <w:sz w:val="24"/>
      <w:szCs w:val="24"/>
    </w:rPr>
  </w:style>
  <w:style w:type="paragraph" w:customStyle="1" w:styleId="Style26">
    <w:name w:val="Style26"/>
    <w:basedOn w:val="a"/>
    <w:pPr>
      <w:widowControl w:val="0"/>
      <w:spacing w:after="0" w:line="206" w:lineRule="exact"/>
      <w:ind w:firstLine="77"/>
    </w:pPr>
    <w:rPr>
      <w:rFonts w:ascii="Times New Roman" w:eastAsia="Times New Roman" w:hAnsi="Times New Roman" w:cs="Times New Roman"/>
      <w:sz w:val="24"/>
      <w:szCs w:val="24"/>
    </w:rPr>
  </w:style>
  <w:style w:type="paragraph" w:customStyle="1" w:styleId="Style27">
    <w:name w:val="Style27"/>
    <w:basedOn w:val="a"/>
    <w:pPr>
      <w:widowControl w:val="0"/>
      <w:spacing w:after="0" w:line="207" w:lineRule="exact"/>
    </w:pPr>
    <w:rPr>
      <w:rFonts w:ascii="Times New Roman" w:eastAsia="Times New Roman" w:hAnsi="Times New Roman" w:cs="Times New Roman"/>
      <w:sz w:val="24"/>
      <w:szCs w:val="24"/>
    </w:rPr>
  </w:style>
  <w:style w:type="paragraph" w:customStyle="1" w:styleId="Style5">
    <w:name w:val="Style5"/>
    <w:basedOn w:val="a"/>
    <w:pPr>
      <w:widowControl w:val="0"/>
      <w:spacing w:after="0" w:line="250" w:lineRule="exact"/>
    </w:pPr>
    <w:rPr>
      <w:rFonts w:ascii="Times New Roman" w:eastAsia="Times New Roman" w:hAnsi="Times New Roman" w:cs="Times New Roman"/>
      <w:sz w:val="24"/>
      <w:szCs w:val="24"/>
    </w:rPr>
  </w:style>
  <w:style w:type="paragraph" w:customStyle="1" w:styleId="18">
    <w:name w:val="Текст примечания1"/>
    <w:basedOn w:val="a"/>
    <w:rPr>
      <w:rFonts w:eastAsia="Calibri" w:cs="Times New Roman"/>
      <w:sz w:val="20"/>
      <w:szCs w:val="20"/>
      <w:lang w:val="en-US"/>
    </w:rPr>
  </w:style>
  <w:style w:type="paragraph" w:customStyle="1" w:styleId="19">
    <w:name w:val="Тема примечания1"/>
    <w:basedOn w:val="18"/>
    <w:rPr>
      <w:b/>
      <w:bCs/>
    </w:rPr>
  </w:style>
  <w:style w:type="paragraph" w:styleId="af0">
    <w:name w:val="header"/>
    <w:basedOn w:val="a"/>
    <w:pPr>
      <w:suppressLineNumbers/>
      <w:tabs>
        <w:tab w:val="center" w:pos="4677"/>
        <w:tab w:val="right" w:pos="9355"/>
      </w:tabs>
    </w:pPr>
    <w:rPr>
      <w:rFonts w:eastAsia="Calibri" w:cs="Times New Roman"/>
      <w:lang w:val="en-US"/>
    </w:rPr>
  </w:style>
  <w:style w:type="paragraph" w:customStyle="1" w:styleId="Style2">
    <w:name w:val="Style2"/>
    <w:basedOn w:val="a"/>
    <w:pPr>
      <w:widowControl w:val="0"/>
      <w:spacing w:after="0" w:line="100" w:lineRule="atLeast"/>
    </w:pPr>
    <w:rPr>
      <w:rFonts w:ascii="Times New Roman" w:eastAsia="Times New Roman" w:hAnsi="Times New Roman" w:cs="Times New Roman"/>
      <w:sz w:val="24"/>
      <w:szCs w:val="24"/>
    </w:rPr>
  </w:style>
  <w:style w:type="paragraph" w:customStyle="1" w:styleId="NormalWeb1">
    <w:name w:val="Normal (Web)1"/>
    <w:basedOn w:val="a"/>
    <w:pPr>
      <w:spacing w:before="280" w:after="75" w:line="100" w:lineRule="atLeast"/>
    </w:pPr>
    <w:rPr>
      <w:rFonts w:ascii="Times New Roman" w:eastAsia="Times New Roman" w:hAnsi="Times New Roman" w:cs="Times New Roman"/>
      <w:color w:val="000000"/>
      <w:sz w:val="24"/>
      <w:szCs w:val="24"/>
    </w:rPr>
  </w:style>
  <w:style w:type="paragraph" w:customStyle="1" w:styleId="310">
    <w:name w:val="Основной текст 31"/>
    <w:basedOn w:val="a"/>
    <w:pPr>
      <w:spacing w:after="0" w:line="100" w:lineRule="atLeast"/>
      <w:jc w:val="both"/>
    </w:pPr>
    <w:rPr>
      <w:rFonts w:ascii="Times New Roman" w:eastAsia="Times New Roman" w:hAnsi="Times New Roman" w:cs="Times New Roman"/>
      <w:bCs/>
      <w:i/>
      <w:sz w:val="28"/>
      <w:szCs w:val="24"/>
      <w:lang w:val="en-US"/>
    </w:rPr>
  </w:style>
  <w:style w:type="paragraph" w:customStyle="1" w:styleId="1a">
    <w:name w:val="Текст1"/>
    <w:basedOn w:val="a"/>
    <w:pPr>
      <w:spacing w:after="0" w:line="100" w:lineRule="atLeast"/>
    </w:pPr>
    <w:rPr>
      <w:rFonts w:ascii="Courier New" w:eastAsia="Times New Roman" w:hAnsi="Courier New" w:cs="Times New Roman"/>
      <w:sz w:val="20"/>
      <w:szCs w:val="20"/>
    </w:rPr>
  </w:style>
  <w:style w:type="paragraph" w:customStyle="1" w:styleId="ConsPlusNormal">
    <w:name w:val="ConsPlusNormal"/>
    <w:pPr>
      <w:widowControl w:val="0"/>
      <w:suppressAutoHyphens/>
      <w:spacing w:line="100" w:lineRule="atLeast"/>
      <w:ind w:firstLine="720"/>
    </w:pPr>
    <w:rPr>
      <w:rFonts w:ascii="Arial" w:hAnsi="Arial" w:cs="Arial"/>
      <w:lang w:eastAsia="ar-SA"/>
    </w:rPr>
  </w:style>
  <w:style w:type="paragraph" w:customStyle="1" w:styleId="1b">
    <w:name w:val="Рецензия1"/>
    <w:pPr>
      <w:suppressAutoHyphens/>
      <w:spacing w:line="100" w:lineRule="atLeast"/>
    </w:pPr>
    <w:rPr>
      <w:rFonts w:ascii="Calibri" w:eastAsia="Calibri" w:hAnsi="Calibri"/>
      <w:sz w:val="22"/>
      <w:szCs w:val="22"/>
      <w:lang w:val="en-US" w:eastAsia="ar-SA"/>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Times New Roman"/>
      <w:sz w:val="20"/>
      <w:szCs w:val="20"/>
      <w:lang w:val="en-US"/>
    </w:rPr>
  </w:style>
  <w:style w:type="paragraph" w:customStyle="1" w:styleId="1c">
    <w:name w:val="Абзац списка1"/>
    <w:basedOn w:val="a"/>
    <w:pPr>
      <w:ind w:left="720"/>
    </w:pPr>
  </w:style>
  <w:style w:type="paragraph" w:customStyle="1" w:styleId="1d">
    <w:name w:val="Обычный (веб)1"/>
    <w:basedOn w:val="a"/>
    <w:pPr>
      <w:spacing w:before="100" w:after="100" w:line="100" w:lineRule="atLeast"/>
    </w:pPr>
    <w:rPr>
      <w:rFonts w:ascii="Times New Roman" w:eastAsia="Times New Roman" w:hAnsi="Times New Roman" w:cs="Times New Roman"/>
      <w:sz w:val="24"/>
      <w:szCs w:val="24"/>
    </w:rPr>
  </w:style>
  <w:style w:type="paragraph" w:customStyle="1" w:styleId="1e">
    <w:name w:val="Без интервала1"/>
    <w:pPr>
      <w:suppressAutoHyphens/>
      <w:spacing w:line="100" w:lineRule="atLeast"/>
    </w:pPr>
    <w:rPr>
      <w:lang w:val="pl-PL" w:eastAsia="ar-SA"/>
    </w:rPr>
  </w:style>
  <w:style w:type="paragraph" w:customStyle="1" w:styleId="WW-2">
    <w:name w:val="WW-Основной текст 2"/>
    <w:basedOn w:val="a"/>
    <w:pPr>
      <w:spacing w:after="0" w:line="360" w:lineRule="auto"/>
    </w:pPr>
    <w:rPr>
      <w:rFonts w:ascii="Times New Roman" w:eastAsia="Times New Roman" w:hAnsi="Times New Roman" w:cs="Arial"/>
      <w:sz w:val="28"/>
      <w:szCs w:val="20"/>
      <w:lang w:val="pl-PL"/>
    </w:rPr>
  </w:style>
  <w:style w:type="paragraph" w:customStyle="1" w:styleId="210">
    <w:name w:val="Маркированный список 21"/>
    <w:basedOn w:val="a"/>
    <w:pPr>
      <w:spacing w:after="0" w:line="100" w:lineRule="atLeast"/>
      <w:ind w:left="566" w:hanging="283"/>
    </w:pPr>
    <w:rPr>
      <w:rFonts w:ascii="CG Times" w:eastAsia="Times New Roman" w:hAnsi="CG Times" w:cs="Times New Roman"/>
      <w:sz w:val="24"/>
      <w:szCs w:val="20"/>
      <w:lang w:val="pl-PL"/>
    </w:rPr>
  </w:style>
  <w:style w:type="paragraph" w:styleId="af1">
    <w:name w:val="Body Text Indent"/>
    <w:basedOn w:val="a"/>
    <w:pPr>
      <w:spacing w:after="120" w:line="100" w:lineRule="atLeast"/>
      <w:ind w:left="283"/>
    </w:pPr>
    <w:rPr>
      <w:rFonts w:ascii="Times New Roman" w:eastAsia="Times New Roman" w:hAnsi="Times New Roman" w:cs="Times New Roman"/>
      <w:sz w:val="24"/>
      <w:szCs w:val="20"/>
    </w:rPr>
  </w:style>
  <w:style w:type="paragraph" w:customStyle="1" w:styleId="211">
    <w:name w:val="Продолжение списка 21"/>
    <w:basedOn w:val="a"/>
    <w:pPr>
      <w:spacing w:after="120" w:line="100" w:lineRule="atLeast"/>
      <w:ind w:left="566"/>
    </w:pPr>
    <w:rPr>
      <w:rFonts w:ascii="Times New Roman" w:eastAsia="Times New Roman" w:hAnsi="Times New Roman" w:cs="Times New Roman"/>
      <w:sz w:val="24"/>
      <w:szCs w:val="20"/>
    </w:rPr>
  </w:style>
  <w:style w:type="paragraph" w:customStyle="1" w:styleId="af2">
    <w:name w:val="Утверждаю"/>
    <w:basedOn w:val="a"/>
    <w:pPr>
      <w:spacing w:after="0" w:line="100" w:lineRule="atLeast"/>
      <w:ind w:left="4395" w:right="-74"/>
    </w:pPr>
    <w:rPr>
      <w:rFonts w:ascii="Arial" w:eastAsia="Batang" w:hAnsi="Arial" w:cs="Times New Roman"/>
      <w:sz w:val="24"/>
      <w:szCs w:val="20"/>
    </w:rPr>
  </w:style>
  <w:style w:type="paragraph" w:customStyle="1" w:styleId="af3">
    <w:name w:val="[О] Заголовок"/>
    <w:pPr>
      <w:tabs>
        <w:tab w:val="right" w:leader="dot" w:pos="9355"/>
      </w:tabs>
      <w:suppressAutoHyphens/>
      <w:spacing w:line="100" w:lineRule="atLeast"/>
      <w:ind w:left="283" w:hanging="283"/>
    </w:pPr>
    <w:rPr>
      <w:smallCaps/>
      <w:sz w:val="16"/>
      <w:szCs w:val="16"/>
      <w:lang w:eastAsia="ar-SA"/>
    </w:rPr>
  </w:style>
  <w:style w:type="paragraph" w:customStyle="1" w:styleId="212">
    <w:name w:val="Основной текст с отступом 21"/>
    <w:basedOn w:val="a"/>
    <w:pPr>
      <w:spacing w:after="120" w:line="480" w:lineRule="auto"/>
      <w:ind w:left="283"/>
    </w:pPr>
    <w:rPr>
      <w:rFonts w:ascii="Times New Roman" w:eastAsia="Times New Roman" w:hAnsi="Times New Roman" w:cs="Times New Roman"/>
      <w:sz w:val="24"/>
      <w:szCs w:val="20"/>
    </w:rPr>
  </w:style>
  <w:style w:type="paragraph" w:customStyle="1" w:styleId="1f">
    <w:name w:val="Продолжение списка1"/>
    <w:basedOn w:val="a"/>
    <w:pPr>
      <w:spacing w:after="120" w:line="100" w:lineRule="atLeast"/>
      <w:ind w:left="283"/>
    </w:pPr>
    <w:rPr>
      <w:rFonts w:ascii="Times New Roman" w:eastAsia="Times New Roman" w:hAnsi="Times New Roman" w:cs="Times New Roman"/>
      <w:sz w:val="24"/>
      <w:szCs w:val="20"/>
    </w:rPr>
  </w:style>
  <w:style w:type="paragraph" w:customStyle="1" w:styleId="213">
    <w:name w:val="Основной текст 21"/>
    <w:basedOn w:val="a"/>
    <w:pPr>
      <w:spacing w:after="120" w:line="480" w:lineRule="auto"/>
    </w:pPr>
    <w:rPr>
      <w:rFonts w:ascii="Times New Roman" w:eastAsia="Times New Roman" w:hAnsi="Times New Roman" w:cs="Times New Roman"/>
      <w:sz w:val="24"/>
      <w:szCs w:val="20"/>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character" w:customStyle="1" w:styleId="1f0">
    <w:name w:val="Неразрешенное упоминание1"/>
    <w:uiPriority w:val="99"/>
    <w:semiHidden/>
    <w:unhideWhenUsed/>
    <w:rsid w:val="007670F9"/>
    <w:rPr>
      <w:color w:val="605E5C"/>
      <w:shd w:val="clear" w:color="auto" w:fill="E1DFDD"/>
    </w:rPr>
  </w:style>
  <w:style w:type="paragraph" w:styleId="af6">
    <w:name w:val="List Paragraph"/>
    <w:basedOn w:val="a"/>
    <w:uiPriority w:val="34"/>
    <w:qFormat/>
    <w:rsid w:val="00C10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37D22-59E7-4B93-83D7-B2857E47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13048</Words>
  <Characters>74380</Characters>
  <Application>Microsoft Office Word</Application>
  <DocSecurity>0</DocSecurity>
  <Lines>619</Lines>
  <Paragraphs>174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87254</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7077902</vt:i4>
      </vt:variant>
      <vt:variant>
        <vt:i4>6</vt:i4>
      </vt:variant>
      <vt:variant>
        <vt:i4>0</vt:i4>
      </vt:variant>
      <vt:variant>
        <vt:i4>5</vt:i4>
      </vt:variant>
      <vt:variant>
        <vt:lpwstr>mailto:irina.volovnikova@gmail.com</vt:lpwstr>
      </vt:variant>
      <vt:variant>
        <vt:lpwstr/>
      </vt:variant>
      <vt:variant>
        <vt:i4>5308520</vt:i4>
      </vt:variant>
      <vt:variant>
        <vt:i4>3</vt:i4>
      </vt:variant>
      <vt:variant>
        <vt:i4>0</vt:i4>
      </vt:variant>
      <vt:variant>
        <vt:i4>5</vt:i4>
      </vt:variant>
      <vt:variant>
        <vt:lpwstr>mailto:info@lauruslabs.com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Praveen Kanumuru</cp:lastModifiedBy>
  <cp:revision>3</cp:revision>
  <cp:lastPrinted>1900-12-31T18:00:00Z</cp:lastPrinted>
  <dcterms:created xsi:type="dcterms:W3CDTF">2023-04-11T10:24:00Z</dcterms:created>
  <dcterms:modified xsi:type="dcterms:W3CDTF">2025-07-07T13:03:00Z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