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CC2370" w14:paraId="7C7F73C1" w14:textId="77777777" w:rsidTr="00D25CB4">
        <w:tc>
          <w:tcPr>
            <w:tcW w:w="4786" w:type="dxa"/>
            <w:hideMark/>
          </w:tcPr>
          <w:p w14:paraId="240BBAC0" w14:textId="77777777" w:rsidR="007E1D85" w:rsidRPr="00CC2370" w:rsidRDefault="007E1D85" w:rsidP="00CC2370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r w:rsidRPr="00CC2370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4536" w:type="dxa"/>
            <w:hideMark/>
          </w:tcPr>
          <w:p w14:paraId="71082F7D" w14:textId="77777777" w:rsidR="00523D82" w:rsidRPr="00CC2370" w:rsidRDefault="00523D82" w:rsidP="0078568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CC237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6212C326" w14:textId="77777777" w:rsidR="00653617" w:rsidRPr="00CC2370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04D562A6" w14:textId="77777777" w:rsidR="00523D82" w:rsidRPr="00CC2370" w:rsidRDefault="00264A6E" w:rsidP="00D13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D13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медицинского и фармацевтического </w:t>
            </w:r>
            <w:r w:rsidR="00B608C1"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</w:t>
            </w:r>
            <w:r w:rsidR="00372082"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B608C1" w:rsidRPr="00CC23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23D82" w:rsidRPr="00CC2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="00523D82" w:rsidRPr="00CC237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0936259E" w14:textId="77777777" w:rsidR="00523D82" w:rsidRPr="00CC2370" w:rsidRDefault="00523D82" w:rsidP="0078568D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CC237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717EB593" w14:textId="77777777" w:rsidR="00817C23" w:rsidRPr="00817C23" w:rsidRDefault="00817C23" w:rsidP="00817C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«02»   03    2022 г.</w:t>
            </w:r>
          </w:p>
          <w:p w14:paraId="2D6810D3" w14:textId="71EF5873" w:rsidR="00523D82" w:rsidRPr="00CC2370" w:rsidRDefault="00817C23" w:rsidP="00817C23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817C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N0491</w:t>
            </w:r>
            <w:r w:rsidR="008F3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36" w:type="dxa"/>
          </w:tcPr>
          <w:p w14:paraId="0C5A3A69" w14:textId="77777777" w:rsidR="00523D82" w:rsidRPr="00CC2370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CC237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CC2370" w14:paraId="20FEE123" w14:textId="77777777" w:rsidTr="00D25CB4">
        <w:tc>
          <w:tcPr>
            <w:tcW w:w="4786" w:type="dxa"/>
          </w:tcPr>
          <w:p w14:paraId="4088BA5C" w14:textId="77777777" w:rsidR="00523D82" w:rsidRPr="00CC2370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8623004" w14:textId="77777777" w:rsidR="00523D82" w:rsidRPr="00CC2370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9D8E610" w14:textId="77777777" w:rsidR="00523D82" w:rsidRPr="00CC2370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6D0FAFB6" w14:textId="77777777" w:rsidR="00280121" w:rsidRPr="00CC2370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D4DB92" w14:textId="77777777" w:rsidR="00D76048" w:rsidRPr="00CC2370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370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39F82CA8" w14:textId="77777777" w:rsidR="00372082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D600DA" w14:textId="77777777" w:rsidR="00280121" w:rsidRPr="00CC2370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23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CC2370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НАИМЕНОВАНИЕ</w:t>
      </w:r>
      <w:r w:rsidR="00280121" w:rsidRPr="00CC23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CC2370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ЛЕКАРСТВЕННОГО</w:t>
      </w:r>
      <w:r w:rsidR="00280121" w:rsidRPr="00CC23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CC2370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ПРЕПАРАТА</w:t>
      </w:r>
    </w:p>
    <w:p w14:paraId="2CEB5A2D" w14:textId="77777777" w:rsidR="00CC2370" w:rsidRPr="00CC2370" w:rsidRDefault="00CC2370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37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A2B92">
        <w:rPr>
          <w:rFonts w:ascii="Times New Roman" w:eastAsia="Times New Roman" w:hAnsi="Times New Roman"/>
          <w:sz w:val="24"/>
          <w:szCs w:val="24"/>
          <w:lang w:eastAsia="ru-RU"/>
        </w:rPr>
        <w:t>льфадол</w:t>
      </w:r>
      <w:r w:rsidRPr="00CC2370">
        <w:rPr>
          <w:rFonts w:ascii="Times New Roman" w:eastAsia="Times New Roman" w:hAnsi="Times New Roman"/>
          <w:sz w:val="24"/>
          <w:szCs w:val="24"/>
          <w:lang w:eastAsia="ru-RU"/>
        </w:rPr>
        <w:t>, 0</w:t>
      </w:r>
      <w:r w:rsidR="0076393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C2370">
        <w:rPr>
          <w:rFonts w:ascii="Times New Roman" w:eastAsia="Times New Roman" w:hAnsi="Times New Roman"/>
          <w:sz w:val="24"/>
          <w:szCs w:val="24"/>
          <w:lang w:eastAsia="ru-RU"/>
        </w:rPr>
        <w:t>25 мкг, 1</w:t>
      </w:r>
      <w:r w:rsidR="0076393C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CC2370">
        <w:rPr>
          <w:rFonts w:ascii="Times New Roman" w:eastAsia="Times New Roman" w:hAnsi="Times New Roman"/>
          <w:sz w:val="24"/>
          <w:szCs w:val="24"/>
          <w:lang w:eastAsia="ru-RU"/>
        </w:rPr>
        <w:t xml:space="preserve"> мкг, капсулы</w:t>
      </w:r>
    </w:p>
    <w:p w14:paraId="5BEF45EA" w14:textId="77777777" w:rsidR="00CC2370" w:rsidRDefault="00CC2370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5A17FC" w14:textId="77777777" w:rsidR="003C07E3" w:rsidRPr="00372082" w:rsidRDefault="003C07E3" w:rsidP="0078568D">
      <w:pPr>
        <w:spacing w:after="0" w:line="240" w:lineRule="auto"/>
        <w:jc w:val="both"/>
        <w:rPr>
          <w:sz w:val="28"/>
          <w:szCs w:val="28"/>
        </w:rPr>
      </w:pPr>
      <w:bookmarkStart w:id="0" w:name="2175220285"/>
      <w:bookmarkStart w:id="1" w:name="OCRUncertain022"/>
      <w:r w:rsidRPr="003720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280121" w:rsidRPr="00372082">
        <w:rPr>
          <w:rFonts w:ascii="Times New Roman" w:eastAsia="Times New Roman" w:hAnsi="Times New Roman"/>
          <w:b/>
          <w:sz w:val="28"/>
          <w:szCs w:val="28"/>
          <w:lang w:eastAsia="ru-RU"/>
        </w:rPr>
        <w:t>КАЧЕСТВЕННЫЙ И КОЛИЧЕСТВЕННЫЙ СОСТАВ</w:t>
      </w:r>
    </w:p>
    <w:bookmarkEnd w:id="0"/>
    <w:p w14:paraId="6C56E4FA" w14:textId="77777777" w:rsidR="00B07930" w:rsidRPr="00B07930" w:rsidRDefault="00B07930" w:rsidP="00B07930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07930">
        <w:rPr>
          <w:rFonts w:ascii="Times New Roman" w:eastAsia="TimesNewRomanPSMT" w:hAnsi="Times New Roman"/>
          <w:sz w:val="24"/>
          <w:szCs w:val="24"/>
          <w:lang w:eastAsia="ru-RU"/>
        </w:rPr>
        <w:t xml:space="preserve">2.1 Общее описание </w:t>
      </w:r>
    </w:p>
    <w:p w14:paraId="5C9B4121" w14:textId="77777777" w:rsidR="00B07930" w:rsidRPr="00B07930" w:rsidRDefault="00B07930" w:rsidP="00B07930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07930">
        <w:rPr>
          <w:rFonts w:ascii="Times New Roman" w:eastAsia="TimesNewRomanPSMT" w:hAnsi="Times New Roman"/>
          <w:sz w:val="24"/>
          <w:szCs w:val="24"/>
          <w:lang w:eastAsia="ru-RU"/>
        </w:rPr>
        <w:t>Альфакальцидол</w:t>
      </w:r>
    </w:p>
    <w:p w14:paraId="4B1E87FF" w14:textId="77777777" w:rsidR="00B07930" w:rsidRDefault="00B07930" w:rsidP="00B07930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07930">
        <w:rPr>
          <w:rFonts w:ascii="Times New Roman" w:eastAsia="TimesNewRomanPSMT" w:hAnsi="Times New Roman"/>
          <w:sz w:val="24"/>
          <w:szCs w:val="24"/>
          <w:lang w:eastAsia="ru-RU"/>
        </w:rPr>
        <w:t>2.2 Качественный и количественный состав</w:t>
      </w:r>
    </w:p>
    <w:p w14:paraId="6D5428E3" w14:textId="77777777" w:rsidR="00707E26" w:rsidRDefault="00080052" w:rsidP="006B3D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Одна</w:t>
      </w:r>
      <w:r w:rsidR="006B3DA0">
        <w:rPr>
          <w:rFonts w:ascii="Times New Roman" w:eastAsia="TimesNewRomanPSMT" w:hAnsi="Times New Roman"/>
          <w:sz w:val="24"/>
          <w:szCs w:val="24"/>
          <w:lang w:eastAsia="ru-RU"/>
        </w:rPr>
        <w:t xml:space="preserve"> капсула содержит </w:t>
      </w:r>
    </w:p>
    <w:p w14:paraId="50B171D8" w14:textId="77777777" w:rsidR="00690A3D" w:rsidRDefault="00707E26" w:rsidP="007A55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707E26">
        <w:rPr>
          <w:rFonts w:ascii="Times New Roman" w:eastAsia="TimesNewRomanPSMT" w:hAnsi="Times New Roman"/>
          <w:i/>
          <w:sz w:val="24"/>
          <w:szCs w:val="24"/>
          <w:lang w:eastAsia="ru-RU"/>
        </w:rPr>
        <w:t xml:space="preserve">активное вещество 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- </w:t>
      </w:r>
      <w:r w:rsidR="006B3DA0">
        <w:rPr>
          <w:rFonts w:ascii="Times New Roman" w:eastAsia="TimesNewRomanPSMT" w:hAnsi="Times New Roman"/>
          <w:sz w:val="24"/>
          <w:szCs w:val="24"/>
          <w:lang w:eastAsia="ru-RU"/>
        </w:rPr>
        <w:t>альфакальцидола</w:t>
      </w:r>
      <w:r w:rsidR="006B3DA0" w:rsidRPr="00CC7EA6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6B3DA0">
        <w:rPr>
          <w:rFonts w:ascii="Times New Roman" w:eastAsia="TimesNewRomanPSMT" w:hAnsi="Times New Roman"/>
          <w:sz w:val="24"/>
          <w:szCs w:val="24"/>
          <w:lang w:eastAsia="ru-RU"/>
        </w:rPr>
        <w:t>0.25 мкг</w:t>
      </w:r>
      <w:r w:rsidR="000A2B92">
        <w:rPr>
          <w:rFonts w:ascii="Times New Roman" w:eastAsia="TimesNewRomanPSMT" w:hAnsi="Times New Roman"/>
          <w:sz w:val="24"/>
          <w:szCs w:val="24"/>
          <w:lang w:eastAsia="ru-RU"/>
        </w:rPr>
        <w:t xml:space="preserve"> или 1.0 мкг соответственно</w:t>
      </w:r>
      <w:r w:rsidR="005B4801">
        <w:rPr>
          <w:rFonts w:ascii="Times New Roman" w:eastAsia="TimesNewRomanPSMT" w:hAnsi="Times New Roman"/>
          <w:sz w:val="24"/>
          <w:szCs w:val="24"/>
          <w:lang w:eastAsia="ru-RU"/>
        </w:rPr>
        <w:t>.</w:t>
      </w:r>
      <w:r w:rsidR="006B3DA0" w:rsidRPr="00CC7EA6">
        <w:rPr>
          <w:rFonts w:ascii="Times New Roman" w:eastAsia="TimesNewRomanPSMT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14:paraId="42693C2B" w14:textId="77777777" w:rsidR="007A5506" w:rsidRDefault="00690A3D" w:rsidP="00067F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bookmarkStart w:id="2" w:name="_Hlk88225969"/>
      <w:r w:rsidRPr="00690A3D">
        <w:rPr>
          <w:rFonts w:ascii="Times New Roman" w:eastAsia="TimesNewRomanPSMT" w:hAnsi="Times New Roman"/>
          <w:sz w:val="24"/>
          <w:szCs w:val="24"/>
          <w:lang w:eastAsia="ru-RU"/>
        </w:rPr>
        <w:t>Вспомогательные вещества, наличие которых надо учитывать в составе лекарственного препарата</w:t>
      </w:r>
      <w:r w:rsidRPr="00B46489">
        <w:rPr>
          <w:rFonts w:ascii="Times New Roman" w:eastAsia="TimesNewRomanPSMT" w:hAnsi="Times New Roman"/>
          <w:sz w:val="24"/>
          <w:szCs w:val="24"/>
          <w:lang w:eastAsia="ru-RU"/>
        </w:rPr>
        <w:t xml:space="preserve">: </w:t>
      </w:r>
      <w:r w:rsidR="005B4801">
        <w:rPr>
          <w:rFonts w:ascii="Times New Roman" w:eastAsia="TimesNewRomanPSMT" w:hAnsi="Times New Roman"/>
          <w:sz w:val="24"/>
          <w:szCs w:val="24"/>
          <w:lang w:eastAsia="ru-RU"/>
        </w:rPr>
        <w:t>сорбитол жидкий некристаллизующийся</w:t>
      </w:r>
      <w:r w:rsidR="00067F43">
        <w:rPr>
          <w:rFonts w:ascii="Times New Roman" w:eastAsia="TimesNewRomanPSMT" w:hAnsi="Times New Roman"/>
          <w:sz w:val="24"/>
          <w:szCs w:val="24"/>
          <w:lang w:eastAsia="ru-RU"/>
        </w:rPr>
        <w:t>, к</w:t>
      </w:r>
      <w:r w:rsidR="00067F43" w:rsidRPr="00067F43">
        <w:rPr>
          <w:rFonts w:ascii="Times New Roman" w:eastAsia="TimesNewRomanPSMT" w:hAnsi="Times New Roman"/>
          <w:sz w:val="24"/>
          <w:szCs w:val="24"/>
          <w:lang w:eastAsia="ru-RU"/>
        </w:rPr>
        <w:t>раситель Понсо 4R Супра (Е 124)</w:t>
      </w:r>
      <w:r w:rsidR="00067F43">
        <w:rPr>
          <w:rFonts w:ascii="Times New Roman" w:eastAsia="TimesNewRomanPSMT" w:hAnsi="Times New Roman"/>
          <w:sz w:val="24"/>
          <w:szCs w:val="24"/>
          <w:lang w:eastAsia="ru-RU"/>
        </w:rPr>
        <w:t xml:space="preserve"> (для дозировки 0.25 мкг), к</w:t>
      </w:r>
      <w:r w:rsidR="00067F43" w:rsidRPr="00067F43">
        <w:rPr>
          <w:rFonts w:ascii="Times New Roman" w:eastAsia="TimesNewRomanPSMT" w:hAnsi="Times New Roman"/>
          <w:sz w:val="24"/>
          <w:szCs w:val="24"/>
          <w:lang w:eastAsia="ru-RU"/>
        </w:rPr>
        <w:t>раситель индигокармин (Е 132)</w:t>
      </w:r>
      <w:r w:rsidR="00067F43">
        <w:rPr>
          <w:rFonts w:ascii="Times New Roman" w:eastAsia="TimesNewRomanPSMT" w:hAnsi="Times New Roman"/>
          <w:sz w:val="24"/>
          <w:szCs w:val="24"/>
          <w:lang w:eastAsia="ru-RU"/>
        </w:rPr>
        <w:t xml:space="preserve"> (для дозировки 1.0 мкг), к</w:t>
      </w:r>
      <w:r w:rsidR="00067F43" w:rsidRPr="00067F43">
        <w:rPr>
          <w:rFonts w:ascii="Times New Roman" w:eastAsia="TimesNewRomanPSMT" w:hAnsi="Times New Roman"/>
          <w:sz w:val="24"/>
          <w:szCs w:val="24"/>
          <w:lang w:eastAsia="ru-RU"/>
        </w:rPr>
        <w:t>раситель хинолиновый желтый (Е 104)</w:t>
      </w:r>
      <w:r w:rsidR="00067F43">
        <w:rPr>
          <w:rFonts w:ascii="Times New Roman" w:eastAsia="TimesNewRomanPSMT" w:hAnsi="Times New Roman"/>
          <w:sz w:val="24"/>
          <w:szCs w:val="24"/>
          <w:lang w:eastAsia="ru-RU"/>
        </w:rPr>
        <w:t xml:space="preserve"> (для дозировки 1.0 мкг)</w:t>
      </w:r>
      <w:r w:rsidR="005B4801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bookmarkEnd w:id="2"/>
    <w:p w14:paraId="5A360926" w14:textId="77777777" w:rsidR="003C07E3" w:rsidRDefault="00E75FF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0052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080052">
        <w:rPr>
          <w:rFonts w:ascii="Times New Roman" w:hAnsi="Times New Roman"/>
          <w:sz w:val="24"/>
          <w:szCs w:val="24"/>
          <w:lang w:eastAsia="ru-RU"/>
        </w:rPr>
        <w:t>.</w:t>
      </w:r>
    </w:p>
    <w:p w14:paraId="6609D43D" w14:textId="77777777" w:rsidR="00080052" w:rsidRPr="00080052" w:rsidRDefault="0008005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22201568" w14:textId="77777777" w:rsidR="00B7231F" w:rsidRPr="00080052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  <w:r w:rsidRPr="000800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080052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3"/>
    <w:p w14:paraId="43E20A2D" w14:textId="77777777" w:rsidR="00CD7058" w:rsidRDefault="00CD705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Капсулы.</w:t>
      </w:r>
    </w:p>
    <w:p w14:paraId="51AD408E" w14:textId="77777777" w:rsidR="00CD7058" w:rsidRPr="00CD7058" w:rsidRDefault="00CD705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4"/>
          <w:szCs w:val="24"/>
          <w:lang w:eastAsia="hu-HU"/>
        </w:rPr>
      </w:pPr>
      <w:r w:rsidRPr="00CD7058">
        <w:rPr>
          <w:rFonts w:ascii="Times New Roman" w:eastAsia="Times New Roman" w:hAnsi="Times New Roman"/>
          <w:i/>
          <w:iCs/>
          <w:color w:val="000000"/>
          <w:spacing w:val="-4"/>
          <w:sz w:val="24"/>
          <w:szCs w:val="24"/>
          <w:lang w:eastAsia="hu-HU"/>
        </w:rPr>
        <w:t>Для дозировки 0.25 мкг</w:t>
      </w:r>
    </w:p>
    <w:p w14:paraId="7E926A1D" w14:textId="77777777" w:rsidR="00CD7058" w:rsidRPr="00CD7058" w:rsidRDefault="00CD705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CD705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Мягкие прозрачные желатиновые капсулы круглой формы красного цвета.</w:t>
      </w:r>
    </w:p>
    <w:p w14:paraId="51FDD544" w14:textId="77777777" w:rsidR="00CD7058" w:rsidRPr="00CD7058" w:rsidRDefault="00CD705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CD705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Содержимое капсулы - прозрачная маслянистая жидкость светло-желтого цвета с характерным запахом.</w:t>
      </w:r>
    </w:p>
    <w:p w14:paraId="11EB7FED" w14:textId="77777777" w:rsidR="00CD7058" w:rsidRPr="00CD7058" w:rsidRDefault="00CD705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4"/>
          <w:szCs w:val="24"/>
          <w:lang w:eastAsia="hu-HU"/>
        </w:rPr>
      </w:pPr>
      <w:r w:rsidRPr="00CD7058">
        <w:rPr>
          <w:rFonts w:ascii="Times New Roman" w:eastAsia="Times New Roman" w:hAnsi="Times New Roman"/>
          <w:i/>
          <w:iCs/>
          <w:color w:val="000000"/>
          <w:spacing w:val="-4"/>
          <w:sz w:val="24"/>
          <w:szCs w:val="24"/>
          <w:lang w:eastAsia="hu-HU"/>
        </w:rPr>
        <w:t>Для дозировки 1.0 мкг</w:t>
      </w:r>
    </w:p>
    <w:p w14:paraId="129761FF" w14:textId="77777777" w:rsidR="00CD7058" w:rsidRPr="00CD7058" w:rsidRDefault="00CD705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CD705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Мягкие прозрачные желатиновые капсулы круглой формы от светло-зеленого до зеленого цвета.</w:t>
      </w:r>
    </w:p>
    <w:p w14:paraId="54971E45" w14:textId="77777777" w:rsidR="00080052" w:rsidRDefault="00CD705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CD705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Содержимое капсулы - прозрач-ная маслянистая жидкость свет-ло-желтого цвета с характерным запахом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.</w:t>
      </w:r>
    </w:p>
    <w:p w14:paraId="44712478" w14:textId="77777777" w:rsidR="004301D8" w:rsidRPr="00080052" w:rsidRDefault="004301D8" w:rsidP="00CD70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4390DC8C" w14:textId="77777777" w:rsidR="002C1660" w:rsidRPr="00A03F31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3F31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A03F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A03F31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2769AF3E" w14:textId="77777777" w:rsidR="005444B2" w:rsidRPr="00080052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03F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A03F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03F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A03F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A03F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1C74A2D6" w14:textId="77777777" w:rsidR="00413DAD" w:rsidRPr="00413DAD" w:rsidRDefault="00413DAD" w:rsidP="00413D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DAD">
        <w:rPr>
          <w:rFonts w:ascii="Times New Roman" w:hAnsi="Times New Roman"/>
          <w:sz w:val="24"/>
          <w:szCs w:val="24"/>
        </w:rPr>
        <w:t>Аль</w:t>
      </w:r>
      <w:r w:rsidR="00031EF2">
        <w:rPr>
          <w:rFonts w:ascii="Times New Roman" w:hAnsi="Times New Roman"/>
          <w:sz w:val="24"/>
          <w:szCs w:val="24"/>
        </w:rPr>
        <w:t>фадол</w:t>
      </w:r>
      <w:r w:rsidRPr="00413DAD">
        <w:rPr>
          <w:rFonts w:ascii="Times New Roman" w:hAnsi="Times New Roman"/>
          <w:sz w:val="24"/>
          <w:szCs w:val="24"/>
        </w:rPr>
        <w:t xml:space="preserve"> используется для лечения состояний, при которых метаболизм кальция нарушается из-за нарушения 1α-гидроксилирования, </w:t>
      </w:r>
      <w:r w:rsidR="00805F4C">
        <w:rPr>
          <w:rFonts w:ascii="Times New Roman" w:hAnsi="Times New Roman"/>
          <w:sz w:val="24"/>
          <w:szCs w:val="24"/>
        </w:rPr>
        <w:t xml:space="preserve">например, при </w:t>
      </w:r>
      <w:r w:rsidRPr="00413DAD">
        <w:rPr>
          <w:rFonts w:ascii="Times New Roman" w:hAnsi="Times New Roman"/>
          <w:sz w:val="24"/>
          <w:szCs w:val="24"/>
        </w:rPr>
        <w:t>снижение функции почек; остеопороз, связанный с резистентностью к витамину D и мальабсорбцией кальция.</w:t>
      </w:r>
    </w:p>
    <w:p w14:paraId="41979FE4" w14:textId="77777777" w:rsidR="00413DAD" w:rsidRDefault="00413DAD" w:rsidP="00413D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DAD">
        <w:rPr>
          <w:rFonts w:ascii="Times New Roman" w:hAnsi="Times New Roman"/>
          <w:sz w:val="24"/>
          <w:szCs w:val="24"/>
        </w:rPr>
        <w:t>Основными показаниями являются:</w:t>
      </w:r>
    </w:p>
    <w:p w14:paraId="70DDD7D9" w14:textId="77777777" w:rsidR="00080052" w:rsidRPr="00080052" w:rsidRDefault="00080052" w:rsidP="00080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2">
        <w:rPr>
          <w:rFonts w:ascii="Times New Roman" w:hAnsi="Times New Roman"/>
          <w:sz w:val="24"/>
          <w:szCs w:val="24"/>
        </w:rPr>
        <w:t>- основные типы и формы остеопороза (в т.ч. постменопаузальный, сенильный, стероидный)</w:t>
      </w:r>
    </w:p>
    <w:p w14:paraId="09AEA0DD" w14:textId="77777777" w:rsidR="00080052" w:rsidRPr="00080052" w:rsidRDefault="00080052" w:rsidP="00080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2">
        <w:rPr>
          <w:rFonts w:ascii="Times New Roman" w:hAnsi="Times New Roman"/>
          <w:sz w:val="24"/>
          <w:szCs w:val="24"/>
        </w:rPr>
        <w:t>- остеодистрофия при хронической почечной недостаточности</w:t>
      </w:r>
    </w:p>
    <w:p w14:paraId="0B5DE9AC" w14:textId="77777777" w:rsidR="00805F4C" w:rsidRDefault="00080052" w:rsidP="00080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2">
        <w:rPr>
          <w:rFonts w:ascii="Times New Roman" w:hAnsi="Times New Roman"/>
          <w:sz w:val="24"/>
          <w:szCs w:val="24"/>
        </w:rPr>
        <w:t>- гипопаратиреоз</w:t>
      </w:r>
    </w:p>
    <w:p w14:paraId="2CDA257B" w14:textId="77777777" w:rsidR="00080052" w:rsidRDefault="00080052" w:rsidP="00080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2">
        <w:rPr>
          <w:rFonts w:ascii="Times New Roman" w:hAnsi="Times New Roman"/>
          <w:sz w:val="24"/>
          <w:szCs w:val="24"/>
        </w:rPr>
        <w:t>- гиперпаратиреоз (с поражением костей)</w:t>
      </w:r>
    </w:p>
    <w:p w14:paraId="47DCA9CA" w14:textId="77777777" w:rsidR="00080052" w:rsidRPr="00080052" w:rsidRDefault="00080052" w:rsidP="00080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2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05F4C">
        <w:rPr>
          <w:rFonts w:ascii="Times New Roman" w:hAnsi="Times New Roman"/>
          <w:sz w:val="24"/>
          <w:szCs w:val="24"/>
        </w:rPr>
        <w:t xml:space="preserve">рахит и </w:t>
      </w:r>
      <w:r w:rsidRPr="00080052">
        <w:rPr>
          <w:rFonts w:ascii="Times New Roman" w:hAnsi="Times New Roman"/>
          <w:sz w:val="24"/>
          <w:szCs w:val="24"/>
        </w:rPr>
        <w:t xml:space="preserve">остеомаляции, связанные с недостаточностью поступления витамина Д с пищей или нарушениями его всасывания в ЖКТ </w:t>
      </w:r>
    </w:p>
    <w:p w14:paraId="776A7682" w14:textId="77777777" w:rsidR="00080052" w:rsidRPr="00080052" w:rsidRDefault="00080052" w:rsidP="00080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2">
        <w:rPr>
          <w:rFonts w:ascii="Times New Roman" w:hAnsi="Times New Roman"/>
          <w:sz w:val="24"/>
          <w:szCs w:val="24"/>
        </w:rPr>
        <w:t xml:space="preserve">- </w:t>
      </w:r>
      <w:bookmarkStart w:id="4" w:name="_Hlk74305766"/>
      <w:r w:rsidRPr="00080052">
        <w:rPr>
          <w:rFonts w:ascii="Times New Roman" w:hAnsi="Times New Roman"/>
          <w:sz w:val="24"/>
          <w:szCs w:val="24"/>
        </w:rPr>
        <w:t>гипофосфатемический витамин-Д-резистентный рахит и остеомаляция</w:t>
      </w:r>
    </w:p>
    <w:bookmarkEnd w:id="4"/>
    <w:p w14:paraId="4A51480C" w14:textId="77777777" w:rsidR="00080052" w:rsidRPr="00080052" w:rsidRDefault="00080052" w:rsidP="000800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2">
        <w:rPr>
          <w:rFonts w:ascii="Times New Roman" w:hAnsi="Times New Roman"/>
          <w:sz w:val="24"/>
          <w:szCs w:val="24"/>
        </w:rPr>
        <w:t xml:space="preserve">- </w:t>
      </w:r>
      <w:bookmarkStart w:id="5" w:name="_Hlk74305696"/>
      <w:r w:rsidRPr="00080052">
        <w:rPr>
          <w:rFonts w:ascii="Times New Roman" w:hAnsi="Times New Roman"/>
          <w:sz w:val="24"/>
          <w:szCs w:val="24"/>
        </w:rPr>
        <w:t>псевдодефицитный (витамин-Д-зависимый) рахит и остеомаляция</w:t>
      </w:r>
      <w:bookmarkEnd w:id="5"/>
    </w:p>
    <w:p w14:paraId="2B45C0B7" w14:textId="77777777" w:rsidR="00080052" w:rsidRDefault="00080052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6" w:name="2175220274"/>
    </w:p>
    <w:p w14:paraId="2DFEE37B" w14:textId="77777777" w:rsidR="00B7231F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38A5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2669A599" w14:textId="77777777" w:rsidR="000B6437" w:rsidRPr="0055748E" w:rsidRDefault="000B6437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7" w:name="_Hlk63418276"/>
      <w:r w:rsidRPr="0055748E">
        <w:rPr>
          <w:rFonts w:ascii="Times New Roman" w:eastAsia="Times New Roman" w:hAnsi="Times New Roman"/>
          <w:b/>
          <w:sz w:val="24"/>
          <w:szCs w:val="24"/>
          <w:lang w:eastAsia="ru-RU"/>
        </w:rPr>
        <w:t>Режим дозирования</w:t>
      </w:r>
    </w:p>
    <w:bookmarkEnd w:id="7"/>
    <w:p w14:paraId="3E02B619" w14:textId="77777777" w:rsidR="004D3B83" w:rsidRDefault="004D3B83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Рекомендуемая начальная доза при всех показаниях: взрослые – 1.0 мкг/сут, пожилые 0.5 мкг/сут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, дети с массой тела 20 кг и более</w:t>
      </w:r>
      <w:r w:rsidR="009934F0" w:rsidRPr="009934F0">
        <w:t xml:space="preserve"> </w:t>
      </w:r>
      <w:r w:rsidR="009934F0" w:rsidRPr="009934F0">
        <w:rPr>
          <w:rFonts w:ascii="Times New Roman" w:eastAsia="Times New Roman" w:hAnsi="Times New Roman"/>
          <w:sz w:val="24"/>
          <w:szCs w:val="24"/>
          <w:lang w:eastAsia="ru-RU"/>
        </w:rPr>
        <w:t>за исключением остеодистрофии почек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9934F0" w:rsidRPr="009934F0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934F0" w:rsidRPr="009934F0">
        <w:rPr>
          <w:rFonts w:ascii="Times New Roman" w:eastAsia="Times New Roman" w:hAnsi="Times New Roman"/>
          <w:sz w:val="24"/>
          <w:szCs w:val="24"/>
          <w:lang w:eastAsia="ru-RU"/>
        </w:rPr>
        <w:t xml:space="preserve"> мкг/сут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934F0" w:rsidRPr="009934F0">
        <w:t xml:space="preserve"> 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пациенты с остеодистрофией почек -</w:t>
      </w:r>
      <w:r w:rsidR="009934F0" w:rsidRPr="009934F0">
        <w:rPr>
          <w:rFonts w:ascii="Times New Roman" w:eastAsia="Times New Roman" w:hAnsi="Times New Roman"/>
          <w:sz w:val="24"/>
          <w:szCs w:val="24"/>
          <w:lang w:eastAsia="ru-RU"/>
        </w:rPr>
        <w:t xml:space="preserve"> 0.04 - 0.08 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мкг</w:t>
      </w:r>
      <w:r w:rsidR="009934F0" w:rsidRPr="009934F0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кг</w:t>
      </w:r>
      <w:r w:rsidR="009934F0" w:rsidRPr="009934F0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910BCEB" w14:textId="77777777" w:rsidR="004D3B83" w:rsidRDefault="004D3B83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3B8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этого дозу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Альфадола</w:t>
      </w:r>
      <w:r w:rsidRPr="004D3B83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скорректировать, чтобы избежать гиперкальциемии в соответствии с биохимическим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показателями</w:t>
      </w:r>
      <w:r w:rsidRPr="004D3B8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Они</w:t>
      </w:r>
      <w:r w:rsidRPr="004D3B83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включают уровни кальция в плазме (идеально скорректированные на связывание с белками), щелочной фосфатазы, паратиреоидного гормона, а также рентгенологические и гистологические исследования.</w:t>
      </w:r>
    </w:p>
    <w:p w14:paraId="622C430F" w14:textId="77777777" w:rsidR="00D3727B" w:rsidRDefault="00D3727B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27B">
        <w:rPr>
          <w:rFonts w:ascii="Times New Roman" w:eastAsia="Times New Roman" w:hAnsi="Times New Roman"/>
          <w:sz w:val="24"/>
          <w:szCs w:val="24"/>
          <w:lang w:eastAsia="ru-RU"/>
        </w:rPr>
        <w:t>Начинать лечение рекомендуется с минимальных указанных доз, контролируя 1 раз в неделю уровень кальция и фосфора в плазме крови. Дозу препарата можно повышать на 0,25</w:t>
      </w:r>
      <w:r w:rsidR="001766A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3727B">
        <w:rPr>
          <w:rFonts w:ascii="Times New Roman" w:eastAsia="Times New Roman" w:hAnsi="Times New Roman"/>
          <w:sz w:val="24"/>
          <w:szCs w:val="24"/>
          <w:lang w:eastAsia="ru-RU"/>
        </w:rPr>
        <w:t>0,5 мкг/сут до стабилизации биохимических показателей. При достижении минимальной эффективной дозы рекомендуется контролировать уровень кальция в плазме крови каждые 2-4 недели.</w:t>
      </w:r>
    </w:p>
    <w:p w14:paraId="57157F6C" w14:textId="77777777" w:rsidR="00BE3D59" w:rsidRDefault="00BE3D59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>Большинство взрослых пациентов реагируют на доз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1-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>3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кг/сут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>. При наличии биохимических или рентгенологических признаков заживления костей (и у пациентов с гипопаратиреозом, когда достигнут нормальный уровень кальция в плазме крови) доз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 обычно сниж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ают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>. Поддерживающие дозы обычно находятся в диапазоне 0,25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>1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кг/сут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возникает гиперкальциемия, следует прекратить прием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Альфадола 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до тех пор, пока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>кальци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в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плазм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крови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вернется в норму (примерно через 1 неделю), а затем возобновить прием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используя половину</w:t>
      </w:r>
      <w:r w:rsidRPr="00BE3D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предыдущей дозы.</w:t>
      </w:r>
    </w:p>
    <w:p w14:paraId="6EC63E6E" w14:textId="77777777" w:rsidR="00BF27C4" w:rsidRPr="00B82874" w:rsidRDefault="00BF27C4" w:rsidP="00BF27C4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828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Заболевания костей</w:t>
      </w:r>
      <w:r w:rsidR="009369D3" w:rsidRPr="00B828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связанные с почечной недостаточностью</w:t>
      </w:r>
    </w:p>
    <w:p w14:paraId="4655E6E4" w14:textId="77777777" w:rsidR="00BF27C4" w:rsidRPr="00BF27C4" w:rsidRDefault="00BF27C4" w:rsidP="00BF27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7C4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Пациенты с относительно высоким исходным уровнем кальция в плазме могут иметь автономный гиперпаратиреоз, часто не реагирующий на </w:t>
      </w:r>
      <w:r w:rsidR="009369D3"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r w:rsidRPr="00BF27C4">
        <w:rPr>
          <w:rFonts w:ascii="Times New Roman" w:eastAsia="Times New Roman" w:hAnsi="Times New Roman"/>
          <w:sz w:val="24"/>
          <w:szCs w:val="24"/>
          <w:lang w:eastAsia="ru-RU"/>
        </w:rPr>
        <w:t>. Могут быть показаны и другие терапевтические меры.</w:t>
      </w:r>
    </w:p>
    <w:p w14:paraId="68878614" w14:textId="77777777" w:rsidR="00BE3D59" w:rsidRDefault="00BF27C4" w:rsidP="00BF27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27C4">
        <w:rPr>
          <w:rFonts w:ascii="Times New Roman" w:eastAsia="Times New Roman" w:hAnsi="Times New Roman"/>
          <w:sz w:val="24"/>
          <w:szCs w:val="24"/>
          <w:lang w:eastAsia="ru-RU"/>
        </w:rPr>
        <w:t xml:space="preserve">До и во время лечения </w:t>
      </w:r>
      <w:r w:rsidR="009369D3">
        <w:rPr>
          <w:rFonts w:ascii="Times New Roman" w:eastAsia="Times New Roman" w:hAnsi="Times New Roman"/>
          <w:sz w:val="24"/>
          <w:szCs w:val="24"/>
          <w:lang w:eastAsia="ru-RU"/>
        </w:rPr>
        <w:t>альфакальцидолом</w:t>
      </w:r>
      <w:r w:rsidRPr="00BF27C4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рассмотреть возможность применения фосфатсвязывающих средств для предотвращения гиперфосфатемии. Особенно важно часто измерять уровень кальция в плазме крови у пациентов с хронической почечной недостаточностью, поскольку длительная гиперкальциемия может усугубить снижение функции почек.</w:t>
      </w:r>
    </w:p>
    <w:p w14:paraId="322F9185" w14:textId="77777777" w:rsidR="00C27C3F" w:rsidRPr="00B82874" w:rsidRDefault="00C27C3F" w:rsidP="00C27C3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828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Гиперпаратиреоз</w:t>
      </w:r>
    </w:p>
    <w:p w14:paraId="65EE7681" w14:textId="77777777" w:rsidR="00C27C3F" w:rsidRPr="00C27C3F" w:rsidRDefault="00C27C3F" w:rsidP="00C27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У пациентов с первичным или третичным гиперпаратиреозом, которым предстоит паратиреоидэктомия, предоперационное лечение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альфакальцидолом</w:t>
      </w:r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2-3 недель облегчает боль в костях и миопатию, не усугубляя предоперационную гиперкальциемию. Чтобы уменьшить послеоперационную гипокальциемию, следует продолжать прием препарата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Альфадол</w:t>
      </w:r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 до тех пор, пока уровень щелочной фосфатазы в плазме не снизится до нормы или не возникнет гиперкальциемия.</w:t>
      </w:r>
    </w:p>
    <w:p w14:paraId="08450EE1" w14:textId="77777777" w:rsidR="00C27C3F" w:rsidRPr="00B82874" w:rsidRDefault="00C27C3F" w:rsidP="00C27C3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828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Гипопаратиреоз</w:t>
      </w:r>
    </w:p>
    <w:p w14:paraId="5C588350" w14:textId="77777777" w:rsidR="00BE3D59" w:rsidRDefault="00C27C3F" w:rsidP="00C27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отличие от реакции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нативный</w:t>
      </w:r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 витамин D, низкий уровень кальция в плазме восстанавливается до нормального уровня относительно быстро с помощью</w:t>
      </w:r>
      <w:r w:rsidR="00B828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Альфадола</w:t>
      </w:r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. Тяжелая гипокальциемия корригируется быстрее с помощью более высоких доз </w:t>
      </w:r>
      <w:r w:rsidR="00CB05D3">
        <w:rPr>
          <w:rFonts w:ascii="Times New Roman" w:eastAsia="Times New Roman" w:hAnsi="Times New Roman"/>
          <w:sz w:val="24"/>
          <w:szCs w:val="24"/>
          <w:lang w:eastAsia="ru-RU"/>
        </w:rPr>
        <w:t>Альфадола</w:t>
      </w:r>
      <w:r w:rsidRPr="00C27C3F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3-5 мкг) вместе с добавками кальция.</w:t>
      </w:r>
    </w:p>
    <w:p w14:paraId="4AB26908" w14:textId="77777777" w:rsidR="000A5CC4" w:rsidRPr="000A5CC4" w:rsidRDefault="000A5CC4" w:rsidP="0097426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bookmarkStart w:id="8" w:name="_Hlk74305668"/>
      <w:r w:rsidRPr="000A5C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Рахит и остеомаляции, связанные с недостаточностью поступления витамина Д с пищей или нарушениями его всасывания в ЖКТ </w:t>
      </w:r>
    </w:p>
    <w:bookmarkEnd w:id="8"/>
    <w:p w14:paraId="397430FF" w14:textId="77777777" w:rsidR="0097426A" w:rsidRPr="0097426A" w:rsidRDefault="000A5CC4" w:rsidP="009742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5CC4">
        <w:rPr>
          <w:rFonts w:ascii="Times New Roman" w:eastAsia="Times New Roman" w:hAnsi="Times New Roman"/>
          <w:sz w:val="24"/>
          <w:szCs w:val="24"/>
          <w:lang w:eastAsia="ru-RU"/>
        </w:rPr>
        <w:t>Рахит и остеомаляции, связанные с недостаточностью поступления витамина Д с пищей или нарушениями его всасывания в ЖКТ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7426A"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быстро вылечить с помощью </w:t>
      </w:r>
      <w:r w:rsidR="009742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препарата Альфадол</w:t>
      </w:r>
      <w:r w:rsidR="0097426A"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. Остеомаляция мальабсорбции (реагирующая на большие дозы внутривенного или внутривенного </w:t>
      </w:r>
      <w:r w:rsidR="0097426A">
        <w:rPr>
          <w:rFonts w:ascii="Times New Roman" w:eastAsia="Times New Roman" w:hAnsi="Times New Roman"/>
          <w:sz w:val="24"/>
          <w:szCs w:val="24"/>
          <w:lang w:eastAsia="ru-RU"/>
        </w:rPr>
        <w:t>нативного</w:t>
      </w:r>
      <w:r w:rsidR="0097426A"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витамина D) будет реагировать на малые дозы</w:t>
      </w:r>
      <w:r w:rsid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Альфадола</w:t>
      </w:r>
      <w:r w:rsidR="0097426A" w:rsidRPr="009742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9887F5A" w14:textId="77777777" w:rsidR="0097426A" w:rsidRPr="000A5CC4" w:rsidRDefault="000A5CC4" w:rsidP="0097426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A5C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Псевдодефицитный (витамин-Д-зависимый) рахит и остеомаляция</w:t>
      </w:r>
    </w:p>
    <w:p w14:paraId="448A7BEF" w14:textId="77777777" w:rsidR="0097426A" w:rsidRPr="0097426A" w:rsidRDefault="0097426A" w:rsidP="009742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Хотя потребуются большие дозы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нативного</w:t>
      </w:r>
      <w:r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витамина D, эффективные дозы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Альфадола</w:t>
      </w:r>
      <w:r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аналогичны тем, которые требуются для лечения рахита с дефицитом витамина D и остеомаляции.</w:t>
      </w:r>
    </w:p>
    <w:p w14:paraId="0FC14A4E" w14:textId="77777777" w:rsidR="000A5CC4" w:rsidRPr="000A5CC4" w:rsidRDefault="000A5CC4" w:rsidP="0097426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A5CC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Гипофосфатемический витамин-Д-резистентный рахит и остеомаляция</w:t>
      </w:r>
    </w:p>
    <w:p w14:paraId="054C5AF2" w14:textId="77777777" w:rsidR="00BE3D59" w:rsidRDefault="0097426A" w:rsidP="009742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Ни большие дозы </w:t>
      </w:r>
      <w:r w:rsidR="00C03C84">
        <w:rPr>
          <w:rFonts w:ascii="Times New Roman" w:eastAsia="Times New Roman" w:hAnsi="Times New Roman"/>
          <w:sz w:val="24"/>
          <w:szCs w:val="24"/>
          <w:lang w:eastAsia="ru-RU"/>
        </w:rPr>
        <w:t>нативного</w:t>
      </w:r>
      <w:r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витамина D, ни фосфатные добавки не являются полностью удовлетворительными. Лечение </w:t>
      </w:r>
      <w:r w:rsidR="00C03C84">
        <w:rPr>
          <w:rFonts w:ascii="Times New Roman" w:eastAsia="Times New Roman" w:hAnsi="Times New Roman"/>
          <w:sz w:val="24"/>
          <w:szCs w:val="24"/>
          <w:lang w:eastAsia="ru-RU"/>
        </w:rPr>
        <w:t>препаратом Альфадол</w:t>
      </w:r>
      <w:r w:rsidRPr="0097426A">
        <w:rPr>
          <w:rFonts w:ascii="Times New Roman" w:eastAsia="Times New Roman" w:hAnsi="Times New Roman"/>
          <w:sz w:val="24"/>
          <w:szCs w:val="24"/>
          <w:lang w:eastAsia="ru-RU"/>
        </w:rPr>
        <w:t xml:space="preserve"> в нормальной дозировке быстро снимает миопатию, когда она присутствует, и увеличивает задержку кальция и фосфата. Некоторым пациентам также могут потребоваться фосфатные добавки.</w:t>
      </w:r>
    </w:p>
    <w:p w14:paraId="5D49A9C3" w14:textId="77777777" w:rsidR="00707E26" w:rsidRPr="00146454" w:rsidRDefault="00707E26" w:rsidP="00707E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454">
        <w:rPr>
          <w:rFonts w:ascii="Times New Roman" w:hAnsi="Times New Roman"/>
          <w:sz w:val="24"/>
          <w:szCs w:val="24"/>
        </w:rPr>
        <w:t>Длительность и курс лечения определяется врачом индивидуально и зависит от характера заболевания и эффективности терапии. В отдельных случаях препарат применяют в течение всей жизни.</w:t>
      </w:r>
    </w:p>
    <w:p w14:paraId="6E02925A" w14:textId="77777777" w:rsidR="00182CB5" w:rsidRDefault="00182CB5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CB5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 применения</w:t>
      </w:r>
    </w:p>
    <w:p w14:paraId="73B571D7" w14:textId="77777777" w:rsidR="00182CB5" w:rsidRDefault="008153C7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_Hlk63418322"/>
      <w:r w:rsidRPr="008153C7">
        <w:rPr>
          <w:rFonts w:ascii="Times New Roman" w:eastAsia="Times New Roman" w:hAnsi="Times New Roman"/>
          <w:sz w:val="24"/>
          <w:szCs w:val="24"/>
          <w:lang w:eastAsia="ru-RU"/>
        </w:rPr>
        <w:t>Препарат применяют внутрь.</w:t>
      </w:r>
    </w:p>
    <w:bookmarkEnd w:id="9"/>
    <w:p w14:paraId="12DD3BB8" w14:textId="77777777" w:rsidR="008153C7" w:rsidRPr="00372082" w:rsidRDefault="008153C7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bookmarkEnd w:id="6"/>
    <w:p w14:paraId="4C48CA00" w14:textId="77777777" w:rsidR="007D0E84" w:rsidRPr="002937FA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  <w:r w:rsidR="005E58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1F7A38C5" w14:textId="77777777" w:rsidR="00182CB5" w:rsidRPr="002937FA" w:rsidRDefault="00182CB5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7FA">
        <w:rPr>
          <w:rFonts w:ascii="Times New Roman" w:eastAsia="Times New Roman" w:hAnsi="Times New Roman"/>
          <w:sz w:val="24"/>
          <w:szCs w:val="24"/>
          <w:lang w:eastAsia="ru-RU"/>
        </w:rPr>
        <w:t>- гиперчувствительность к действующему веществу или к любому из вспомогательных веществ, перечисленных в разделе 6.1</w:t>
      </w:r>
    </w:p>
    <w:p w14:paraId="2EE09E15" w14:textId="77777777" w:rsidR="00182CB5" w:rsidRPr="002937FA" w:rsidRDefault="00182CB5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7FA">
        <w:rPr>
          <w:rFonts w:ascii="Times New Roman" w:eastAsia="Times New Roman" w:hAnsi="Times New Roman"/>
          <w:sz w:val="24"/>
          <w:szCs w:val="24"/>
          <w:lang w:eastAsia="ru-RU"/>
        </w:rPr>
        <w:t>- гиперкальциемия, гиперкальциурия</w:t>
      </w:r>
    </w:p>
    <w:p w14:paraId="7A1D4E29" w14:textId="77777777" w:rsidR="00182CB5" w:rsidRPr="00182CB5" w:rsidRDefault="00182CB5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37FA">
        <w:rPr>
          <w:rFonts w:ascii="Times New Roman" w:eastAsia="Times New Roman" w:hAnsi="Times New Roman"/>
          <w:sz w:val="24"/>
          <w:szCs w:val="24"/>
          <w:lang w:eastAsia="ru-RU"/>
        </w:rPr>
        <w:t>- гиперфосфатемия</w:t>
      </w:r>
      <w:r w:rsidRPr="00182CB5">
        <w:rPr>
          <w:rFonts w:ascii="Times New Roman" w:eastAsia="Times New Roman" w:hAnsi="Times New Roman"/>
          <w:sz w:val="24"/>
          <w:szCs w:val="24"/>
          <w:lang w:eastAsia="ru-RU"/>
        </w:rPr>
        <w:t xml:space="preserve"> (за исключением гиперфосфатемии при гипопаратиреозе)</w:t>
      </w:r>
    </w:p>
    <w:p w14:paraId="514C867C" w14:textId="77777777" w:rsidR="00737E59" w:rsidRDefault="00182CB5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4A3F">
        <w:rPr>
          <w:rFonts w:ascii="Times New Roman" w:eastAsia="Times New Roman" w:hAnsi="Times New Roman"/>
          <w:sz w:val="24"/>
          <w:szCs w:val="24"/>
          <w:lang w:eastAsia="ru-RU"/>
        </w:rPr>
        <w:t>- гипермагнемия</w:t>
      </w:r>
    </w:p>
    <w:p w14:paraId="7FD02C2B" w14:textId="77777777" w:rsidR="00182CB5" w:rsidRDefault="00182CB5" w:rsidP="00182C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CB5">
        <w:rPr>
          <w:rFonts w:ascii="Times New Roman" w:eastAsia="Times New Roman" w:hAnsi="Times New Roman"/>
          <w:sz w:val="24"/>
          <w:szCs w:val="24"/>
          <w:lang w:eastAsia="ru-RU"/>
        </w:rPr>
        <w:t xml:space="preserve">- детский и подростковый возраст до 18 лет </w:t>
      </w:r>
      <w:r w:rsidR="00DB4AB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дозировки 1.0 мкг </w:t>
      </w:r>
      <w:r w:rsidR="00DB4AB0">
        <w:rPr>
          <w:rFonts w:ascii="Times New Roman" w:eastAsia="Times New Roman" w:hAnsi="Times New Roman"/>
          <w:sz w:val="24"/>
          <w:szCs w:val="24"/>
          <w:lang w:eastAsia="ru-RU"/>
        </w:rPr>
        <w:t>из-за наличия красител</w:t>
      </w:r>
      <w:r w:rsidR="009934F0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DB4AB0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703B67C0" w14:textId="77777777" w:rsidR="007D0E84" w:rsidRPr="00146454" w:rsidRDefault="007D0E84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0833F3" w14:textId="77777777" w:rsidR="00B10089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2937FA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7FBDCD36" w14:textId="77777777" w:rsidR="008667DF" w:rsidRDefault="008667DF" w:rsidP="008667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7DF">
        <w:rPr>
          <w:rFonts w:ascii="Times New Roman" w:eastAsia="Times New Roman" w:hAnsi="Times New Roman"/>
          <w:sz w:val="24"/>
          <w:szCs w:val="24"/>
          <w:lang w:eastAsia="ru-RU"/>
        </w:rPr>
        <w:t>Сообщите лечащему врачу или фармацевту о том, что вы принимаете, недавно принимали или можете начать принимать какие-либо другие препараты.</w:t>
      </w:r>
    </w:p>
    <w:p w14:paraId="2F768BF3" w14:textId="77777777" w:rsidR="00E64E00" w:rsidRDefault="00E64E00" w:rsidP="008667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лечения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альфакальцидолом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регулярно контролировать уровни сывороточного кальция и фосфата сыворотки, особенно у пациентов с почечной недостаточностью и пациентов, получающих высокие дозы. ПТГ, щелочная фосфатаза и фосфаты кальция должны контролироваться в соответствии с клиническими показаниями.</w:t>
      </w:r>
    </w:p>
    <w:p w14:paraId="71E3C284" w14:textId="77777777" w:rsidR="00E64E00" w:rsidRPr="00E64E00" w:rsidRDefault="00E64E00" w:rsidP="00E6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Гиперкальциемия может появиться у пациентов, получавших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>. По этой причине пациенты должны быть проинформированы о клинических симптомах, связанных с гиперкальциемией. Признаками гиперкальциемии являются боль в мышцах и костях, мышечная слабость, спутанность сознания, обезвоживание, анорексия, усталость, тошнота и рвота, запоры, полиурия, потливость, головная боль, полидипсия, гипертония и сонливость.</w:t>
      </w:r>
    </w:p>
    <w:p w14:paraId="49AA289B" w14:textId="77777777" w:rsidR="00E64E00" w:rsidRDefault="00E64E00" w:rsidP="00E6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>Гиперкальциемия может быть скорректирована путем отмены препарата и снижения потребления кальция до тех пор, пока уровень кальция в плазме не нормализуется (примерно через неделю). Затем терапия может быть продолжена, начиная с половины последней применявшейся дозы с мониторингом уровня кальция.</w:t>
      </w:r>
    </w:p>
    <w:p w14:paraId="1FE49675" w14:textId="77777777" w:rsidR="00E64E00" w:rsidRPr="00F54707" w:rsidRDefault="00E64E00" w:rsidP="00E6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Длительная гиперкальциемия может усугубить атеросклероз, склероз сердечных клапанов или нефролитиаз, и, следовательно, следует избегать длительной гиперкальциемии, когда у этих пациентов используется альфакальцидол. Наблюдалось временное или даже длительное ухудшение функции почек. </w:t>
      </w:r>
      <w:r w:rsidR="003174B3"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также следует использовать с осторожностью у пациентов с кальцификацией легочной ткани, так как это может привести к сердечным заболеваниям.</w:t>
      </w:r>
    </w:p>
    <w:p w14:paraId="1F6CB94F" w14:textId="77777777" w:rsidR="00E64E00" w:rsidRPr="00E64E00" w:rsidRDefault="00E64E00" w:rsidP="00E6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_Hlk63263843"/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 пациентов с </w:t>
      </w:r>
      <w:r w:rsidR="000B5B0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B5B0F" w:rsidRPr="000B5B0F">
        <w:rPr>
          <w:rFonts w:ascii="Times New Roman" w:eastAsia="Times New Roman" w:hAnsi="Times New Roman"/>
          <w:sz w:val="24"/>
          <w:szCs w:val="24"/>
          <w:lang w:eastAsia="ru-RU"/>
        </w:rPr>
        <w:t>очечн</w:t>
      </w:r>
      <w:r w:rsidR="000B5B0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0B5B0F" w:rsidRPr="000B5B0F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остеодистрофи</w:t>
      </w:r>
      <w:r w:rsidR="000B5B0F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с серьезным снижением функции почек </w:t>
      </w:r>
      <w:r w:rsidR="000B5B0F"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можно 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одновременно с альфакальцидолом использовать </w:t>
      </w:r>
      <w:r w:rsidR="000B5B0F">
        <w:rPr>
          <w:rFonts w:ascii="Times New Roman" w:eastAsia="Times New Roman" w:hAnsi="Times New Roman"/>
          <w:sz w:val="24"/>
          <w:szCs w:val="24"/>
          <w:lang w:eastAsia="ru-RU"/>
        </w:rPr>
        <w:t>фосфат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связывающий агент для предотвращения повышения </w:t>
      </w:r>
      <w:r w:rsidR="000B5B0F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уровня 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>фосфата в сыворотке и потенциально</w:t>
      </w:r>
      <w:r w:rsidR="000B5B0F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метастатической кальцификации.</w:t>
      </w:r>
    </w:p>
    <w:bookmarkEnd w:id="10"/>
    <w:p w14:paraId="290DC505" w14:textId="77777777" w:rsidR="00E64E00" w:rsidRDefault="003174B3" w:rsidP="00E6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r w:rsidR="00E64E00"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использовать с осторожностью у пациентов с гранулематозными заболеваниями, такими как саркоидоз, у которых повышена чувствительность к витамину </w:t>
      </w:r>
      <w:r w:rsidR="00661E8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E64E00" w:rsidRPr="00E64E00">
        <w:rPr>
          <w:rFonts w:ascii="Times New Roman" w:eastAsia="Times New Roman" w:hAnsi="Times New Roman"/>
          <w:sz w:val="24"/>
          <w:szCs w:val="24"/>
          <w:lang w:eastAsia="ru-RU"/>
        </w:rPr>
        <w:t xml:space="preserve"> из-за повышенной активности гидроксилирования.</w:t>
      </w:r>
    </w:p>
    <w:p w14:paraId="104C28EF" w14:textId="77777777" w:rsidR="00005CCA" w:rsidRPr="00E64E00" w:rsidRDefault="00005CCA" w:rsidP="00E6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_Hlk88226201"/>
      <w:r>
        <w:rPr>
          <w:rFonts w:ascii="Times New Roman" w:eastAsia="Times New Roman" w:hAnsi="Times New Roman"/>
          <w:sz w:val="24"/>
          <w:szCs w:val="24"/>
          <w:lang w:eastAsia="ru-RU"/>
        </w:rPr>
        <w:t>Препарат Альфадол содержит</w:t>
      </w:r>
      <w:r w:rsidRPr="00005CCA">
        <w:rPr>
          <w:rFonts w:ascii="Times New Roman" w:eastAsia="Times New Roman" w:hAnsi="Times New Roman"/>
          <w:sz w:val="24"/>
          <w:szCs w:val="24"/>
          <w:lang w:eastAsia="ru-RU"/>
        </w:rPr>
        <w:t xml:space="preserve"> сорбитол жидкий некристаллизующийся, краситель Понсо 4R Супра (Е 124) (для дозировки 0.25 мкг), краситель индигокармин (Е 132) (для дозировки 1.0 мкг), краситель хинолиновый желтый (Е 104) (для дозировки 1.0 мкг).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4F4E" w:rsidRPr="005F4F4E">
        <w:rPr>
          <w:rFonts w:ascii="Times New Roman" w:eastAsia="Times New Roman" w:hAnsi="Times New Roman"/>
          <w:sz w:val="24"/>
          <w:szCs w:val="24"/>
          <w:lang w:eastAsia="ru-RU"/>
        </w:rPr>
        <w:t>Вещество сорбитол жидкий некристаллизующийся оказывает умеренное послабляющее действие; калорийность сорбитола - 2,6 ккал/г.</w:t>
      </w:r>
      <w:r w:rsidR="002A1B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4F4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связи с наличием запрещенных красителей для применения у детей в составе капсул дозировкой 1.0 мкг данный препарат </w:t>
      </w:r>
      <w:r w:rsidR="008461AA">
        <w:rPr>
          <w:rFonts w:ascii="Times New Roman" w:eastAsia="Times New Roman" w:hAnsi="Times New Roman"/>
          <w:sz w:val="24"/>
          <w:szCs w:val="24"/>
          <w:lang w:eastAsia="ru-RU"/>
        </w:rPr>
        <w:t xml:space="preserve">Альфадол, 1.0 мкг,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запрещен к применению у детей.</w:t>
      </w:r>
    </w:p>
    <w:bookmarkEnd w:id="11"/>
    <w:p w14:paraId="54CB23AD" w14:textId="77777777" w:rsidR="00661E8F" w:rsidRPr="00E64E00" w:rsidRDefault="00661E8F" w:rsidP="00E64E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248F4C" w14:textId="77777777" w:rsidR="007D0E84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659A1C37" w14:textId="77777777" w:rsid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A55">
        <w:rPr>
          <w:rFonts w:ascii="Times New Roman" w:eastAsia="Times New Roman" w:hAnsi="Times New Roman"/>
          <w:i/>
          <w:sz w:val="24"/>
          <w:szCs w:val="24"/>
          <w:lang w:eastAsia="ru-RU"/>
        </w:rPr>
        <w:t>Тиазидные диуретики и кальцийсодержащие препараты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439605E" w14:textId="77777777"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_Hlk63260999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ри одновременном применении </w:t>
      </w:r>
      <w:r w:rsidR="00D20DB4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тиазидны</w:t>
      </w:r>
      <w:r w:rsidR="00D20DB4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диуретик</w:t>
      </w:r>
      <w:r w:rsidR="00D20DB4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кальцийсодержащи</w:t>
      </w:r>
      <w:r w:rsidR="00D20DB4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</w:t>
      </w:r>
      <w:r w:rsidR="00D20DB4"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>мо</w:t>
      </w:r>
      <w:r w:rsidR="00D20DB4">
        <w:rPr>
          <w:rFonts w:ascii="Times New Roman" w:eastAsia="Times New Roman" w:hAnsi="Times New Roman"/>
          <w:sz w:val="24"/>
          <w:szCs w:val="24"/>
          <w:lang w:eastAsia="ru-RU"/>
        </w:rPr>
        <w:t>жет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повысить</w:t>
      </w:r>
      <w:r w:rsidR="00D20DB4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риск развития гиперкальциемии. </w:t>
      </w:r>
      <w:bookmarkEnd w:id="12"/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>Уровень кальция должен контролироваться.</w:t>
      </w:r>
    </w:p>
    <w:p w14:paraId="0832CFB1" w14:textId="77777777"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A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Другие препараты, содержащие витамин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Д</w:t>
      </w:r>
      <w:r w:rsidRPr="00373A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20566F1A" w14:textId="77777777" w:rsidR="00373A55" w:rsidRP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>ри одновременном применении увеличи</w:t>
      </w:r>
      <w:r w:rsidR="00FE6C51">
        <w:rPr>
          <w:rFonts w:ascii="Times New Roman" w:eastAsia="Times New Roman" w:hAnsi="Times New Roman"/>
          <w:sz w:val="24"/>
          <w:szCs w:val="24"/>
          <w:lang w:eastAsia="ru-RU"/>
        </w:rPr>
        <w:t>вается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риск гиперкальциемии. Следует избегать использования нескольких аналогов витамина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EF0FBF5" w14:textId="77777777" w:rsidR="005A7446" w:rsidRDefault="00373A55" w:rsidP="00373A5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73A55">
        <w:rPr>
          <w:rFonts w:ascii="Times New Roman" w:eastAsia="Times New Roman" w:hAnsi="Times New Roman"/>
          <w:i/>
          <w:sz w:val="24"/>
          <w:szCs w:val="24"/>
          <w:lang w:eastAsia="ru-RU"/>
        </w:rPr>
        <w:t>Противосудорожные средства</w:t>
      </w:r>
    </w:p>
    <w:p w14:paraId="6DFEB2BA" w14:textId="77777777" w:rsid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(например, барбитураты, фенитоин, карбамазепин или примидон) обладают фермент-индуцирующим эффектом, приводящим к усиленному метаболизму альфакальцидола. Пациентам, принимающим противосудорожные </w:t>
      </w:r>
      <w:r w:rsidR="005A7446">
        <w:rPr>
          <w:rFonts w:ascii="Times New Roman" w:eastAsia="Times New Roman" w:hAnsi="Times New Roman"/>
          <w:sz w:val="24"/>
          <w:szCs w:val="24"/>
          <w:lang w:eastAsia="ru-RU"/>
        </w:rPr>
        <w:t>средства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>, могут потребоваться бол</w:t>
      </w:r>
      <w:r w:rsidR="00FE6C51">
        <w:rPr>
          <w:rFonts w:ascii="Times New Roman" w:eastAsia="Times New Roman" w:hAnsi="Times New Roman"/>
          <w:sz w:val="24"/>
          <w:szCs w:val="24"/>
          <w:lang w:eastAsia="ru-RU"/>
        </w:rPr>
        <w:t>ее высокие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дозы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альфакальцидола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F1B89C5" w14:textId="77777777" w:rsidR="005A7446" w:rsidRPr="005A7446" w:rsidRDefault="005A7446" w:rsidP="00373A5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A7446">
        <w:rPr>
          <w:rFonts w:ascii="Times New Roman" w:eastAsia="Times New Roman" w:hAnsi="Times New Roman"/>
          <w:i/>
          <w:sz w:val="24"/>
          <w:szCs w:val="24"/>
          <w:lang w:eastAsia="ru-RU"/>
        </w:rPr>
        <w:t>Магнийсодержащие антациды</w:t>
      </w:r>
    </w:p>
    <w:p w14:paraId="3E8142AD" w14:textId="77777777" w:rsidR="00373A55" w:rsidRDefault="005A7446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r w:rsidR="00373A55"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усиливать всасывание магнийсодержащих антацидов, увеличивая риск развития гипермагниемии.</w:t>
      </w:r>
    </w:p>
    <w:p w14:paraId="7FE7C734" w14:textId="77777777" w:rsidR="0047024A" w:rsidRPr="0047024A" w:rsidRDefault="0047024A" w:rsidP="00373A5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7024A">
        <w:rPr>
          <w:rFonts w:ascii="Times New Roman" w:eastAsia="Times New Roman" w:hAnsi="Times New Roman"/>
          <w:i/>
          <w:sz w:val="24"/>
          <w:szCs w:val="24"/>
          <w:lang w:eastAsia="ru-RU"/>
        </w:rPr>
        <w:t>Алюминийсодержащие препараты</w:t>
      </w:r>
    </w:p>
    <w:p w14:paraId="79D2065B" w14:textId="77777777" w:rsidR="00373A55" w:rsidRDefault="005A7446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3A55" w:rsidRPr="00373A55">
        <w:rPr>
          <w:rFonts w:ascii="Times New Roman" w:eastAsia="Times New Roman" w:hAnsi="Times New Roman"/>
          <w:sz w:val="24"/>
          <w:szCs w:val="24"/>
          <w:lang w:eastAsia="ru-RU"/>
        </w:rPr>
        <w:t>может увеличить сывороточную концентрацию алюминия. Пациенты, принимающие алюминийсодержащие препараты (например, гидроксид алюминия, сукральфат), должны контролироваться на наличие признаков токсичности, связанной с алюминием.</w:t>
      </w:r>
    </w:p>
    <w:p w14:paraId="094AC3A1" w14:textId="77777777" w:rsidR="00373A55" w:rsidRDefault="00373A55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Сопутствующее пероральное </w:t>
      </w:r>
      <w:r w:rsidR="003665FA">
        <w:rPr>
          <w:rFonts w:ascii="Times New Roman" w:eastAsia="Times New Roman" w:hAnsi="Times New Roman"/>
          <w:sz w:val="24"/>
          <w:szCs w:val="24"/>
          <w:lang w:eastAsia="ru-RU"/>
        </w:rPr>
        <w:t>применение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64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секвестрантов желчных кислот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>, таких как холестирамин, может ухудшить кишечну</w:t>
      </w:r>
      <w:r w:rsidR="0047024A">
        <w:rPr>
          <w:rFonts w:ascii="Times New Roman" w:eastAsia="Times New Roman" w:hAnsi="Times New Roman"/>
          <w:sz w:val="24"/>
          <w:szCs w:val="24"/>
          <w:lang w:eastAsia="ru-RU"/>
        </w:rPr>
        <w:t>ю абсорбцию альфакальцидола</w:t>
      </w:r>
      <w:r w:rsidR="003665FA">
        <w:rPr>
          <w:rFonts w:ascii="Times New Roman" w:eastAsia="Times New Roman" w:hAnsi="Times New Roman"/>
          <w:sz w:val="24"/>
          <w:szCs w:val="24"/>
          <w:lang w:eastAsia="ru-RU"/>
        </w:rPr>
        <w:t>, принимаемого внутрь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7024A"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r w:rsidRPr="00373A55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принимать, по крайней мере, за 1 час до или через 4-6 часов после приема секвестранта желчных кислот, чтобы минимизировать потенциальный риск взаимодействия.</w:t>
      </w:r>
    </w:p>
    <w:p w14:paraId="143FA0A0" w14:textId="77777777" w:rsidR="00661E8F" w:rsidRPr="00373A55" w:rsidRDefault="00661E8F" w:rsidP="00373A5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01E93F" w14:textId="77777777" w:rsidR="00B05BD1" w:rsidRPr="002937FA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4.6 </w:t>
      </w:r>
      <w:r w:rsidRPr="002937F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Фертильность</w:t>
      </w: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2937F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беременность</w:t>
      </w: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937F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и</w:t>
      </w: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937FA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лактация</w:t>
      </w:r>
      <w:r w:rsidRPr="002937F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2C5E0EE6" w14:textId="77777777" w:rsidR="004E2F70" w:rsidRPr="003174B3" w:rsidRDefault="004E2F70" w:rsidP="004E2F7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174B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Беременность и </w:t>
      </w:r>
      <w:bookmarkStart w:id="13" w:name="_Hlk63419263"/>
      <w:r w:rsidR="00100437">
        <w:rPr>
          <w:rFonts w:ascii="Times New Roman" w:eastAsia="Times New Roman" w:hAnsi="Times New Roman"/>
          <w:i/>
          <w:sz w:val="24"/>
          <w:szCs w:val="24"/>
          <w:lang w:eastAsia="ru-RU"/>
        </w:rPr>
        <w:t>кормление грудью</w:t>
      </w:r>
      <w:bookmarkEnd w:id="13"/>
    </w:p>
    <w:p w14:paraId="2F6E4E72" w14:textId="77777777" w:rsidR="00A35058" w:rsidRPr="00A35058" w:rsidRDefault="00A35058" w:rsidP="00A35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>Существует ограниченное количество данных об использовании альфакальцидола у беременных женщин. Исследования на животных показали репродуктивную токсичность в высоких дозах.</w:t>
      </w:r>
    </w:p>
    <w:p w14:paraId="35C42A6E" w14:textId="77777777" w:rsidR="00A35058" w:rsidRPr="00A35058" w:rsidRDefault="00A35058" w:rsidP="00A35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 xml:space="preserve">Поэтому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Альфадол</w:t>
      </w:r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 xml:space="preserve"> не рекомендуется применять во время беременности и у женщин с детородным потенциалом, не использующих контрацепцию.</w:t>
      </w:r>
    </w:p>
    <w:p w14:paraId="419C8E96" w14:textId="77777777" w:rsidR="00A35058" w:rsidRPr="00A35058" w:rsidRDefault="00A35058" w:rsidP="00A35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Хотя не было установлено, вполне вероятно, что повышенное количество 1,25-дигидроксивитамина D будет обнаружено в молоке кормящих матерей, получавших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альфакальцидол</w:t>
      </w:r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>. Это может повлиять на метаболизм кальция у ребенка.</w:t>
      </w:r>
    </w:p>
    <w:p w14:paraId="2E16D50E" w14:textId="77777777" w:rsidR="005B38AE" w:rsidRDefault="00A35058" w:rsidP="00A350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>Следовательно, дети, находящиеся на грудном вскармливании</w:t>
      </w:r>
      <w:r w:rsidR="005B38AE">
        <w:rPr>
          <w:rFonts w:ascii="Times New Roman" w:eastAsia="Times New Roman" w:hAnsi="Times New Roman"/>
          <w:sz w:val="24"/>
          <w:szCs w:val="24"/>
          <w:lang w:eastAsia="ru-RU"/>
        </w:rPr>
        <w:t xml:space="preserve"> у матерей</w:t>
      </w:r>
      <w:r w:rsidRPr="00A35058">
        <w:rPr>
          <w:rFonts w:ascii="Times New Roman" w:eastAsia="Times New Roman" w:hAnsi="Times New Roman"/>
          <w:sz w:val="24"/>
          <w:szCs w:val="24"/>
          <w:lang w:eastAsia="ru-RU"/>
        </w:rPr>
        <w:t>, использующих альфакальцидол, должны тщательно контролироваться на предмет гиперкальциемии.</w:t>
      </w:r>
    </w:p>
    <w:p w14:paraId="3CF83548" w14:textId="77777777" w:rsidR="00B05BD1" w:rsidRPr="00DB6661" w:rsidRDefault="00B05BD1" w:rsidP="00A3505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B6661">
        <w:rPr>
          <w:rFonts w:ascii="Times New Roman" w:hAnsi="Times New Roman"/>
          <w:i/>
          <w:color w:val="000000"/>
          <w:sz w:val="24"/>
          <w:szCs w:val="24"/>
        </w:rPr>
        <w:t>Фертильность</w:t>
      </w:r>
    </w:p>
    <w:p w14:paraId="1920D1AB" w14:textId="77777777" w:rsidR="0078568D" w:rsidRDefault="00DB6661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661">
        <w:rPr>
          <w:rFonts w:ascii="Times New Roman" w:eastAsia="Times New Roman" w:hAnsi="Times New Roman"/>
          <w:sz w:val="24"/>
          <w:szCs w:val="24"/>
          <w:lang w:eastAsia="ru-RU"/>
        </w:rPr>
        <w:t>Нет данных о влиянии альфакальцидола на фертильность.</w:t>
      </w:r>
      <w:r w:rsidR="00A35058" w:rsidRPr="00A35058">
        <w:t xml:space="preserve"> </w:t>
      </w:r>
      <w:r w:rsidR="00A35058" w:rsidRPr="00A35058">
        <w:rPr>
          <w:rFonts w:ascii="Times New Roman" w:eastAsia="Times New Roman" w:hAnsi="Times New Roman"/>
          <w:sz w:val="24"/>
          <w:szCs w:val="24"/>
          <w:lang w:eastAsia="ru-RU"/>
        </w:rPr>
        <w:t>Доклиническое исследование не показало влияния на фертильность у крыс.</w:t>
      </w:r>
    </w:p>
    <w:p w14:paraId="1B183DAD" w14:textId="77777777" w:rsidR="00661E8F" w:rsidRPr="00DB6661" w:rsidRDefault="00661E8F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02E44D" w14:textId="77777777" w:rsidR="00CE7F7F" w:rsidRPr="00580C6D" w:rsidRDefault="00DB406A" w:rsidP="00CE7F7F">
      <w:pPr>
        <w:spacing w:after="0" w:line="240" w:lineRule="auto"/>
        <w:jc w:val="both"/>
        <w:rPr>
          <w:b/>
          <w:i/>
          <w:sz w:val="24"/>
          <w:szCs w:val="24"/>
        </w:rPr>
      </w:pPr>
      <w:r w:rsidRPr="00580C6D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580C6D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580C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580C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580C6D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580C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14" w:name="2175220282"/>
    </w:p>
    <w:p w14:paraId="65FD1844" w14:textId="77777777" w:rsidR="001A7BD9" w:rsidRDefault="006763BC" w:rsidP="001A7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3BC">
        <w:rPr>
          <w:rFonts w:ascii="Times New Roman" w:eastAsia="Times New Roman" w:hAnsi="Times New Roman"/>
          <w:sz w:val="24"/>
          <w:szCs w:val="24"/>
          <w:lang w:eastAsia="ru-RU"/>
        </w:rPr>
        <w:t xml:space="preserve">Альфакальцидол не оказывает прямого или незначительного влияния на способность управлять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транспортными средствами и потенциально опасными механизмами</w:t>
      </w:r>
      <w:r w:rsidRPr="006763BC">
        <w:rPr>
          <w:rFonts w:ascii="Times New Roman" w:eastAsia="Times New Roman" w:hAnsi="Times New Roman"/>
          <w:sz w:val="24"/>
          <w:szCs w:val="24"/>
          <w:lang w:eastAsia="ru-RU"/>
        </w:rPr>
        <w:t>. Однако пациент должен быть проинформирован о том, что во время лечения может возникнуть головокружение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С</w:t>
      </w:r>
      <w:r w:rsidR="001A7BD9" w:rsidRPr="00E64E00">
        <w:rPr>
          <w:rFonts w:ascii="Times New Roman" w:eastAsia="Times New Roman" w:hAnsi="Times New Roman"/>
          <w:sz w:val="24"/>
          <w:szCs w:val="24"/>
          <w:lang w:eastAsia="ru-RU"/>
        </w:rPr>
        <w:t>ледует соблюдать осторожность при управлении транспортными средствами и механизмами, требующими повышенной концентрации внимания и быстроты психомоторных реакций.</w:t>
      </w:r>
    </w:p>
    <w:p w14:paraId="3998CEAE" w14:textId="77777777" w:rsidR="00661E8F" w:rsidRPr="00E64E00" w:rsidRDefault="00661E8F" w:rsidP="001A7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3DCB38" w14:textId="77777777" w:rsidR="009D67EC" w:rsidRPr="009E6EB6" w:rsidRDefault="009D67E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72082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9E6EB6">
        <w:rPr>
          <w:rFonts w:ascii="Times New Roman" w:eastAsia="Times New Roman" w:hAnsi="Times New Roman"/>
          <w:b/>
          <w:sz w:val="24"/>
          <w:szCs w:val="24"/>
          <w:lang w:eastAsia="ru-RU"/>
        </w:rPr>
        <w:t>.8 Нежелательные реакции</w:t>
      </w:r>
      <w:bookmarkEnd w:id="14"/>
    </w:p>
    <w:p w14:paraId="7BA9ED4B" w14:textId="77777777" w:rsidR="00EC30A5" w:rsidRPr="00EC30A5" w:rsidRDefault="00EC30A5" w:rsidP="00EC30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C30A5">
        <w:rPr>
          <w:rFonts w:ascii="Times New Roman" w:hAnsi="Times New Roman"/>
          <w:iCs/>
          <w:sz w:val="24"/>
          <w:szCs w:val="24"/>
        </w:rPr>
        <w:t>Оценка частоты нежелательных эффектов основана на объединенном анализе данных клинических исследований и спонтанных сообщений.</w:t>
      </w:r>
    </w:p>
    <w:p w14:paraId="4101612A" w14:textId="77777777" w:rsidR="00EC30A5" w:rsidRPr="00EC30A5" w:rsidRDefault="00EC30A5" w:rsidP="00EC30A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C30A5">
        <w:rPr>
          <w:rFonts w:ascii="Times New Roman" w:hAnsi="Times New Roman"/>
          <w:iCs/>
          <w:sz w:val="24"/>
          <w:szCs w:val="24"/>
        </w:rPr>
        <w:t>Наиболее часто сообщаемыми нежелательными эффектами являются различные кожные реакции, такие как зуд и сыпь, гиперкальциемия, желудочно-кишечная боль/дискомфорт и гиперфосфатемия.</w:t>
      </w:r>
    </w:p>
    <w:p w14:paraId="6CF9591A" w14:textId="77777777" w:rsidR="002F4DF0" w:rsidRDefault="002F4DF0" w:rsidP="002F4D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54FE">
        <w:rPr>
          <w:rFonts w:ascii="Times New Roman" w:hAnsi="Times New Roman"/>
          <w:i/>
          <w:sz w:val="24"/>
          <w:szCs w:val="24"/>
        </w:rPr>
        <w:t xml:space="preserve">Все нежелательные эффекты перечислены </w:t>
      </w:r>
      <w:r>
        <w:rPr>
          <w:rFonts w:ascii="Times New Roman" w:hAnsi="Times New Roman"/>
          <w:i/>
          <w:sz w:val="24"/>
          <w:szCs w:val="24"/>
        </w:rPr>
        <w:t xml:space="preserve">ниже </w:t>
      </w:r>
      <w:r w:rsidRPr="00CA54FE">
        <w:rPr>
          <w:rFonts w:ascii="Times New Roman" w:hAnsi="Times New Roman"/>
          <w:i/>
          <w:sz w:val="24"/>
          <w:szCs w:val="24"/>
        </w:rPr>
        <w:t xml:space="preserve">по классам </w:t>
      </w:r>
      <w:r>
        <w:rPr>
          <w:rFonts w:ascii="Times New Roman" w:hAnsi="Times New Roman"/>
          <w:i/>
          <w:sz w:val="24"/>
          <w:szCs w:val="24"/>
        </w:rPr>
        <w:t>системы органов</w:t>
      </w:r>
      <w:r w:rsidRPr="00CA54FE">
        <w:rPr>
          <w:rFonts w:ascii="Times New Roman" w:hAnsi="Times New Roman"/>
          <w:i/>
          <w:sz w:val="24"/>
          <w:szCs w:val="24"/>
        </w:rPr>
        <w:t xml:space="preserve"> и частоте</w:t>
      </w:r>
      <w:r>
        <w:rPr>
          <w:rFonts w:ascii="Times New Roman" w:hAnsi="Times New Roman"/>
          <w:i/>
          <w:sz w:val="24"/>
          <w:szCs w:val="24"/>
        </w:rPr>
        <w:t>:</w:t>
      </w:r>
      <w:r w:rsidRPr="00CA54FE">
        <w:rPr>
          <w:rFonts w:ascii="Times New Roman" w:hAnsi="Times New Roman"/>
          <w:i/>
          <w:sz w:val="24"/>
          <w:szCs w:val="24"/>
        </w:rPr>
        <w:t xml:space="preserve"> часто (≥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CA54FE">
        <w:rPr>
          <w:rFonts w:ascii="Times New Roman" w:hAnsi="Times New Roman"/>
          <w:i/>
          <w:sz w:val="24"/>
          <w:szCs w:val="24"/>
        </w:rPr>
        <w:t>1/100), нечасто (от 1/1000 до &lt;1/100), редко (&lt;1/1000) и неизвестно (невозможно оценить по имеющимся данным).</w:t>
      </w:r>
    </w:p>
    <w:p w14:paraId="34DC3A46" w14:textId="77777777" w:rsidR="002F4DF0" w:rsidRPr="00AA1306" w:rsidRDefault="002F4DF0" w:rsidP="009E6EB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bookmarkStart w:id="15" w:name="_Hlk63419720"/>
      <w:r w:rsidRPr="00AA1306">
        <w:rPr>
          <w:rFonts w:ascii="Times New Roman" w:hAnsi="Times New Roman"/>
          <w:iCs/>
          <w:sz w:val="24"/>
          <w:szCs w:val="24"/>
        </w:rPr>
        <w:t>Нарушения со стороны обмена веществ и питания</w:t>
      </w:r>
    </w:p>
    <w:bookmarkEnd w:id="15"/>
    <w:p w14:paraId="7FB464C5" w14:textId="77777777" w:rsidR="009E6EB6" w:rsidRPr="009E6EB6" w:rsidRDefault="009E6EB6" w:rsidP="009E6E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Часто</w:t>
      </w:r>
    </w:p>
    <w:p w14:paraId="468AD57F" w14:textId="77777777" w:rsidR="009E6EB6" w:rsidRDefault="009E6EB6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гиперкальцемия, гиперфосфатемия</w:t>
      </w:r>
    </w:p>
    <w:p w14:paraId="572D53C2" w14:textId="77777777" w:rsidR="002F4DF0" w:rsidRPr="00AA1306" w:rsidRDefault="002F4DF0" w:rsidP="002F4DF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A1306">
        <w:rPr>
          <w:rFonts w:ascii="Times New Roman" w:hAnsi="Times New Roman"/>
          <w:iCs/>
          <w:sz w:val="24"/>
          <w:szCs w:val="24"/>
        </w:rPr>
        <w:t>Нарушения психики</w:t>
      </w:r>
    </w:p>
    <w:p w14:paraId="00F32587" w14:textId="77777777" w:rsidR="002F4DF0" w:rsidRDefault="002F4DF0" w:rsidP="002F4D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Неиз</w:t>
      </w:r>
      <w:r>
        <w:rPr>
          <w:rFonts w:ascii="Times New Roman" w:hAnsi="Times New Roman"/>
          <w:i/>
          <w:sz w:val="24"/>
          <w:szCs w:val="24"/>
        </w:rPr>
        <w:t>вестно</w:t>
      </w:r>
    </w:p>
    <w:p w14:paraId="0AF35CAD" w14:textId="77777777" w:rsidR="002F4DF0" w:rsidRPr="009E6EB6" w:rsidRDefault="002F4DF0" w:rsidP="002F4D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спутанность сознания</w:t>
      </w:r>
    </w:p>
    <w:p w14:paraId="353707E8" w14:textId="77777777" w:rsidR="002F4DF0" w:rsidRPr="00AA1306" w:rsidRDefault="002F4DF0" w:rsidP="002F4DF0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A1306">
        <w:rPr>
          <w:rFonts w:ascii="Times New Roman" w:hAnsi="Times New Roman"/>
          <w:sz w:val="24"/>
          <w:szCs w:val="24"/>
          <w:lang w:val="kk-KZ"/>
        </w:rPr>
        <w:t>Нарушения со стороны нервной системы</w:t>
      </w:r>
    </w:p>
    <w:p w14:paraId="1B3710F5" w14:textId="77777777" w:rsidR="002F4DF0" w:rsidRPr="009E6EB6" w:rsidRDefault="002F4DF0" w:rsidP="002F4D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Нечасто</w:t>
      </w:r>
    </w:p>
    <w:p w14:paraId="2A9255A5" w14:textId="77777777" w:rsidR="002F4DF0" w:rsidRPr="009E6EB6" w:rsidRDefault="002F4DF0" w:rsidP="002F4D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головная боль</w:t>
      </w:r>
    </w:p>
    <w:p w14:paraId="4AEC5379" w14:textId="77777777" w:rsidR="002F4DF0" w:rsidRPr="009E6EB6" w:rsidRDefault="002F4DF0" w:rsidP="002F4D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Редко</w:t>
      </w:r>
    </w:p>
    <w:p w14:paraId="674B37D0" w14:textId="77777777" w:rsidR="002F4DF0" w:rsidRPr="009E6EB6" w:rsidRDefault="002F4DF0" w:rsidP="002F4D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головокружение</w:t>
      </w:r>
    </w:p>
    <w:p w14:paraId="4BA90978" w14:textId="77777777" w:rsidR="00027032" w:rsidRPr="00AA1306" w:rsidRDefault="00027032" w:rsidP="0002703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306">
        <w:rPr>
          <w:rFonts w:ascii="Times New Roman" w:hAnsi="Times New Roman"/>
          <w:sz w:val="24"/>
          <w:szCs w:val="24"/>
        </w:rPr>
        <w:t>Нарушения со стороны желудочно-кишечного тракта</w:t>
      </w:r>
    </w:p>
    <w:p w14:paraId="2EDD1171" w14:textId="77777777" w:rsidR="00027032" w:rsidRPr="009E6EB6" w:rsidRDefault="00027032" w:rsidP="0002703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Часто</w:t>
      </w:r>
    </w:p>
    <w:p w14:paraId="71F2F583" w14:textId="77777777" w:rsidR="009E6EB6" w:rsidRDefault="009E6EB6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боль в животе и дискомфорт</w:t>
      </w:r>
    </w:p>
    <w:p w14:paraId="10C19E26" w14:textId="77777777" w:rsidR="00027032" w:rsidRPr="009E6EB6" w:rsidRDefault="00027032" w:rsidP="0002703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Нечасто</w:t>
      </w:r>
    </w:p>
    <w:p w14:paraId="6EDCDF82" w14:textId="77777777" w:rsidR="00027032" w:rsidRPr="009E6EB6" w:rsidRDefault="00027032" w:rsidP="00027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понос, рвота, запор, тошнота</w:t>
      </w:r>
    </w:p>
    <w:p w14:paraId="2A7777E9" w14:textId="77777777" w:rsidR="00027032" w:rsidRPr="00AA1306" w:rsidRDefault="00027032" w:rsidP="0002703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A1306">
        <w:rPr>
          <w:rFonts w:ascii="Times New Roman" w:hAnsi="Times New Roman"/>
          <w:sz w:val="24"/>
          <w:szCs w:val="24"/>
          <w:lang w:val="kk-KZ"/>
        </w:rPr>
        <w:t>Нарушения со стороны кожи и подкожных тканей</w:t>
      </w:r>
    </w:p>
    <w:p w14:paraId="443FFEE2" w14:textId="77777777" w:rsidR="00D74944" w:rsidRPr="009E6EB6" w:rsidRDefault="00D74944" w:rsidP="00D7494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Часто</w:t>
      </w:r>
    </w:p>
    <w:p w14:paraId="66220AC0" w14:textId="77777777" w:rsidR="009E6EB6" w:rsidRDefault="009E6EB6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сыпь, зуд</w:t>
      </w:r>
    </w:p>
    <w:p w14:paraId="4303621C" w14:textId="77777777" w:rsidR="00D74944" w:rsidRDefault="00D74944" w:rsidP="00D7494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</w:t>
      </w:r>
      <w:r w:rsidR="00EA6F85">
        <w:rPr>
          <w:rFonts w:ascii="Times New Roman" w:hAnsi="Times New Roman"/>
          <w:i/>
          <w:sz w:val="24"/>
          <w:szCs w:val="24"/>
        </w:rPr>
        <w:t>част</w:t>
      </w:r>
      <w:r>
        <w:rPr>
          <w:rFonts w:ascii="Times New Roman" w:hAnsi="Times New Roman"/>
          <w:i/>
          <w:sz w:val="24"/>
          <w:szCs w:val="24"/>
        </w:rPr>
        <w:t>о</w:t>
      </w:r>
    </w:p>
    <w:p w14:paraId="73D79766" w14:textId="77777777" w:rsidR="00D74944" w:rsidRPr="009E6EB6" w:rsidRDefault="00D74944" w:rsidP="00D74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крапивница</w:t>
      </w:r>
    </w:p>
    <w:p w14:paraId="30D80BFB" w14:textId="77777777" w:rsidR="00D74944" w:rsidRPr="00AA1306" w:rsidRDefault="00D74944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_Hlk63420076"/>
      <w:r w:rsidRPr="00AA1306">
        <w:rPr>
          <w:rFonts w:ascii="Times New Roman" w:hAnsi="Times New Roman"/>
          <w:sz w:val="24"/>
          <w:szCs w:val="24"/>
        </w:rPr>
        <w:t>Нарушения со стороны скелетно-мышечной и соединительной ткани</w:t>
      </w:r>
    </w:p>
    <w:bookmarkEnd w:id="16"/>
    <w:p w14:paraId="6B50739F" w14:textId="77777777" w:rsidR="00050930" w:rsidRPr="009E6EB6" w:rsidRDefault="00050930" w:rsidP="0005093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Нечасто</w:t>
      </w:r>
    </w:p>
    <w:p w14:paraId="087099FE" w14:textId="77777777" w:rsidR="00050930" w:rsidRPr="009E6EB6" w:rsidRDefault="00050930" w:rsidP="000509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миалгия</w:t>
      </w:r>
    </w:p>
    <w:p w14:paraId="62D0693B" w14:textId="77777777" w:rsidR="00D74944" w:rsidRPr="00AA1306" w:rsidRDefault="00A01233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7" w:name="_Hlk63420161"/>
      <w:r w:rsidRPr="00AA1306">
        <w:rPr>
          <w:rFonts w:ascii="Times New Roman" w:hAnsi="Times New Roman"/>
          <w:sz w:val="24"/>
          <w:szCs w:val="24"/>
        </w:rPr>
        <w:lastRenderedPageBreak/>
        <w:t>Нарушения со стороны почек и мочевыводящих путей</w:t>
      </w:r>
    </w:p>
    <w:bookmarkEnd w:id="17"/>
    <w:p w14:paraId="7061F2F8" w14:textId="77777777" w:rsidR="00DE42C9" w:rsidRPr="009E6EB6" w:rsidRDefault="00DE42C9" w:rsidP="00DE42C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Часто</w:t>
      </w:r>
    </w:p>
    <w:p w14:paraId="78B2FB91" w14:textId="77777777" w:rsidR="009E6EB6" w:rsidRDefault="009E6EB6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гиперкальциурия</w:t>
      </w:r>
    </w:p>
    <w:p w14:paraId="0569E40A" w14:textId="77777777" w:rsidR="00DE42C9" w:rsidRPr="009E6EB6" w:rsidRDefault="00DE42C9" w:rsidP="00DE42C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Нечасто</w:t>
      </w:r>
    </w:p>
    <w:p w14:paraId="4A5DF892" w14:textId="77777777" w:rsidR="009E6EB6" w:rsidRDefault="009E6EB6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нефролитиаз/нефрокальциноз</w:t>
      </w:r>
    </w:p>
    <w:p w14:paraId="1215E7F0" w14:textId="77777777" w:rsidR="00DE42C9" w:rsidRDefault="00DE42C9" w:rsidP="00DE42C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Неиз</w:t>
      </w:r>
      <w:r>
        <w:rPr>
          <w:rFonts w:ascii="Times New Roman" w:hAnsi="Times New Roman"/>
          <w:i/>
          <w:sz w:val="24"/>
          <w:szCs w:val="24"/>
        </w:rPr>
        <w:t>вестно</w:t>
      </w:r>
    </w:p>
    <w:p w14:paraId="6D6F8F11" w14:textId="77777777" w:rsidR="00DE42C9" w:rsidRDefault="00DE42C9" w:rsidP="00DE42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почечная недостаточность (включая острую почечную недостаточность)</w:t>
      </w:r>
    </w:p>
    <w:p w14:paraId="6BD077CF" w14:textId="77777777" w:rsidR="00DE42C9" w:rsidRPr="00AA1306" w:rsidRDefault="00DE42C9" w:rsidP="00DE42C9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A1306">
        <w:rPr>
          <w:rFonts w:ascii="Times New Roman" w:hAnsi="Times New Roman"/>
          <w:sz w:val="24"/>
          <w:szCs w:val="24"/>
          <w:lang w:val="kk-KZ"/>
        </w:rPr>
        <w:t>Общие расстройства и реакции в месте введения</w:t>
      </w:r>
    </w:p>
    <w:p w14:paraId="37912B1F" w14:textId="77777777" w:rsidR="00DE42C9" w:rsidRDefault="00DE42C9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i/>
          <w:sz w:val="24"/>
          <w:szCs w:val="24"/>
        </w:rPr>
        <w:t>Нечасто</w:t>
      </w:r>
    </w:p>
    <w:p w14:paraId="573025E4" w14:textId="77777777" w:rsidR="009E6EB6" w:rsidRPr="009E6EB6" w:rsidRDefault="009E6EB6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- усталость/ астения/ дискомфорт, кальциноз</w:t>
      </w:r>
    </w:p>
    <w:p w14:paraId="6D2A8FAA" w14:textId="77777777" w:rsidR="006F6D39" w:rsidRDefault="006F6D39" w:rsidP="009E6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665EB" w14:textId="77777777" w:rsidR="00814DFC" w:rsidRPr="009E6EB6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6EB6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0010B746" w14:textId="77777777" w:rsidR="004528E1" w:rsidRPr="009E6EB6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424FEB">
        <w:rPr>
          <w:rFonts w:ascii="Times New Roman" w:hAnsi="Times New Roman"/>
          <w:sz w:val="24"/>
          <w:szCs w:val="24"/>
        </w:rPr>
        <w:t>лекарственного препарата</w:t>
      </w:r>
      <w:r w:rsidRPr="009E6EB6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</w:t>
      </w:r>
      <w:r w:rsidR="00424FEB">
        <w:rPr>
          <w:rFonts w:ascii="Times New Roman" w:hAnsi="Times New Roman"/>
          <w:sz w:val="24"/>
          <w:szCs w:val="24"/>
        </w:rPr>
        <w:t xml:space="preserve"> лекарственного препарата</w:t>
      </w:r>
      <w:r w:rsidRPr="009E6EB6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424FEB">
        <w:rPr>
          <w:rFonts w:ascii="Times New Roman" w:hAnsi="Times New Roman"/>
          <w:sz w:val="24"/>
          <w:szCs w:val="24"/>
        </w:rPr>
        <w:t>лекарственного препарата</w:t>
      </w:r>
      <w:r w:rsidRPr="009E6EB6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9E6EB6">
        <w:rPr>
          <w:rFonts w:ascii="Times New Roman" w:hAnsi="Times New Roman"/>
          <w:sz w:val="24"/>
          <w:szCs w:val="24"/>
        </w:rPr>
        <w:t xml:space="preserve"> </w:t>
      </w:r>
    </w:p>
    <w:p w14:paraId="1C53B62C" w14:textId="77777777" w:rsidR="004528E1" w:rsidRPr="009E6EB6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EB6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 средств и медицинских изделий»</w:t>
      </w:r>
      <w:r w:rsidR="00B43378">
        <w:rPr>
          <w:rFonts w:ascii="Times New Roman" w:hAnsi="Times New Roman"/>
          <w:sz w:val="24"/>
          <w:szCs w:val="24"/>
        </w:rPr>
        <w:t xml:space="preserve"> </w:t>
      </w:r>
      <w:r w:rsidR="00B43378" w:rsidRPr="00B43378">
        <w:rPr>
          <w:rFonts w:ascii="Times New Roman" w:hAnsi="Times New Roman"/>
          <w:sz w:val="24"/>
          <w:szCs w:val="24"/>
        </w:rPr>
        <w:t>Комитет медицинского и фармацевтического контроля Министерства здравоохранения Республики Казахстан</w:t>
      </w:r>
    </w:p>
    <w:p w14:paraId="5280833C" w14:textId="77777777" w:rsidR="00814DFC" w:rsidRPr="009E6EB6" w:rsidRDefault="00B70444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9E6EB6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9E6EB6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9E6EB6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9E6EB6">
          <w:rPr>
            <w:rStyle w:val="af"/>
            <w:rFonts w:ascii="Times New Roman" w:hAnsi="Times New Roman"/>
            <w:sz w:val="24"/>
            <w:szCs w:val="24"/>
          </w:rPr>
          <w:t>.</w:t>
        </w:r>
        <w:r w:rsidR="004528E1" w:rsidRPr="009E6EB6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r w:rsidR="004528E1" w:rsidRPr="009E6EB6">
          <w:rPr>
            <w:rStyle w:val="af"/>
            <w:rFonts w:ascii="Times New Roman" w:hAnsi="Times New Roman"/>
            <w:sz w:val="24"/>
            <w:szCs w:val="24"/>
          </w:rPr>
          <w:t>.</w:t>
        </w:r>
        <w:r w:rsidR="004528E1" w:rsidRPr="009E6EB6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273786B1" w14:textId="77777777" w:rsidR="009D67EC" w:rsidRDefault="009D67EC" w:rsidP="0078568D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36EB60" w14:textId="77777777" w:rsidR="00123DB5" w:rsidRPr="00175F0F" w:rsidRDefault="00123DB5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6EB6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0DF088C3" w14:textId="77777777" w:rsidR="00737E59" w:rsidRPr="00146454" w:rsidRDefault="00737E59" w:rsidP="00737E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146454">
        <w:rPr>
          <w:rFonts w:ascii="Times New Roman" w:eastAsia="Times New Roman" w:hAnsi="Times New Roman"/>
          <w:sz w:val="24"/>
          <w:szCs w:val="24"/>
          <w:lang w:eastAsia="ru-RU"/>
        </w:rPr>
        <w:t xml:space="preserve">Чрезмерный приём витамина Д ведёт к развитию гиперкальциемии. </w:t>
      </w:r>
      <w:r w:rsidR="0088648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8648B" w:rsidRPr="0088648B">
        <w:rPr>
          <w:rFonts w:ascii="Times New Roman" w:eastAsia="Times New Roman" w:hAnsi="Times New Roman"/>
          <w:sz w:val="24"/>
          <w:szCs w:val="24"/>
          <w:lang w:eastAsia="ru-RU"/>
        </w:rPr>
        <w:t>днако при отмене препарата эффект быстро меняется на противоположный.</w:t>
      </w:r>
      <w:r w:rsidR="008864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FBB4DDF" w14:textId="77777777" w:rsidR="00175F0F" w:rsidRPr="00175F0F" w:rsidRDefault="00822BF4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0E2">
        <w:rPr>
          <w:rFonts w:ascii="Times New Roman" w:hAnsi="Times New Roman"/>
          <w:color w:val="000000"/>
          <w:sz w:val="24"/>
          <w:szCs w:val="24"/>
        </w:rPr>
        <w:t xml:space="preserve">Лечение: </w:t>
      </w:r>
      <w:r w:rsidR="00175F0F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поддерживающие мероприятия – гидратации с введением инфузионных солевых растворов (с целью форсированного диуреза), в некоторых случая – назначение глюкокортикостероидных препаратов, петлевых диуретиков, бисфосфонатов</w:t>
      </w:r>
      <w:r w:rsidR="00B70C8D">
        <w:rPr>
          <w:rFonts w:ascii="Times New Roman" w:eastAsia="Times New Roman" w:hAnsi="Times New Roman"/>
          <w:sz w:val="24"/>
          <w:szCs w:val="24"/>
          <w:lang w:eastAsia="ru-RU"/>
        </w:rPr>
        <w:t>, кальцитонина, перитонеального диализа или гемодиализа с примененим диализата, не содержащего кальций. Обязателен контроль содержания электролитов в сыворотке крови (особенно кальция), функции почек и состоянии сердца (по данным электрокардиограммы), особенно у пациентов, принимающих препараты наперстянки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FA74439" w14:textId="77777777" w:rsidR="00822BF4" w:rsidRDefault="00822BF4" w:rsidP="007E00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F0FAE0" w14:textId="77777777" w:rsidR="00C153F2" w:rsidRPr="009E6EB6" w:rsidRDefault="00C153F2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661E8F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661E8F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3DD537BF" w14:textId="77777777" w:rsidR="00C153F2" w:rsidRPr="009E6EB6" w:rsidRDefault="00C153F2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E6EB6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9E6EB6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37C86218" w14:textId="77777777" w:rsidR="009E6EB6" w:rsidRPr="009E6EB6" w:rsidRDefault="00C153F2" w:rsidP="00756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E6EB6">
        <w:rPr>
          <w:rFonts w:ascii="Times New Roman" w:eastAsia="TimesNewRomanPSMT" w:hAnsi="Times New Roman"/>
          <w:sz w:val="24"/>
          <w:szCs w:val="24"/>
          <w:lang w:eastAsia="ru-RU"/>
        </w:rPr>
        <w:t xml:space="preserve">Фармакотерапевтическая группа: </w:t>
      </w:r>
      <w:r w:rsidR="009E6EB6" w:rsidRPr="009E6EB6">
        <w:rPr>
          <w:rFonts w:ascii="Times New Roman" w:eastAsia="TimesNewRomanPSMT" w:hAnsi="Times New Roman"/>
          <w:sz w:val="24"/>
          <w:szCs w:val="24"/>
          <w:lang w:eastAsia="ru-RU"/>
        </w:rPr>
        <w:t xml:space="preserve">Витамины. Витамин A и </w:t>
      </w:r>
      <w:r w:rsidR="00661E8F">
        <w:rPr>
          <w:rFonts w:ascii="Times New Roman" w:eastAsia="TimesNewRomanPSMT" w:hAnsi="Times New Roman"/>
          <w:sz w:val="24"/>
          <w:szCs w:val="24"/>
          <w:lang w:eastAsia="ru-RU"/>
        </w:rPr>
        <w:t>Д</w:t>
      </w:r>
      <w:r w:rsidR="009E6EB6" w:rsidRPr="009E6EB6">
        <w:rPr>
          <w:rFonts w:ascii="Times New Roman" w:eastAsia="TimesNewRomanPSMT" w:hAnsi="Times New Roman"/>
          <w:sz w:val="24"/>
          <w:szCs w:val="24"/>
          <w:lang w:eastAsia="ru-RU"/>
        </w:rPr>
        <w:t xml:space="preserve"> и их комбинация. Витамин </w:t>
      </w:r>
      <w:r w:rsidR="00661E8F">
        <w:rPr>
          <w:rFonts w:ascii="Times New Roman" w:eastAsia="TimesNewRomanPSMT" w:hAnsi="Times New Roman"/>
          <w:sz w:val="24"/>
          <w:szCs w:val="24"/>
          <w:lang w:eastAsia="ru-RU"/>
        </w:rPr>
        <w:t>Д</w:t>
      </w:r>
      <w:r w:rsidR="009E6EB6" w:rsidRPr="009E6EB6">
        <w:rPr>
          <w:rFonts w:ascii="Times New Roman" w:eastAsia="TimesNewRomanPSMT" w:hAnsi="Times New Roman"/>
          <w:sz w:val="24"/>
          <w:szCs w:val="24"/>
          <w:lang w:eastAsia="ru-RU"/>
        </w:rPr>
        <w:t xml:space="preserve"> и его производные. Альфакальцидол.</w:t>
      </w:r>
    </w:p>
    <w:p w14:paraId="1D68060B" w14:textId="77777777" w:rsidR="009E6EB6" w:rsidRDefault="00957BAF" w:rsidP="00756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E6EB6">
        <w:rPr>
          <w:rFonts w:ascii="Times New Roman" w:eastAsia="TimesNewRomanPSMT" w:hAnsi="Times New Roman"/>
          <w:sz w:val="24"/>
          <w:szCs w:val="24"/>
          <w:lang w:eastAsia="ru-RU"/>
        </w:rPr>
        <w:t>Код ATХ</w:t>
      </w:r>
      <w:r w:rsidR="009E6EB6" w:rsidRPr="009E6EB6">
        <w:rPr>
          <w:rFonts w:ascii="Times New Roman" w:eastAsia="TimesNewRomanPSMT" w:hAnsi="Times New Roman"/>
          <w:sz w:val="24"/>
          <w:szCs w:val="24"/>
          <w:lang w:eastAsia="ru-RU"/>
        </w:rPr>
        <w:t xml:space="preserve"> А11СС03</w:t>
      </w:r>
    </w:p>
    <w:p w14:paraId="3ABC86E0" w14:textId="77777777" w:rsidR="008C189A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8C189A">
        <w:rPr>
          <w:rFonts w:ascii="Times New Roman" w:hAnsi="Times New Roman"/>
          <w:i/>
          <w:iCs/>
          <w:sz w:val="24"/>
          <w:szCs w:val="24"/>
          <w:lang w:eastAsia="ru-RU"/>
        </w:rPr>
        <w:t>Механизм действия</w:t>
      </w:r>
    </w:p>
    <w:p w14:paraId="6D8EFFA9" w14:textId="77777777" w:rsidR="00B940B2" w:rsidRDefault="00030F68" w:rsidP="0066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030F68">
        <w:rPr>
          <w:rFonts w:ascii="Times New Roman" w:hAnsi="Times New Roman"/>
          <w:iCs/>
          <w:sz w:val="24"/>
          <w:szCs w:val="24"/>
          <w:lang w:eastAsia="ru-RU"/>
        </w:rPr>
        <w:t>Альфакальцидол (1α-гидроксиколекальциферол) в печени быстро трансформируется в 1,25‑дигидроксиколекальциферол — активный метаболит витамина D (витамин D</w:t>
      </w:r>
      <w:r w:rsidRPr="00030F68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3</w:t>
      </w:r>
      <w:r w:rsidRPr="00030F68">
        <w:rPr>
          <w:rFonts w:ascii="Times New Roman" w:hAnsi="Times New Roman"/>
          <w:iCs/>
          <w:sz w:val="24"/>
          <w:szCs w:val="24"/>
          <w:lang w:eastAsia="ru-RU"/>
        </w:rPr>
        <w:t>, кальцитриол), действующий как регулятор обмена кальция и фосфора.</w:t>
      </w:r>
      <w:r w:rsidR="00B940B2" w:rsidRPr="00B940B2">
        <w:rPr>
          <w:rFonts w:ascii="Times New Roman" w:hAnsi="Times New Roman"/>
          <w:iCs/>
          <w:sz w:val="24"/>
          <w:szCs w:val="24"/>
          <w:lang w:eastAsia="ru-RU"/>
        </w:rPr>
        <w:t xml:space="preserve">Поскольку это преобразование происходит быстро, клинические эффекты </w:t>
      </w:r>
      <w:r w:rsidR="00B940B2">
        <w:rPr>
          <w:rFonts w:ascii="Times New Roman" w:hAnsi="Times New Roman"/>
          <w:iCs/>
          <w:sz w:val="24"/>
          <w:szCs w:val="24"/>
          <w:lang w:eastAsia="ru-RU"/>
        </w:rPr>
        <w:t xml:space="preserve">Альфадола </w:t>
      </w:r>
      <w:r w:rsidR="00B940B2" w:rsidRPr="00B940B2">
        <w:rPr>
          <w:rFonts w:ascii="Times New Roman" w:hAnsi="Times New Roman"/>
          <w:iCs/>
          <w:sz w:val="24"/>
          <w:szCs w:val="24"/>
          <w:lang w:eastAsia="ru-RU"/>
        </w:rPr>
        <w:t>и 1,25-дигидроксивитамина D очень похожи.</w:t>
      </w:r>
    </w:p>
    <w:p w14:paraId="21F2F0C1" w14:textId="77777777" w:rsidR="00661E8F" w:rsidRPr="00661E8F" w:rsidRDefault="00661E8F" w:rsidP="0066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При нарушении 1-α гидроксилирования в почках, снижается выработка эндогенного 1,25-дигидроксивитамина Д.  Заболевания, при которых может наблюдаться данная картина, включают в себя почечную остеодистрофию, гипопаратиреоз, гипокальциемию новорожденных и витамин-Д-зависимый рахит. </w:t>
      </w:r>
    </w:p>
    <w:p w14:paraId="000AE76C" w14:textId="77777777" w:rsidR="00661E8F" w:rsidRDefault="00661E8F" w:rsidP="00404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В случае подобных заболеваний для коррекции требуются большие дозы витамина Д, но ответ будет и на меньшие дозы </w:t>
      </w:r>
      <w:r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661E8F">
        <w:rPr>
          <w:rFonts w:ascii="Times New Roman" w:hAnsi="Times New Roman"/>
          <w:iCs/>
          <w:sz w:val="24"/>
          <w:szCs w:val="24"/>
          <w:lang w:eastAsia="ru-RU"/>
        </w:rPr>
        <w:t>льфакальцидола.</w:t>
      </w:r>
    </w:p>
    <w:p w14:paraId="3D5CBC67" w14:textId="77777777" w:rsidR="004044C9" w:rsidRDefault="004044C9" w:rsidP="00404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044C9">
        <w:rPr>
          <w:rFonts w:ascii="Times New Roman" w:hAnsi="Times New Roman"/>
          <w:iCs/>
          <w:sz w:val="24"/>
          <w:szCs w:val="24"/>
          <w:lang w:eastAsia="ru-RU"/>
        </w:rPr>
        <w:lastRenderedPageBreak/>
        <w:t>Отсроченный ответ на терапию и высокие дозы витамина D, необходимые для лечения нарушений минерального обмена, затрудняют корректировку дозы, что может привести к непредсказуемой гиперкальциемии, для устранения которой могут потребоваться недели или месяцы. Альфакальцидол обладает более быстрым началом фармакологического действия, что позволяет осуществлять более точное титрование дозы. В случае возникновения гиперкальциемии, ее можно устранить в течение нескольких дней после прекращения приема альфакальцидола. Повышает абсорбцию кальция и фосфатов в кишечнике и их реабсорбцию в проксимальных канальцах почек, повышает минерализацию костей за счет стимуляции синтеза остеокальцина в костной ткани, снижает активность щелочной фосфатазы и концентрацию в плазме крови паратиреоидного гормона. Влияние альфакальцидола на реабсорбцию кальция примерно в 2 раза превышает влияние на всасывание фосфатов. Восстанавливает положительный кальциевый баланс при лечении синдрома кальциевой мальабсорбции, снижает интенсивность резорбции костей и частоту развития переломов.</w:t>
      </w:r>
    </w:p>
    <w:p w14:paraId="29B48EAB" w14:textId="77777777" w:rsidR="00661E8F" w:rsidRPr="00661E8F" w:rsidRDefault="00661E8F" w:rsidP="00661E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61E8F">
        <w:rPr>
          <w:rFonts w:ascii="Times New Roman" w:hAnsi="Times New Roman"/>
          <w:i/>
          <w:iCs/>
          <w:sz w:val="24"/>
          <w:szCs w:val="24"/>
          <w:lang w:eastAsia="ru-RU"/>
        </w:rPr>
        <w:t>Клиническая эффективность и безопасность</w:t>
      </w:r>
    </w:p>
    <w:p w14:paraId="0ED1EFAB" w14:textId="77777777" w:rsidR="00661E8F" w:rsidRPr="00661E8F" w:rsidRDefault="00661E8F" w:rsidP="0066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Среди пациентов с почечной недостаточностью, приём 1-5 мкг/день 1α-дигидроксивитамина Д (1α-OHD3) </w:t>
      </w:r>
      <w:r w:rsidR="0081561A">
        <w:rPr>
          <w:rFonts w:ascii="Times New Roman" w:hAnsi="Times New Roman"/>
          <w:iCs/>
          <w:sz w:val="24"/>
          <w:szCs w:val="24"/>
          <w:lang w:eastAsia="ru-RU"/>
        </w:rPr>
        <w:t>приводит</w:t>
      </w: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 к увеличению всасывания кальция и фосфатов желудком, с зависимость</w:t>
      </w:r>
      <w:r w:rsidR="0081561A">
        <w:rPr>
          <w:rFonts w:ascii="Times New Roman" w:hAnsi="Times New Roman"/>
          <w:iCs/>
          <w:sz w:val="24"/>
          <w:szCs w:val="24"/>
          <w:lang w:eastAsia="ru-RU"/>
        </w:rPr>
        <w:t>ю</w:t>
      </w: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 от дозировки. Данный эффект </w:t>
      </w:r>
      <w:r w:rsidR="0081561A">
        <w:rPr>
          <w:rFonts w:ascii="Times New Roman" w:hAnsi="Times New Roman"/>
          <w:iCs/>
          <w:sz w:val="24"/>
          <w:szCs w:val="24"/>
          <w:lang w:eastAsia="ru-RU"/>
        </w:rPr>
        <w:t>наблюдается</w:t>
      </w: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 в течение 3 дней с начала приём</w:t>
      </w:r>
      <w:r w:rsidR="0081561A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="00295911">
        <w:rPr>
          <w:rFonts w:ascii="Times New Roman" w:hAnsi="Times New Roman"/>
          <w:iCs/>
          <w:sz w:val="24"/>
          <w:szCs w:val="24"/>
          <w:lang w:eastAsia="ru-RU"/>
        </w:rPr>
        <w:t xml:space="preserve"> лекарственного средства</w:t>
      </w:r>
      <w:r w:rsidRPr="00661E8F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26E439C8" w14:textId="77777777" w:rsidR="00661E8F" w:rsidRPr="00661E8F" w:rsidRDefault="00661E8F" w:rsidP="00661E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Пациенты с хронической почечной недостаточностью </w:t>
      </w:r>
      <w:r w:rsidR="00295911">
        <w:rPr>
          <w:rFonts w:ascii="Times New Roman" w:hAnsi="Times New Roman"/>
          <w:iCs/>
          <w:sz w:val="24"/>
          <w:szCs w:val="24"/>
          <w:lang w:eastAsia="ru-RU"/>
        </w:rPr>
        <w:t>имеют</w:t>
      </w:r>
      <w:r w:rsidRPr="00661E8F">
        <w:rPr>
          <w:rFonts w:ascii="Times New Roman" w:hAnsi="Times New Roman"/>
          <w:iCs/>
          <w:sz w:val="24"/>
          <w:szCs w:val="24"/>
          <w:lang w:eastAsia="ru-RU"/>
        </w:rPr>
        <w:t xml:space="preserve"> улучшение уровней кальция в сыворотке в течение 5 дней с момента получения 1α-OHD3 в дозировках 0,5 - 1,0 мкг/день. По мере увеличения уровня кальция в сыворотке, уровни ПТГ и щелочная фосфатаза уменьшались ниже нормы.</w:t>
      </w:r>
    </w:p>
    <w:p w14:paraId="1C896C26" w14:textId="77777777" w:rsidR="00C153F2" w:rsidRPr="00910180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10180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910180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5F06B403" w14:textId="77777777" w:rsidR="00CE03ED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910180">
        <w:rPr>
          <w:rFonts w:ascii="Times New Roman" w:hAnsi="Times New Roman"/>
          <w:i/>
          <w:sz w:val="24"/>
          <w:szCs w:val="24"/>
          <w:lang w:bidi="ru-RU"/>
        </w:rPr>
        <w:t>Абсорбция</w:t>
      </w:r>
    </w:p>
    <w:p w14:paraId="1F34B880" w14:textId="77777777" w:rsidR="006E2ECA" w:rsidRPr="006E2ECA" w:rsidRDefault="006E2EC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6E2ECA">
        <w:rPr>
          <w:rFonts w:ascii="Times New Roman" w:hAnsi="Times New Roman"/>
          <w:iCs/>
          <w:sz w:val="24"/>
          <w:szCs w:val="24"/>
          <w:lang w:eastAsia="ru-RU"/>
        </w:rPr>
        <w:t>Альфакальцидол пассивно и почти полностью всасывается в тонкой кишке.</w:t>
      </w:r>
    </w:p>
    <w:p w14:paraId="4496BF12" w14:textId="77777777" w:rsidR="006E2ECA" w:rsidRPr="00910180" w:rsidRDefault="006F6D39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6F6D39">
        <w:rPr>
          <w:rFonts w:ascii="Times New Roman" w:hAnsi="Times New Roman"/>
          <w:i/>
          <w:iCs/>
          <w:sz w:val="24"/>
          <w:szCs w:val="24"/>
          <w:lang w:eastAsia="ru-RU"/>
        </w:rPr>
        <w:t>Биотрансформация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662CF4B2" w14:textId="77777777" w:rsidR="006E2ECA" w:rsidRPr="006E2ECA" w:rsidRDefault="0081561A" w:rsidP="006E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После всасывания альфакальцидол метаболизируется в</w:t>
      </w:r>
      <w:r w:rsidR="006E2ECA" w:rsidRPr="006E2ECA">
        <w:rPr>
          <w:rFonts w:ascii="Times New Roman" w:hAnsi="Times New Roman"/>
          <w:sz w:val="24"/>
          <w:szCs w:val="24"/>
          <w:lang w:bidi="ru-RU"/>
        </w:rPr>
        <w:t xml:space="preserve"> печени </w:t>
      </w:r>
      <w:r>
        <w:rPr>
          <w:rFonts w:ascii="Times New Roman" w:hAnsi="Times New Roman"/>
          <w:sz w:val="24"/>
          <w:szCs w:val="24"/>
          <w:lang w:bidi="ru-RU"/>
        </w:rPr>
        <w:t xml:space="preserve">с образованием активного метаболита </w:t>
      </w:r>
      <w:r w:rsidR="006E2ECA" w:rsidRPr="006E2ECA">
        <w:rPr>
          <w:rFonts w:ascii="Times New Roman" w:hAnsi="Times New Roman"/>
          <w:sz w:val="24"/>
          <w:szCs w:val="24"/>
          <w:lang w:bidi="ru-RU"/>
        </w:rPr>
        <w:t xml:space="preserve">1,25-дигидроксивитамин Д, </w:t>
      </w:r>
      <w:r w:rsidR="00295911">
        <w:rPr>
          <w:rFonts w:ascii="Times New Roman" w:hAnsi="Times New Roman"/>
          <w:sz w:val="24"/>
          <w:szCs w:val="24"/>
          <w:lang w:bidi="ru-RU"/>
        </w:rPr>
        <w:t>который действует</w:t>
      </w:r>
      <w:r w:rsidR="006E2ECA" w:rsidRPr="006E2ECA">
        <w:rPr>
          <w:rFonts w:ascii="Times New Roman" w:hAnsi="Times New Roman"/>
          <w:sz w:val="24"/>
          <w:szCs w:val="24"/>
          <w:lang w:bidi="ru-RU"/>
        </w:rPr>
        <w:t xml:space="preserve"> как регулятор метаболизма кальция и фосфата. Поскольку это превращение происходит быстро, клинические эффекты альфакальцидола и 1,25-дигидроксивитамина Д очень похожи.</w:t>
      </w:r>
    </w:p>
    <w:p w14:paraId="65B444BA" w14:textId="77777777" w:rsidR="0078428E" w:rsidRDefault="006E2ECA" w:rsidP="006E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2ECA">
        <w:rPr>
          <w:rFonts w:ascii="Times New Roman" w:hAnsi="Times New Roman"/>
          <w:sz w:val="24"/>
          <w:szCs w:val="24"/>
          <w:lang w:bidi="ru-RU"/>
        </w:rPr>
        <w:t xml:space="preserve">1,25-дигидроксивитамин Д транспортируется в крови с помощью специфического транспортного белка (глобулина). </w:t>
      </w:r>
    </w:p>
    <w:p w14:paraId="4FBD7B45" w14:textId="77777777" w:rsidR="0078428E" w:rsidRDefault="0078428E" w:rsidP="006E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Э</w:t>
      </w:r>
      <w:r w:rsidRPr="006F6D39">
        <w:rPr>
          <w:rFonts w:ascii="Times New Roman" w:hAnsi="Times New Roman"/>
          <w:i/>
          <w:iCs/>
          <w:sz w:val="24"/>
          <w:szCs w:val="24"/>
          <w:lang w:eastAsia="ru-RU"/>
        </w:rPr>
        <w:t>лиминация</w:t>
      </w:r>
    </w:p>
    <w:p w14:paraId="332EEEE4" w14:textId="77777777" w:rsidR="006E2ECA" w:rsidRPr="006E2ECA" w:rsidRDefault="00295911" w:rsidP="006E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В</w:t>
      </w:r>
      <w:r w:rsidR="006E2ECA" w:rsidRPr="006E2ECA">
        <w:rPr>
          <w:rFonts w:ascii="Times New Roman" w:hAnsi="Times New Roman"/>
          <w:sz w:val="24"/>
          <w:szCs w:val="24"/>
          <w:lang w:bidi="ru-RU"/>
        </w:rPr>
        <w:t>ыводится главным образом через желчь.</w:t>
      </w:r>
    </w:p>
    <w:p w14:paraId="2A8F7F17" w14:textId="77777777" w:rsidR="006E2ECA" w:rsidRPr="006E2ECA" w:rsidRDefault="006E2ECA" w:rsidP="006E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2ECA">
        <w:rPr>
          <w:rFonts w:ascii="Times New Roman" w:hAnsi="Times New Roman"/>
          <w:sz w:val="24"/>
          <w:szCs w:val="24"/>
          <w:lang w:bidi="ru-RU"/>
        </w:rPr>
        <w:t>Период полувыведения альфакальцидола составляет около 4 часов.</w:t>
      </w:r>
      <w:r w:rsidR="0029591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E2ECA">
        <w:rPr>
          <w:rFonts w:ascii="Times New Roman" w:hAnsi="Times New Roman"/>
          <w:sz w:val="24"/>
          <w:szCs w:val="24"/>
          <w:lang w:bidi="ru-RU"/>
        </w:rPr>
        <w:t>Фармакологический эффект составляет 3-5 дней.</w:t>
      </w:r>
    </w:p>
    <w:p w14:paraId="5E0B5C29" w14:textId="77777777" w:rsidR="006E2ECA" w:rsidRPr="006E2ECA" w:rsidRDefault="006E2ECA" w:rsidP="006E2E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</w:p>
    <w:p w14:paraId="74DB83AF" w14:textId="77777777" w:rsidR="006E2ECA" w:rsidRPr="00AC3DFE" w:rsidRDefault="006E2ECA" w:rsidP="006E2E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bidi="ru-RU"/>
        </w:rPr>
      </w:pPr>
      <w:r w:rsidRPr="00AC3DFE">
        <w:rPr>
          <w:rFonts w:ascii="Times New Roman" w:hAnsi="Times New Roman"/>
          <w:b/>
          <w:bCs/>
          <w:iCs/>
          <w:sz w:val="24"/>
          <w:szCs w:val="24"/>
          <w:lang w:bidi="ru-RU"/>
        </w:rPr>
        <w:t xml:space="preserve">5.3 </w:t>
      </w:r>
      <w:r w:rsidR="006F7710" w:rsidRPr="006F7710">
        <w:rPr>
          <w:rFonts w:ascii="Times New Roman" w:hAnsi="Times New Roman"/>
          <w:b/>
          <w:bCs/>
          <w:iCs/>
          <w:sz w:val="24"/>
          <w:szCs w:val="24"/>
          <w:lang w:bidi="ru-RU"/>
        </w:rPr>
        <w:t>Данные доклинической безопасности</w:t>
      </w:r>
    </w:p>
    <w:p w14:paraId="2457B4E8" w14:textId="77777777" w:rsidR="006E2ECA" w:rsidRPr="006E2ECA" w:rsidRDefault="006E2ECA" w:rsidP="006E2E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6E2ECA">
        <w:rPr>
          <w:rFonts w:ascii="Times New Roman" w:hAnsi="Times New Roman"/>
          <w:i/>
          <w:sz w:val="24"/>
          <w:szCs w:val="24"/>
          <w:lang w:bidi="ru-RU"/>
        </w:rPr>
        <w:t>Хроническая токсичность</w:t>
      </w:r>
    </w:p>
    <w:p w14:paraId="53C3E426" w14:textId="77777777" w:rsidR="006E2ECA" w:rsidRPr="006E2ECA" w:rsidRDefault="006E2ECA" w:rsidP="006E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2ECA">
        <w:rPr>
          <w:rFonts w:ascii="Times New Roman" w:hAnsi="Times New Roman"/>
          <w:sz w:val="24"/>
          <w:szCs w:val="24"/>
          <w:lang w:bidi="ru-RU"/>
        </w:rPr>
        <w:t>Доклиническая токсичность альфакальцидола зависит от известного влияния кальцитриола на гемостаз кальция в витамине Д, который характеризуется гиперкальциемией, гиперкалькурией и кальцификацией мягких тканей.</w:t>
      </w:r>
    </w:p>
    <w:p w14:paraId="1D1464AB" w14:textId="77777777" w:rsidR="006E2ECA" w:rsidRPr="006E2ECA" w:rsidRDefault="006E2ECA" w:rsidP="006E2E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6E2ECA">
        <w:rPr>
          <w:rFonts w:ascii="Times New Roman" w:hAnsi="Times New Roman"/>
          <w:i/>
          <w:sz w:val="24"/>
          <w:szCs w:val="24"/>
          <w:lang w:bidi="ru-RU"/>
        </w:rPr>
        <w:t>Генотоксичность</w:t>
      </w:r>
    </w:p>
    <w:p w14:paraId="3266A5F3" w14:textId="77777777" w:rsidR="006E2ECA" w:rsidRPr="006E2ECA" w:rsidRDefault="006E2ECA" w:rsidP="006E2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2ECA">
        <w:rPr>
          <w:rFonts w:ascii="Times New Roman" w:hAnsi="Times New Roman"/>
          <w:sz w:val="24"/>
          <w:szCs w:val="24"/>
          <w:lang w:bidi="ru-RU"/>
        </w:rPr>
        <w:t>Альфакальцидол не является генотоксичным.</w:t>
      </w:r>
    </w:p>
    <w:p w14:paraId="26F92D1A" w14:textId="77777777" w:rsidR="006E2ECA" w:rsidRPr="006E2ECA" w:rsidRDefault="006E2ECA" w:rsidP="006E2E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6E2ECA">
        <w:rPr>
          <w:rFonts w:ascii="Times New Roman" w:hAnsi="Times New Roman"/>
          <w:i/>
          <w:sz w:val="24"/>
          <w:szCs w:val="24"/>
          <w:lang w:bidi="ru-RU"/>
        </w:rPr>
        <w:t>Репродуктивная токсичность</w:t>
      </w:r>
    </w:p>
    <w:p w14:paraId="4043FF69" w14:textId="77777777" w:rsidR="0054707D" w:rsidRPr="002A1B16" w:rsidRDefault="006E2ECA" w:rsidP="002A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6E2ECA">
        <w:rPr>
          <w:rFonts w:ascii="Times New Roman" w:hAnsi="Times New Roman"/>
          <w:sz w:val="24"/>
          <w:szCs w:val="24"/>
          <w:lang w:bidi="ru-RU"/>
        </w:rPr>
        <w:t>Особого влияния альфакальцидола на фертильность или поведение потомства не отмечалось у крыс и кроликов. Влияние на развитие эмбриона и плода, токсичность для плода (потеря после имплантации, меньший размер плода и низкая масса тела при рождении) наблюдалось в дозах, достаточно высоких для того, чтобы вызвать токсичность у потомства. Известно, что высокие дозы витамина Д являются тератогенными для лабораторных животных.</w:t>
      </w:r>
    </w:p>
    <w:p w14:paraId="0BAA2522" w14:textId="77777777" w:rsidR="00DF3381" w:rsidRPr="003B026B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E74B45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6. </w:t>
      </w:r>
      <w:r w:rsidRPr="00E74B45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195F2F7E" w14:textId="77777777" w:rsidR="005921EA" w:rsidRPr="003B026B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3B026B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3B026B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73ADB9B4" w14:textId="77777777" w:rsidR="000B782C" w:rsidRDefault="000B782C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 xml:space="preserve">Бутилгидроксианизол </w:t>
      </w:r>
    </w:p>
    <w:p w14:paraId="6ABA32C9" w14:textId="77777777" w:rsidR="003B026B" w:rsidRPr="003B026B" w:rsidRDefault="000B782C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Масло кукурузное</w:t>
      </w:r>
      <w:r w:rsidR="003B026B" w:rsidRPr="003B026B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</w:p>
    <w:p w14:paraId="043B47BA" w14:textId="77777777" w:rsidR="000B782C" w:rsidRDefault="000B782C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 xml:space="preserve">Желатин </w:t>
      </w:r>
    </w:p>
    <w:p w14:paraId="713B63F6" w14:textId="77777777" w:rsidR="000B782C" w:rsidRDefault="000B782C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Глицерин</w:t>
      </w:r>
    </w:p>
    <w:p w14:paraId="0E76D9D1" w14:textId="77777777" w:rsidR="000B782C" w:rsidRDefault="000B782C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 xml:space="preserve">Сорбитол жидкий некристаллизующийся </w:t>
      </w:r>
    </w:p>
    <w:p w14:paraId="008EEDBD" w14:textId="77777777" w:rsidR="000B782C" w:rsidRDefault="000B782C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Метилпарабен</w:t>
      </w:r>
    </w:p>
    <w:p w14:paraId="064311BA" w14:textId="77777777" w:rsidR="000B782C" w:rsidRDefault="000B782C" w:rsidP="003B026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Пропилапарабен</w:t>
      </w:r>
    </w:p>
    <w:p w14:paraId="560BCA89" w14:textId="77777777" w:rsidR="000B782C" w:rsidRPr="000B782C" w:rsidRDefault="000B782C" w:rsidP="000B782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Краситель Понсо 4R Супра (Е 124)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 (для дозировки 0.25 мкг)</w:t>
      </w:r>
    </w:p>
    <w:p w14:paraId="1D65D76D" w14:textId="77777777" w:rsidR="000B782C" w:rsidRPr="000B782C" w:rsidRDefault="000B782C" w:rsidP="000B782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Краситель индигокармин (Е 132)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 (для дозировки 1.0 мкг)</w:t>
      </w:r>
    </w:p>
    <w:p w14:paraId="6706292B" w14:textId="77777777" w:rsidR="000B782C" w:rsidRDefault="000B782C" w:rsidP="000B782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B782C">
        <w:rPr>
          <w:rFonts w:ascii="Times New Roman" w:eastAsia="TimesNewRomanPSMT" w:hAnsi="Times New Roman"/>
          <w:sz w:val="24"/>
          <w:szCs w:val="24"/>
          <w:lang w:eastAsia="ru-RU"/>
        </w:rPr>
        <w:t>Краситель хинолиновый желтый (Е 104)</w:t>
      </w: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 (для дозировки 1.0 мкг)</w:t>
      </w:r>
    </w:p>
    <w:p w14:paraId="726635C7" w14:textId="77777777" w:rsidR="00DF3381" w:rsidRPr="000048AE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048AE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0048AE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562A075B" w14:textId="77777777" w:rsidR="000048AE" w:rsidRPr="000048AE" w:rsidRDefault="000048AE" w:rsidP="0078568D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0048AE">
        <w:rPr>
          <w:rFonts w:ascii="Times New Roman" w:eastAsia="TimesNewRomanPSMT" w:hAnsi="Times New Roman"/>
          <w:sz w:val="24"/>
          <w:szCs w:val="24"/>
          <w:lang w:eastAsia="ru-RU"/>
        </w:rPr>
        <w:t>Не применимо.</w:t>
      </w:r>
    </w:p>
    <w:p w14:paraId="256915D6" w14:textId="77777777" w:rsidR="009128A3" w:rsidRPr="000048AE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0048AE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0048AE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0048AE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4B777C2C" w14:textId="77777777" w:rsidR="00CE03ED" w:rsidRPr="000048AE" w:rsidRDefault="00D169C5" w:rsidP="00FC40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3 года </w:t>
      </w:r>
    </w:p>
    <w:p w14:paraId="41E37E20" w14:textId="77777777" w:rsidR="00CE03ED" w:rsidRPr="000048AE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0048AE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4F6A58CE" w14:textId="77777777" w:rsidR="00632571" w:rsidRPr="000048AE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48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0048AE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0048AE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3DDDC61B" w14:textId="77777777" w:rsidR="00632571" w:rsidRPr="000048AE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8AE">
        <w:rPr>
          <w:rFonts w:ascii="Times New Roman" w:hAnsi="Times New Roman"/>
          <w:sz w:val="24"/>
          <w:szCs w:val="24"/>
        </w:rPr>
        <w:t>Хранить</w:t>
      </w:r>
      <w:r w:rsidR="00134770">
        <w:rPr>
          <w:rFonts w:ascii="Times New Roman" w:hAnsi="Times New Roman"/>
          <w:sz w:val="24"/>
          <w:szCs w:val="24"/>
        </w:rPr>
        <w:t xml:space="preserve"> в сухом, защищенном от света месте,</w:t>
      </w:r>
      <w:r w:rsidRPr="000048AE">
        <w:rPr>
          <w:rFonts w:ascii="Times New Roman" w:hAnsi="Times New Roman"/>
          <w:sz w:val="24"/>
          <w:szCs w:val="24"/>
        </w:rPr>
        <w:t xml:space="preserve"> при температуре </w:t>
      </w:r>
      <w:r w:rsidR="000048AE" w:rsidRPr="000048AE">
        <w:rPr>
          <w:rFonts w:ascii="Times New Roman" w:hAnsi="Times New Roman"/>
          <w:sz w:val="24"/>
          <w:szCs w:val="24"/>
        </w:rPr>
        <w:t>не выше 25</w:t>
      </w:r>
      <w:r w:rsidRPr="000048AE">
        <w:rPr>
          <w:rFonts w:ascii="Times New Roman" w:hAnsi="Times New Roman"/>
          <w:sz w:val="24"/>
          <w:szCs w:val="24"/>
        </w:rPr>
        <w:t xml:space="preserve">ºС. </w:t>
      </w:r>
    </w:p>
    <w:p w14:paraId="0005C989" w14:textId="77777777" w:rsidR="00632571" w:rsidRPr="000048AE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8AE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18" w:name="2175220289"/>
    </w:p>
    <w:bookmarkEnd w:id="18"/>
    <w:p w14:paraId="79114A6F" w14:textId="77777777" w:rsidR="00B90A1E" w:rsidRPr="000048AE" w:rsidRDefault="00EC480E" w:rsidP="000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048AE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0048A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C1F05" w:rsidRPr="005C1F05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</w:p>
    <w:p w14:paraId="276170F9" w14:textId="77777777" w:rsidR="00020C5C" w:rsidRPr="00020C5C" w:rsidRDefault="00020C5C" w:rsidP="00020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020C5C">
        <w:rPr>
          <w:rFonts w:ascii="Times New Roman" w:eastAsia="Microsoft Sans Serif" w:hAnsi="Times New Roman"/>
          <w:sz w:val="24"/>
          <w:szCs w:val="24"/>
          <w:lang w:eastAsia="ru-RU" w:bidi="ru-RU"/>
        </w:rPr>
        <w:t>По 10 капсул помещают в контурную ячейковую упаковку из пленки поливинилхлоридной и фольги алюминиевой.</w:t>
      </w:r>
    </w:p>
    <w:p w14:paraId="6037D067" w14:textId="77777777" w:rsidR="00020C5C" w:rsidRDefault="00020C5C" w:rsidP="00020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020C5C">
        <w:rPr>
          <w:rFonts w:ascii="Times New Roman" w:eastAsia="Microsoft Sans Serif" w:hAnsi="Times New Roman"/>
          <w:sz w:val="24"/>
          <w:szCs w:val="24"/>
          <w:lang w:eastAsia="ru-RU" w:bidi="ru-RU"/>
        </w:rPr>
        <w:t>По 3 или 10 контурных ячейковых упаковок вместе с инструкцией по медицинскому применению на казахском и русском языках вкладывают в пачку из картона.</w:t>
      </w:r>
    </w:p>
    <w:p w14:paraId="5842F85A" w14:textId="77777777" w:rsidR="00B90A1E" w:rsidRPr="000048AE" w:rsidRDefault="00B90A1E" w:rsidP="00020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0048AE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0048AE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0048AE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0048AE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0048AE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0048AE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1C3E74FB" w14:textId="77777777" w:rsidR="000048AE" w:rsidRPr="000048AE" w:rsidRDefault="000048AE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48AE">
        <w:rPr>
          <w:rFonts w:ascii="Times New Roman" w:hAnsi="Times New Roman"/>
          <w:sz w:val="24"/>
          <w:szCs w:val="24"/>
        </w:rPr>
        <w:t>Особые требования отсутствуют.</w:t>
      </w:r>
    </w:p>
    <w:p w14:paraId="231A8452" w14:textId="77777777" w:rsidR="00724DB0" w:rsidRPr="000048AE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048AE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0048AE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0048AE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0048AE">
        <w:rPr>
          <w:rFonts w:ascii="Times New Roman" w:hAnsi="Times New Roman"/>
          <w:b/>
          <w:bCs/>
          <w:sz w:val="24"/>
          <w:szCs w:val="24"/>
        </w:rPr>
        <w:t>а</w:t>
      </w:r>
      <w:r w:rsidRPr="000048AE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0048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530E09" w14:textId="77777777" w:rsidR="000048AE" w:rsidRPr="000048AE" w:rsidRDefault="000048AE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048AE">
        <w:rPr>
          <w:rFonts w:ascii="Times New Roman" w:hAnsi="Times New Roman"/>
          <w:bCs/>
          <w:sz w:val="24"/>
          <w:szCs w:val="24"/>
        </w:rPr>
        <w:t>По рецепту</w:t>
      </w:r>
    </w:p>
    <w:p w14:paraId="4C4E5DB7" w14:textId="77777777" w:rsidR="00D041C3" w:rsidRPr="00BB111F" w:rsidRDefault="000048AE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111F">
        <w:rPr>
          <w:rFonts w:ascii="Times New Roman" w:hAnsi="Times New Roman"/>
          <w:b/>
          <w:sz w:val="28"/>
          <w:szCs w:val="28"/>
        </w:rPr>
        <w:t xml:space="preserve"> </w:t>
      </w:r>
    </w:p>
    <w:p w14:paraId="756E0547" w14:textId="77777777" w:rsidR="000048AE" w:rsidRPr="00AA0846" w:rsidRDefault="008407EF" w:rsidP="00AA084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0048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18CD5FCB" w14:textId="77777777" w:rsidR="006E52BB" w:rsidRPr="00134770" w:rsidRDefault="006E52BB" w:rsidP="006E52BB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19" w:name="_Hlk72750569"/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Panacea</w:t>
      </w:r>
      <w:r w:rsidRPr="0013477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Biotec</w:t>
      </w:r>
      <w:r w:rsidRPr="0013477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Pharma</w:t>
      </w:r>
      <w:r w:rsidRPr="0013477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Ltd</w:t>
      </w:r>
      <w:r w:rsidRPr="00134770">
        <w:rPr>
          <w:rFonts w:ascii="Times New Roman" w:eastAsia="Microsoft Sans Serif" w:hAnsi="Times New Roman"/>
          <w:sz w:val="24"/>
          <w:szCs w:val="24"/>
          <w:lang w:eastAsia="ru-RU" w:bidi="ru-RU"/>
        </w:rPr>
        <w:t>.,</w:t>
      </w:r>
    </w:p>
    <w:p w14:paraId="19E0B0E9" w14:textId="77777777" w:rsidR="006E52BB" w:rsidRPr="00134770" w:rsidRDefault="006E52BB" w:rsidP="006E52BB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Malpur, Baddi, Distt. Solan</w:t>
      </w:r>
      <w:r w:rsidRPr="0013477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, </w:t>
      </w:r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H</w:t>
      </w:r>
      <w:r w:rsidRPr="0013477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.</w:t>
      </w:r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</w:t>
      </w:r>
      <w:r w:rsidRPr="0013477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. – 173205, </w:t>
      </w:r>
      <w:r w:rsidRPr="006E52BB">
        <w:rPr>
          <w:rFonts w:ascii="Times New Roman" w:eastAsia="Microsoft Sans Serif" w:hAnsi="Times New Roman"/>
          <w:sz w:val="24"/>
          <w:szCs w:val="24"/>
          <w:lang w:val="kk-KZ" w:eastAsia="ru-RU" w:bidi="ru-RU"/>
        </w:rPr>
        <w:t>Индия</w:t>
      </w:r>
      <w:r w:rsidRPr="0013477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.</w:t>
      </w:r>
    </w:p>
    <w:p w14:paraId="5BEF9D08" w14:textId="77777777" w:rsidR="006E52BB" w:rsidRPr="006E52BB" w:rsidRDefault="006E52BB" w:rsidP="006E52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6E52B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Тел.+91-1795-304000</w:t>
      </w:r>
    </w:p>
    <w:p w14:paraId="12681333" w14:textId="77777777" w:rsidR="006E52BB" w:rsidRPr="006E52BB" w:rsidRDefault="006E52BB" w:rsidP="006E52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6E52B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Факс. +91-1795-246834</w:t>
      </w:r>
    </w:p>
    <w:p w14:paraId="3DB55675" w14:textId="77777777" w:rsidR="006E52BB" w:rsidRPr="006E52BB" w:rsidRDefault="006E52BB" w:rsidP="006E52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6E52B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Адрес электронной почты: </w:t>
      </w:r>
      <w:hyperlink r:id="rId9" w:history="1">
        <w:r w:rsidRPr="006E52BB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val="uk-UA" w:eastAsia="ru-RU"/>
          </w:rPr>
          <w:t>pharma@panaceabiotec.com</w:t>
        </w:r>
      </w:hyperlink>
    </w:p>
    <w:bookmarkEnd w:id="19"/>
    <w:p w14:paraId="70C2928E" w14:textId="77777777" w:rsidR="006E52BB" w:rsidRPr="006E52BB" w:rsidRDefault="006E52BB" w:rsidP="006E52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737D396F" w14:textId="77777777" w:rsidR="006E52BB" w:rsidRPr="006E52BB" w:rsidRDefault="006E52BB" w:rsidP="006E52BB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E52B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14:paraId="26114E3D" w14:textId="77777777" w:rsidR="006E52BB" w:rsidRPr="006E52BB" w:rsidRDefault="006E52BB" w:rsidP="006E52BB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E52BB">
        <w:rPr>
          <w:rFonts w:ascii="Times New Roman" w:eastAsia="Microsoft Sans Serif" w:hAnsi="Times New Roman"/>
          <w:sz w:val="24"/>
          <w:szCs w:val="24"/>
          <w:lang w:eastAsia="ru-RU" w:bidi="ru-RU"/>
        </w:rPr>
        <w:t>Претензии потребителей направлять по адресу:</w:t>
      </w:r>
    </w:p>
    <w:p w14:paraId="00F337D5" w14:textId="77777777" w:rsidR="006E52BB" w:rsidRPr="006E52BB" w:rsidRDefault="006E52BB" w:rsidP="006E52BB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E52BB">
        <w:rPr>
          <w:rFonts w:ascii="Times New Roman" w:eastAsia="Microsoft Sans Serif" w:hAnsi="Times New Roman"/>
          <w:sz w:val="24"/>
          <w:szCs w:val="24"/>
          <w:lang w:eastAsia="ru-RU" w:bidi="ru-RU"/>
        </w:rPr>
        <w:t>ТОО «Rogers Pharma», Казахстан, 050043, г. Алматы, мкн. Мирас, д. 157, блок 2, н.п. 819.</w:t>
      </w:r>
    </w:p>
    <w:p w14:paraId="0DB1864D" w14:textId="77777777" w:rsidR="006E52BB" w:rsidRPr="006E52BB" w:rsidRDefault="006E52BB" w:rsidP="006E52BB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6E52BB">
        <w:rPr>
          <w:rFonts w:ascii="Times New Roman" w:eastAsia="Microsoft Sans Serif" w:hAnsi="Times New Roman"/>
          <w:sz w:val="24"/>
          <w:szCs w:val="24"/>
          <w:lang w:eastAsia="ru-RU" w:bidi="ru-RU"/>
        </w:rPr>
        <w:t>Тел</w:t>
      </w:r>
      <w:r w:rsidRPr="006E52BB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. (727) 311-81-96/97, e-mail: </w:t>
      </w:r>
      <w:hyperlink r:id="rId10" w:history="1">
        <w:r w:rsidRPr="006E52BB">
          <w:rPr>
            <w:rFonts w:ascii="Times New Roman" w:eastAsia="Microsoft Sans Serif" w:hAnsi="Times New Roman"/>
            <w:color w:val="0000FF"/>
            <w:sz w:val="24"/>
            <w:szCs w:val="24"/>
            <w:u w:val="single"/>
            <w:lang w:val="en-US" w:eastAsia="ru-RU" w:bidi="ru-RU"/>
          </w:rPr>
          <w:t>office.secretary@rogersgroup.in</w:t>
        </w:r>
      </w:hyperlink>
    </w:p>
    <w:p w14:paraId="6E79F9FC" w14:textId="77777777" w:rsidR="000048AE" w:rsidRPr="006E52BB" w:rsidRDefault="000048AE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val="en-US" w:bidi="ru-RU"/>
        </w:rPr>
      </w:pPr>
    </w:p>
    <w:p w14:paraId="58781EDC" w14:textId="77777777" w:rsidR="002511DF" w:rsidRPr="000048AE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8.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НОМЕР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РЕГИСТРАЦИОННОГО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УДОСТОВЕРЕНИЯ</w:t>
      </w:r>
    </w:p>
    <w:p w14:paraId="1344CC25" w14:textId="18AFA0CB" w:rsidR="000048AE" w:rsidRPr="00A40EDA" w:rsidRDefault="00A40EDA" w:rsidP="000048A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A40ED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РК-ЛС-5№02566</w:t>
      </w:r>
      <w:r w:rsidR="00702DF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1</w:t>
      </w:r>
    </w:p>
    <w:p w14:paraId="474F4F4E" w14:textId="77777777" w:rsidR="00A40EDA" w:rsidRPr="000048AE" w:rsidRDefault="00A40EDA" w:rsidP="000048A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1586256" w14:textId="77777777" w:rsidR="002511DF" w:rsidRPr="000048AE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9.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ДАТА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ПЕРВИЧНОЙ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ПОДТВЕРЖДЕНИЯ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Pr="000048AE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ПЕРЕРЕГИСТРАЦИИ</w:t>
      </w:r>
      <w:r w:rsidRPr="000048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</w:p>
    <w:p w14:paraId="46C14E3D" w14:textId="6443506F" w:rsidR="000048AE" w:rsidRDefault="00A40EDA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>
        <w:rPr>
          <w:rFonts w:eastAsia="Microsoft Sans Serif"/>
          <w:lang w:bidi="ru-RU"/>
        </w:rPr>
        <w:t>02.03.2022</w:t>
      </w:r>
    </w:p>
    <w:p w14:paraId="0571A318" w14:textId="77777777" w:rsidR="00A40EDA" w:rsidRPr="000048AE" w:rsidRDefault="00A40EDA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00E36191" w14:textId="77777777" w:rsidR="00812168" w:rsidRPr="002A1B16" w:rsidRDefault="00DF47EB" w:rsidP="00724DB0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0048AE">
        <w:rPr>
          <w:rFonts w:ascii="Times New Roman" w:hAnsi="Times New Roman"/>
          <w:b/>
          <w:sz w:val="24"/>
          <w:szCs w:val="24"/>
        </w:rPr>
        <w:t xml:space="preserve">10. </w:t>
      </w:r>
      <w:r w:rsidRPr="000048AE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2E229E44" w14:textId="77777777" w:rsidR="00B91443" w:rsidRPr="000048AE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4"/>
          <w:lang w:bidi="ru-RU"/>
        </w:rPr>
      </w:pPr>
      <w:r w:rsidRPr="000048AE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1" w:history="1">
        <w:r w:rsidRPr="000048AE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0048AE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0048AE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0048AE">
          <w:rPr>
            <w:rStyle w:val="af"/>
            <w:rFonts w:ascii="Times New Roman" w:hAnsi="Times New Roman"/>
            <w:sz w:val="24"/>
            <w:szCs w:val="24"/>
          </w:rPr>
          <w:t>.</w:t>
        </w:r>
        <w:r w:rsidRPr="000048AE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r w:rsidRPr="000048AE">
          <w:rPr>
            <w:rStyle w:val="af"/>
            <w:rFonts w:ascii="Times New Roman" w:hAnsi="Times New Roman"/>
            <w:sz w:val="24"/>
            <w:szCs w:val="24"/>
          </w:rPr>
          <w:t>.</w:t>
        </w:r>
        <w:r w:rsidRPr="000048AE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</w:hyperlink>
      <w:r w:rsidRPr="000048AE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0048AE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6F23" w14:textId="77777777" w:rsidR="00B70444" w:rsidRDefault="00B70444" w:rsidP="00D275FC">
      <w:pPr>
        <w:spacing w:after="0" w:line="240" w:lineRule="auto"/>
      </w:pPr>
      <w:r>
        <w:separator/>
      </w:r>
    </w:p>
  </w:endnote>
  <w:endnote w:type="continuationSeparator" w:id="0">
    <w:p w14:paraId="11846EA3" w14:textId="77777777" w:rsidR="00B70444" w:rsidRDefault="00B70444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EFFE" w14:textId="77777777" w:rsidR="00B70444" w:rsidRDefault="00B70444" w:rsidP="00D275FC">
      <w:pPr>
        <w:spacing w:after="0" w:line="240" w:lineRule="auto"/>
      </w:pPr>
      <w:r>
        <w:separator/>
      </w:r>
    </w:p>
  </w:footnote>
  <w:footnote w:type="continuationSeparator" w:id="0">
    <w:p w14:paraId="1C48D870" w14:textId="77777777" w:rsidR="00B70444" w:rsidRDefault="00B70444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CD27" w14:textId="77777777" w:rsidR="00D275FC" w:rsidRDefault="00A07383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318B8B" wp14:editId="06C30494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935445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18B8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02935445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A0A85"/>
    <w:multiLevelType w:val="hybridMultilevel"/>
    <w:tmpl w:val="70A27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473AC"/>
    <w:multiLevelType w:val="hybridMultilevel"/>
    <w:tmpl w:val="D0BC4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21"/>
  </w:num>
  <w:num w:numId="5">
    <w:abstractNumId w:val="26"/>
  </w:num>
  <w:num w:numId="6">
    <w:abstractNumId w:val="6"/>
  </w:num>
  <w:num w:numId="7">
    <w:abstractNumId w:val="24"/>
  </w:num>
  <w:num w:numId="8">
    <w:abstractNumId w:val="9"/>
  </w:num>
  <w:num w:numId="9">
    <w:abstractNumId w:val="18"/>
  </w:num>
  <w:num w:numId="10">
    <w:abstractNumId w:val="10"/>
  </w:num>
  <w:num w:numId="11">
    <w:abstractNumId w:val="17"/>
  </w:num>
  <w:num w:numId="12">
    <w:abstractNumId w:val="20"/>
  </w:num>
  <w:num w:numId="13">
    <w:abstractNumId w:val="22"/>
  </w:num>
  <w:num w:numId="14">
    <w:abstractNumId w:val="13"/>
  </w:num>
  <w:num w:numId="15">
    <w:abstractNumId w:val="1"/>
  </w:num>
  <w:num w:numId="16">
    <w:abstractNumId w:val="25"/>
  </w:num>
  <w:num w:numId="17">
    <w:abstractNumId w:val="16"/>
  </w:num>
  <w:num w:numId="18">
    <w:abstractNumId w:val="15"/>
  </w:num>
  <w:num w:numId="19">
    <w:abstractNumId w:val="8"/>
  </w:num>
  <w:num w:numId="20">
    <w:abstractNumId w:val="2"/>
  </w:num>
  <w:num w:numId="21">
    <w:abstractNumId w:val="11"/>
  </w:num>
  <w:num w:numId="22">
    <w:abstractNumId w:val="5"/>
  </w:num>
  <w:num w:numId="23">
    <w:abstractNumId w:val="23"/>
  </w:num>
  <w:num w:numId="24">
    <w:abstractNumId w:val="12"/>
  </w:num>
  <w:num w:numId="25">
    <w:abstractNumId w:val="0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8AE"/>
    <w:rsid w:val="00004C99"/>
    <w:rsid w:val="00005B99"/>
    <w:rsid w:val="00005CCA"/>
    <w:rsid w:val="00010371"/>
    <w:rsid w:val="0002049D"/>
    <w:rsid w:val="00020C5C"/>
    <w:rsid w:val="000264BB"/>
    <w:rsid w:val="00026A9C"/>
    <w:rsid w:val="00027032"/>
    <w:rsid w:val="00030F68"/>
    <w:rsid w:val="00031EF2"/>
    <w:rsid w:val="00033FC1"/>
    <w:rsid w:val="00042999"/>
    <w:rsid w:val="00050930"/>
    <w:rsid w:val="00051CD5"/>
    <w:rsid w:val="0005238D"/>
    <w:rsid w:val="00061ECE"/>
    <w:rsid w:val="00067F43"/>
    <w:rsid w:val="00080052"/>
    <w:rsid w:val="000852A1"/>
    <w:rsid w:val="000972E6"/>
    <w:rsid w:val="000A0D71"/>
    <w:rsid w:val="000A15B0"/>
    <w:rsid w:val="000A272B"/>
    <w:rsid w:val="000A2B92"/>
    <w:rsid w:val="000A3FB6"/>
    <w:rsid w:val="000A5CC4"/>
    <w:rsid w:val="000B5B0F"/>
    <w:rsid w:val="000B6437"/>
    <w:rsid w:val="000B782C"/>
    <w:rsid w:val="000C2C4B"/>
    <w:rsid w:val="000C3EBE"/>
    <w:rsid w:val="000C4C48"/>
    <w:rsid w:val="000C5901"/>
    <w:rsid w:val="000D184E"/>
    <w:rsid w:val="000D457D"/>
    <w:rsid w:val="000E01AB"/>
    <w:rsid w:val="000E153C"/>
    <w:rsid w:val="000E3634"/>
    <w:rsid w:val="000E49F0"/>
    <w:rsid w:val="000E6126"/>
    <w:rsid w:val="00100406"/>
    <w:rsid w:val="00100437"/>
    <w:rsid w:val="00107A8A"/>
    <w:rsid w:val="00111788"/>
    <w:rsid w:val="001134EB"/>
    <w:rsid w:val="00120934"/>
    <w:rsid w:val="001223BB"/>
    <w:rsid w:val="00123DB5"/>
    <w:rsid w:val="00125232"/>
    <w:rsid w:val="00132B9A"/>
    <w:rsid w:val="00134770"/>
    <w:rsid w:val="001368AE"/>
    <w:rsid w:val="00144CCD"/>
    <w:rsid w:val="00146454"/>
    <w:rsid w:val="0014699B"/>
    <w:rsid w:val="0014739A"/>
    <w:rsid w:val="0015490C"/>
    <w:rsid w:val="00154C0B"/>
    <w:rsid w:val="001573E2"/>
    <w:rsid w:val="0016278D"/>
    <w:rsid w:val="00164E5D"/>
    <w:rsid w:val="00175F0F"/>
    <w:rsid w:val="001766A4"/>
    <w:rsid w:val="00182CB5"/>
    <w:rsid w:val="001872CE"/>
    <w:rsid w:val="001937AD"/>
    <w:rsid w:val="001A2CB2"/>
    <w:rsid w:val="001A3A84"/>
    <w:rsid w:val="001A7BD9"/>
    <w:rsid w:val="001B6AEC"/>
    <w:rsid w:val="001D0B84"/>
    <w:rsid w:val="001D4EFB"/>
    <w:rsid w:val="001E5E2A"/>
    <w:rsid w:val="001E6F4C"/>
    <w:rsid w:val="001F16AA"/>
    <w:rsid w:val="00200F3B"/>
    <w:rsid w:val="00203355"/>
    <w:rsid w:val="0020414E"/>
    <w:rsid w:val="00211005"/>
    <w:rsid w:val="0021309A"/>
    <w:rsid w:val="00215CBB"/>
    <w:rsid w:val="00217D41"/>
    <w:rsid w:val="002222A9"/>
    <w:rsid w:val="00222CA6"/>
    <w:rsid w:val="00225A47"/>
    <w:rsid w:val="00225BF5"/>
    <w:rsid w:val="00232642"/>
    <w:rsid w:val="00237697"/>
    <w:rsid w:val="002410EA"/>
    <w:rsid w:val="00250EDB"/>
    <w:rsid w:val="002511DF"/>
    <w:rsid w:val="00253209"/>
    <w:rsid w:val="00256E10"/>
    <w:rsid w:val="00260413"/>
    <w:rsid w:val="00260EBC"/>
    <w:rsid w:val="002633E3"/>
    <w:rsid w:val="00264710"/>
    <w:rsid w:val="00264A6E"/>
    <w:rsid w:val="00265092"/>
    <w:rsid w:val="00267567"/>
    <w:rsid w:val="00270B0A"/>
    <w:rsid w:val="00280121"/>
    <w:rsid w:val="00281FBE"/>
    <w:rsid w:val="00290D2E"/>
    <w:rsid w:val="00292715"/>
    <w:rsid w:val="002937FA"/>
    <w:rsid w:val="00295911"/>
    <w:rsid w:val="002A1B16"/>
    <w:rsid w:val="002A591C"/>
    <w:rsid w:val="002B26C3"/>
    <w:rsid w:val="002C10E1"/>
    <w:rsid w:val="002C15EB"/>
    <w:rsid w:val="002C1660"/>
    <w:rsid w:val="002C35A2"/>
    <w:rsid w:val="002C5345"/>
    <w:rsid w:val="002D28CD"/>
    <w:rsid w:val="002D56B7"/>
    <w:rsid w:val="002E04B7"/>
    <w:rsid w:val="002E0BAD"/>
    <w:rsid w:val="002F4655"/>
    <w:rsid w:val="002F4A14"/>
    <w:rsid w:val="002F4DF0"/>
    <w:rsid w:val="00300871"/>
    <w:rsid w:val="003043BF"/>
    <w:rsid w:val="003065F8"/>
    <w:rsid w:val="003174B3"/>
    <w:rsid w:val="00320073"/>
    <w:rsid w:val="00323AC1"/>
    <w:rsid w:val="003262DF"/>
    <w:rsid w:val="00331CEF"/>
    <w:rsid w:val="00332951"/>
    <w:rsid w:val="00336F9C"/>
    <w:rsid w:val="0034682B"/>
    <w:rsid w:val="003531C9"/>
    <w:rsid w:val="00356237"/>
    <w:rsid w:val="0036288F"/>
    <w:rsid w:val="00365B10"/>
    <w:rsid w:val="003665FA"/>
    <w:rsid w:val="00367BA7"/>
    <w:rsid w:val="00372082"/>
    <w:rsid w:val="00373A55"/>
    <w:rsid w:val="00375890"/>
    <w:rsid w:val="003761C0"/>
    <w:rsid w:val="00381140"/>
    <w:rsid w:val="003812B2"/>
    <w:rsid w:val="00383CDB"/>
    <w:rsid w:val="00384EFD"/>
    <w:rsid w:val="0038595A"/>
    <w:rsid w:val="003879F9"/>
    <w:rsid w:val="003976C7"/>
    <w:rsid w:val="003A035E"/>
    <w:rsid w:val="003A577F"/>
    <w:rsid w:val="003B026B"/>
    <w:rsid w:val="003B0285"/>
    <w:rsid w:val="003B679B"/>
    <w:rsid w:val="003C07E3"/>
    <w:rsid w:val="003C659E"/>
    <w:rsid w:val="003E13CF"/>
    <w:rsid w:val="003E4F5E"/>
    <w:rsid w:val="003F5344"/>
    <w:rsid w:val="003F7EDC"/>
    <w:rsid w:val="004044C9"/>
    <w:rsid w:val="00404548"/>
    <w:rsid w:val="004069F2"/>
    <w:rsid w:val="0041162E"/>
    <w:rsid w:val="004125D8"/>
    <w:rsid w:val="00413DAD"/>
    <w:rsid w:val="004200EA"/>
    <w:rsid w:val="00424FEB"/>
    <w:rsid w:val="0042786D"/>
    <w:rsid w:val="004301D8"/>
    <w:rsid w:val="00433C62"/>
    <w:rsid w:val="00445B66"/>
    <w:rsid w:val="004528E1"/>
    <w:rsid w:val="00453DC3"/>
    <w:rsid w:val="00456F01"/>
    <w:rsid w:val="0047024A"/>
    <w:rsid w:val="00472EF5"/>
    <w:rsid w:val="004733A7"/>
    <w:rsid w:val="00475EBF"/>
    <w:rsid w:val="0048687C"/>
    <w:rsid w:val="0049318D"/>
    <w:rsid w:val="004A31B4"/>
    <w:rsid w:val="004A7038"/>
    <w:rsid w:val="004C1922"/>
    <w:rsid w:val="004C38A5"/>
    <w:rsid w:val="004C462F"/>
    <w:rsid w:val="004C6613"/>
    <w:rsid w:val="004D3B83"/>
    <w:rsid w:val="004D49E9"/>
    <w:rsid w:val="004E2F70"/>
    <w:rsid w:val="004E43C0"/>
    <w:rsid w:val="004F45AC"/>
    <w:rsid w:val="00506917"/>
    <w:rsid w:val="00506C9D"/>
    <w:rsid w:val="005071DA"/>
    <w:rsid w:val="00523D82"/>
    <w:rsid w:val="00541A00"/>
    <w:rsid w:val="005444B2"/>
    <w:rsid w:val="00546E84"/>
    <w:rsid w:val="0054707D"/>
    <w:rsid w:val="00552F31"/>
    <w:rsid w:val="00552F8B"/>
    <w:rsid w:val="0055748E"/>
    <w:rsid w:val="00560B9A"/>
    <w:rsid w:val="00561FE7"/>
    <w:rsid w:val="00565434"/>
    <w:rsid w:val="00566737"/>
    <w:rsid w:val="00567153"/>
    <w:rsid w:val="00575348"/>
    <w:rsid w:val="00580C6D"/>
    <w:rsid w:val="005844D8"/>
    <w:rsid w:val="005869C5"/>
    <w:rsid w:val="005921EA"/>
    <w:rsid w:val="005924F5"/>
    <w:rsid w:val="00593F7B"/>
    <w:rsid w:val="005A3C81"/>
    <w:rsid w:val="005A5680"/>
    <w:rsid w:val="005A6639"/>
    <w:rsid w:val="005A6914"/>
    <w:rsid w:val="005A7446"/>
    <w:rsid w:val="005B38AE"/>
    <w:rsid w:val="005B3FFE"/>
    <w:rsid w:val="005B4801"/>
    <w:rsid w:val="005C1519"/>
    <w:rsid w:val="005C1C4E"/>
    <w:rsid w:val="005C1F05"/>
    <w:rsid w:val="005C4994"/>
    <w:rsid w:val="005C4A16"/>
    <w:rsid w:val="005D2A94"/>
    <w:rsid w:val="005D66F3"/>
    <w:rsid w:val="005D68C6"/>
    <w:rsid w:val="005D7EE3"/>
    <w:rsid w:val="005E50DE"/>
    <w:rsid w:val="005E587B"/>
    <w:rsid w:val="005E7569"/>
    <w:rsid w:val="005E76DA"/>
    <w:rsid w:val="005F28A9"/>
    <w:rsid w:val="005F4F4E"/>
    <w:rsid w:val="005F7097"/>
    <w:rsid w:val="0060364A"/>
    <w:rsid w:val="00604FC8"/>
    <w:rsid w:val="00617843"/>
    <w:rsid w:val="0062023D"/>
    <w:rsid w:val="00620F34"/>
    <w:rsid w:val="00624C1B"/>
    <w:rsid w:val="00625471"/>
    <w:rsid w:val="00625D0F"/>
    <w:rsid w:val="0062661D"/>
    <w:rsid w:val="00627853"/>
    <w:rsid w:val="00632571"/>
    <w:rsid w:val="00634D0C"/>
    <w:rsid w:val="0065148D"/>
    <w:rsid w:val="00652BCE"/>
    <w:rsid w:val="00652E29"/>
    <w:rsid w:val="00653617"/>
    <w:rsid w:val="00661E8F"/>
    <w:rsid w:val="0067136B"/>
    <w:rsid w:val="006763BC"/>
    <w:rsid w:val="00690A3D"/>
    <w:rsid w:val="00691208"/>
    <w:rsid w:val="006A23C4"/>
    <w:rsid w:val="006A702E"/>
    <w:rsid w:val="006B1751"/>
    <w:rsid w:val="006B3DA0"/>
    <w:rsid w:val="006B7713"/>
    <w:rsid w:val="006B7A90"/>
    <w:rsid w:val="006C5F38"/>
    <w:rsid w:val="006C64DB"/>
    <w:rsid w:val="006D5986"/>
    <w:rsid w:val="006D7D5A"/>
    <w:rsid w:val="006E2ECA"/>
    <w:rsid w:val="006E4305"/>
    <w:rsid w:val="006E52BB"/>
    <w:rsid w:val="006E5C58"/>
    <w:rsid w:val="006F4488"/>
    <w:rsid w:val="006F5763"/>
    <w:rsid w:val="006F6D39"/>
    <w:rsid w:val="006F7710"/>
    <w:rsid w:val="00702DF2"/>
    <w:rsid w:val="00704BAB"/>
    <w:rsid w:val="00707E26"/>
    <w:rsid w:val="007104D1"/>
    <w:rsid w:val="007135A6"/>
    <w:rsid w:val="00715425"/>
    <w:rsid w:val="00721324"/>
    <w:rsid w:val="00724DB0"/>
    <w:rsid w:val="007259D5"/>
    <w:rsid w:val="00726BD3"/>
    <w:rsid w:val="00730461"/>
    <w:rsid w:val="00733A73"/>
    <w:rsid w:val="00737D9D"/>
    <w:rsid w:val="00737E59"/>
    <w:rsid w:val="007459E6"/>
    <w:rsid w:val="00746FF2"/>
    <w:rsid w:val="007479AE"/>
    <w:rsid w:val="007545FD"/>
    <w:rsid w:val="00756D76"/>
    <w:rsid w:val="00761133"/>
    <w:rsid w:val="0076393C"/>
    <w:rsid w:val="00764E84"/>
    <w:rsid w:val="007751BA"/>
    <w:rsid w:val="007762F8"/>
    <w:rsid w:val="00783520"/>
    <w:rsid w:val="0078428E"/>
    <w:rsid w:val="0078568D"/>
    <w:rsid w:val="00794479"/>
    <w:rsid w:val="007A02D3"/>
    <w:rsid w:val="007A18B1"/>
    <w:rsid w:val="007A4BE5"/>
    <w:rsid w:val="007A5506"/>
    <w:rsid w:val="007B011E"/>
    <w:rsid w:val="007C055A"/>
    <w:rsid w:val="007C1693"/>
    <w:rsid w:val="007D0E84"/>
    <w:rsid w:val="007D2D42"/>
    <w:rsid w:val="007D542C"/>
    <w:rsid w:val="007D681B"/>
    <w:rsid w:val="007E00E2"/>
    <w:rsid w:val="007E1D85"/>
    <w:rsid w:val="007F5CCA"/>
    <w:rsid w:val="00803517"/>
    <w:rsid w:val="00804A48"/>
    <w:rsid w:val="00805F4C"/>
    <w:rsid w:val="008104FD"/>
    <w:rsid w:val="008106A7"/>
    <w:rsid w:val="0081154A"/>
    <w:rsid w:val="00812168"/>
    <w:rsid w:val="00814DFC"/>
    <w:rsid w:val="008153C7"/>
    <w:rsid w:val="0081561A"/>
    <w:rsid w:val="00817C23"/>
    <w:rsid w:val="00820B36"/>
    <w:rsid w:val="00822BF4"/>
    <w:rsid w:val="0082754B"/>
    <w:rsid w:val="008275D1"/>
    <w:rsid w:val="00827BB2"/>
    <w:rsid w:val="008329DA"/>
    <w:rsid w:val="00832A7E"/>
    <w:rsid w:val="008330E7"/>
    <w:rsid w:val="008353A4"/>
    <w:rsid w:val="008407EF"/>
    <w:rsid w:val="008418F5"/>
    <w:rsid w:val="008451C8"/>
    <w:rsid w:val="008461AA"/>
    <w:rsid w:val="00847154"/>
    <w:rsid w:val="00856CAB"/>
    <w:rsid w:val="00862FA8"/>
    <w:rsid w:val="00864561"/>
    <w:rsid w:val="0086657B"/>
    <w:rsid w:val="008667DF"/>
    <w:rsid w:val="0087104B"/>
    <w:rsid w:val="008832E5"/>
    <w:rsid w:val="0088648B"/>
    <w:rsid w:val="008872AB"/>
    <w:rsid w:val="00891EB8"/>
    <w:rsid w:val="0089401D"/>
    <w:rsid w:val="00895628"/>
    <w:rsid w:val="00897669"/>
    <w:rsid w:val="008A577E"/>
    <w:rsid w:val="008C0181"/>
    <w:rsid w:val="008C184A"/>
    <w:rsid w:val="008C189A"/>
    <w:rsid w:val="008C5F4D"/>
    <w:rsid w:val="008C6434"/>
    <w:rsid w:val="008D0B8D"/>
    <w:rsid w:val="008D4451"/>
    <w:rsid w:val="008D62B7"/>
    <w:rsid w:val="008E19AE"/>
    <w:rsid w:val="008E6895"/>
    <w:rsid w:val="008F0721"/>
    <w:rsid w:val="008F3E3D"/>
    <w:rsid w:val="00900B3C"/>
    <w:rsid w:val="00904FB5"/>
    <w:rsid w:val="00910180"/>
    <w:rsid w:val="0091136C"/>
    <w:rsid w:val="009128A3"/>
    <w:rsid w:val="0092406C"/>
    <w:rsid w:val="00930D7D"/>
    <w:rsid w:val="009369D3"/>
    <w:rsid w:val="00950083"/>
    <w:rsid w:val="0095047E"/>
    <w:rsid w:val="00956101"/>
    <w:rsid w:val="00957BAF"/>
    <w:rsid w:val="00962CD6"/>
    <w:rsid w:val="0097426A"/>
    <w:rsid w:val="00974EE1"/>
    <w:rsid w:val="009752E8"/>
    <w:rsid w:val="009809C9"/>
    <w:rsid w:val="00980ED0"/>
    <w:rsid w:val="009818DC"/>
    <w:rsid w:val="00985916"/>
    <w:rsid w:val="00986783"/>
    <w:rsid w:val="009928F7"/>
    <w:rsid w:val="009934F0"/>
    <w:rsid w:val="00993A60"/>
    <w:rsid w:val="009B014E"/>
    <w:rsid w:val="009D15D5"/>
    <w:rsid w:val="009D37DE"/>
    <w:rsid w:val="009D67EC"/>
    <w:rsid w:val="009D71D5"/>
    <w:rsid w:val="009E2887"/>
    <w:rsid w:val="009E56D6"/>
    <w:rsid w:val="009E5CB9"/>
    <w:rsid w:val="009E6EB6"/>
    <w:rsid w:val="009F07F5"/>
    <w:rsid w:val="009F22EA"/>
    <w:rsid w:val="009F31F2"/>
    <w:rsid w:val="009F45A5"/>
    <w:rsid w:val="009F5A85"/>
    <w:rsid w:val="009F72B0"/>
    <w:rsid w:val="00A01233"/>
    <w:rsid w:val="00A01C2E"/>
    <w:rsid w:val="00A02BB2"/>
    <w:rsid w:val="00A03F31"/>
    <w:rsid w:val="00A04052"/>
    <w:rsid w:val="00A0709E"/>
    <w:rsid w:val="00A07383"/>
    <w:rsid w:val="00A074C5"/>
    <w:rsid w:val="00A07B7D"/>
    <w:rsid w:val="00A119FD"/>
    <w:rsid w:val="00A12563"/>
    <w:rsid w:val="00A130BE"/>
    <w:rsid w:val="00A2498C"/>
    <w:rsid w:val="00A249AE"/>
    <w:rsid w:val="00A250D8"/>
    <w:rsid w:val="00A254BB"/>
    <w:rsid w:val="00A26BB4"/>
    <w:rsid w:val="00A300B9"/>
    <w:rsid w:val="00A31019"/>
    <w:rsid w:val="00A35058"/>
    <w:rsid w:val="00A40EDA"/>
    <w:rsid w:val="00A57127"/>
    <w:rsid w:val="00A74EC3"/>
    <w:rsid w:val="00A8360A"/>
    <w:rsid w:val="00A84EA1"/>
    <w:rsid w:val="00AA0846"/>
    <w:rsid w:val="00AA1306"/>
    <w:rsid w:val="00AA23E5"/>
    <w:rsid w:val="00AA4618"/>
    <w:rsid w:val="00AA5E2F"/>
    <w:rsid w:val="00AA7317"/>
    <w:rsid w:val="00AC2C0B"/>
    <w:rsid w:val="00AC3DFE"/>
    <w:rsid w:val="00AC4905"/>
    <w:rsid w:val="00AE0B95"/>
    <w:rsid w:val="00AE7922"/>
    <w:rsid w:val="00AF056B"/>
    <w:rsid w:val="00AF5592"/>
    <w:rsid w:val="00B01011"/>
    <w:rsid w:val="00B041BF"/>
    <w:rsid w:val="00B05BD1"/>
    <w:rsid w:val="00B07930"/>
    <w:rsid w:val="00B10089"/>
    <w:rsid w:val="00B21CF0"/>
    <w:rsid w:val="00B22E50"/>
    <w:rsid w:val="00B3268E"/>
    <w:rsid w:val="00B43378"/>
    <w:rsid w:val="00B46489"/>
    <w:rsid w:val="00B46F30"/>
    <w:rsid w:val="00B608C1"/>
    <w:rsid w:val="00B60D3D"/>
    <w:rsid w:val="00B61D95"/>
    <w:rsid w:val="00B64A3F"/>
    <w:rsid w:val="00B70444"/>
    <w:rsid w:val="00B70C8D"/>
    <w:rsid w:val="00B7231F"/>
    <w:rsid w:val="00B82874"/>
    <w:rsid w:val="00B90A1E"/>
    <w:rsid w:val="00B91443"/>
    <w:rsid w:val="00B9187F"/>
    <w:rsid w:val="00B940B2"/>
    <w:rsid w:val="00B94191"/>
    <w:rsid w:val="00BA2BF3"/>
    <w:rsid w:val="00BB111F"/>
    <w:rsid w:val="00BB1BB1"/>
    <w:rsid w:val="00BB3050"/>
    <w:rsid w:val="00BB7831"/>
    <w:rsid w:val="00BC31BC"/>
    <w:rsid w:val="00BC6167"/>
    <w:rsid w:val="00BC6A01"/>
    <w:rsid w:val="00BE0639"/>
    <w:rsid w:val="00BE198F"/>
    <w:rsid w:val="00BE3D59"/>
    <w:rsid w:val="00BE4435"/>
    <w:rsid w:val="00BE6B71"/>
    <w:rsid w:val="00BF27C4"/>
    <w:rsid w:val="00C03C84"/>
    <w:rsid w:val="00C07BB3"/>
    <w:rsid w:val="00C153F2"/>
    <w:rsid w:val="00C17226"/>
    <w:rsid w:val="00C2000E"/>
    <w:rsid w:val="00C21D8F"/>
    <w:rsid w:val="00C27C3F"/>
    <w:rsid w:val="00C379C9"/>
    <w:rsid w:val="00C414F3"/>
    <w:rsid w:val="00C422B8"/>
    <w:rsid w:val="00C53390"/>
    <w:rsid w:val="00C566D6"/>
    <w:rsid w:val="00C56B7A"/>
    <w:rsid w:val="00C71E57"/>
    <w:rsid w:val="00C764D9"/>
    <w:rsid w:val="00C77910"/>
    <w:rsid w:val="00C81500"/>
    <w:rsid w:val="00C839ED"/>
    <w:rsid w:val="00C84299"/>
    <w:rsid w:val="00C92F14"/>
    <w:rsid w:val="00C94B98"/>
    <w:rsid w:val="00C97365"/>
    <w:rsid w:val="00CA3011"/>
    <w:rsid w:val="00CA4C1A"/>
    <w:rsid w:val="00CB05D3"/>
    <w:rsid w:val="00CC08BA"/>
    <w:rsid w:val="00CC2370"/>
    <w:rsid w:val="00CC330A"/>
    <w:rsid w:val="00CC5727"/>
    <w:rsid w:val="00CC7DBD"/>
    <w:rsid w:val="00CD6935"/>
    <w:rsid w:val="00CD7058"/>
    <w:rsid w:val="00CE03ED"/>
    <w:rsid w:val="00CE7F7F"/>
    <w:rsid w:val="00CF3849"/>
    <w:rsid w:val="00CF5440"/>
    <w:rsid w:val="00D0233C"/>
    <w:rsid w:val="00D041C3"/>
    <w:rsid w:val="00D11462"/>
    <w:rsid w:val="00D13DD9"/>
    <w:rsid w:val="00D14D61"/>
    <w:rsid w:val="00D169C5"/>
    <w:rsid w:val="00D20DB4"/>
    <w:rsid w:val="00D22A47"/>
    <w:rsid w:val="00D25CB4"/>
    <w:rsid w:val="00D275FC"/>
    <w:rsid w:val="00D3279D"/>
    <w:rsid w:val="00D3576E"/>
    <w:rsid w:val="00D3727B"/>
    <w:rsid w:val="00D40FDD"/>
    <w:rsid w:val="00D41689"/>
    <w:rsid w:val="00D43297"/>
    <w:rsid w:val="00D46B0B"/>
    <w:rsid w:val="00D55ED8"/>
    <w:rsid w:val="00D60C5A"/>
    <w:rsid w:val="00D70DB6"/>
    <w:rsid w:val="00D723BC"/>
    <w:rsid w:val="00D74944"/>
    <w:rsid w:val="00D76048"/>
    <w:rsid w:val="00D93C80"/>
    <w:rsid w:val="00D9686A"/>
    <w:rsid w:val="00D96A8F"/>
    <w:rsid w:val="00DA16F7"/>
    <w:rsid w:val="00DB406A"/>
    <w:rsid w:val="00DB4AB0"/>
    <w:rsid w:val="00DB6661"/>
    <w:rsid w:val="00DB7FB0"/>
    <w:rsid w:val="00DD5E3A"/>
    <w:rsid w:val="00DE39B7"/>
    <w:rsid w:val="00DE42C9"/>
    <w:rsid w:val="00DE4FC7"/>
    <w:rsid w:val="00DF11A7"/>
    <w:rsid w:val="00DF2917"/>
    <w:rsid w:val="00DF3381"/>
    <w:rsid w:val="00DF47EB"/>
    <w:rsid w:val="00E211ED"/>
    <w:rsid w:val="00E271CB"/>
    <w:rsid w:val="00E301D0"/>
    <w:rsid w:val="00E317B2"/>
    <w:rsid w:val="00E33FE3"/>
    <w:rsid w:val="00E34FE3"/>
    <w:rsid w:val="00E55D6C"/>
    <w:rsid w:val="00E57396"/>
    <w:rsid w:val="00E64E00"/>
    <w:rsid w:val="00E74B45"/>
    <w:rsid w:val="00E75FFF"/>
    <w:rsid w:val="00E81A1B"/>
    <w:rsid w:val="00E81A86"/>
    <w:rsid w:val="00E85A7A"/>
    <w:rsid w:val="00E8607B"/>
    <w:rsid w:val="00E91073"/>
    <w:rsid w:val="00E920D5"/>
    <w:rsid w:val="00E92600"/>
    <w:rsid w:val="00E93583"/>
    <w:rsid w:val="00EA2F86"/>
    <w:rsid w:val="00EA303C"/>
    <w:rsid w:val="00EA6D39"/>
    <w:rsid w:val="00EA6F85"/>
    <w:rsid w:val="00EB1D97"/>
    <w:rsid w:val="00EB32A3"/>
    <w:rsid w:val="00EB41C1"/>
    <w:rsid w:val="00EC30A5"/>
    <w:rsid w:val="00EC480E"/>
    <w:rsid w:val="00EC4E42"/>
    <w:rsid w:val="00EE04FB"/>
    <w:rsid w:val="00EF4C53"/>
    <w:rsid w:val="00F006F1"/>
    <w:rsid w:val="00F05540"/>
    <w:rsid w:val="00F07B7B"/>
    <w:rsid w:val="00F169DA"/>
    <w:rsid w:val="00F20BC4"/>
    <w:rsid w:val="00F23B95"/>
    <w:rsid w:val="00F31FA8"/>
    <w:rsid w:val="00F3244F"/>
    <w:rsid w:val="00F34699"/>
    <w:rsid w:val="00F40388"/>
    <w:rsid w:val="00F42D3C"/>
    <w:rsid w:val="00F54707"/>
    <w:rsid w:val="00F56F75"/>
    <w:rsid w:val="00F6012B"/>
    <w:rsid w:val="00F62B23"/>
    <w:rsid w:val="00F63389"/>
    <w:rsid w:val="00F665E0"/>
    <w:rsid w:val="00F860CC"/>
    <w:rsid w:val="00F91977"/>
    <w:rsid w:val="00F97B57"/>
    <w:rsid w:val="00FA4F7C"/>
    <w:rsid w:val="00FB0456"/>
    <w:rsid w:val="00FB47F4"/>
    <w:rsid w:val="00FC17F4"/>
    <w:rsid w:val="00FC40D1"/>
    <w:rsid w:val="00FD2B12"/>
    <w:rsid w:val="00FD2B9F"/>
    <w:rsid w:val="00FD6FA9"/>
    <w:rsid w:val="00FE6C51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060D1"/>
  <w15:docId w15:val="{317CAD94-7703-49DA-9DBA-8DE812B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F4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da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rma@panaceabiotec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6374-FAB5-4821-B15F-D9ABD11E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3442</Words>
  <Characters>17729</Characters>
  <Application>Microsoft Office Word</Application>
  <DocSecurity>0</DocSecurity>
  <Lines>2532</Lines>
  <Paragraphs>1628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JSC Farmak</Company>
  <LinksUpToDate>false</LinksUpToDate>
  <CharactersWithSpaces>19543</CharactersWithSpaces>
  <SharedDoc>false</SharedDoc>
  <HLinks>
    <vt:vector size="30" baseType="variant">
      <vt:variant>
        <vt:i4>7667774</vt:i4>
      </vt:variant>
      <vt:variant>
        <vt:i4>12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3866743</vt:i4>
      </vt:variant>
      <vt:variant>
        <vt:i4>9</vt:i4>
      </vt:variant>
      <vt:variant>
        <vt:i4>0</vt:i4>
      </vt:variant>
      <vt:variant>
        <vt:i4>5</vt:i4>
      </vt:variant>
      <vt:variant>
        <vt:lpwstr>http://www.alvogen.com/</vt:lpwstr>
      </vt:variant>
      <vt:variant>
        <vt:lpwstr/>
      </vt:variant>
      <vt:variant>
        <vt:i4>5636142</vt:i4>
      </vt:variant>
      <vt:variant>
        <vt:i4>6</vt:i4>
      </vt:variant>
      <vt:variant>
        <vt:i4>0</vt:i4>
      </vt:variant>
      <vt:variant>
        <vt:i4>5</vt:i4>
      </vt:variant>
      <vt:variant>
        <vt:lpwstr>mailto:drugsafety.kz@alvogen.com</vt:lpwstr>
      </vt:variant>
      <vt:variant>
        <vt:lpwstr/>
      </vt:variant>
      <vt:variant>
        <vt:i4>655414</vt:i4>
      </vt:variant>
      <vt:variant>
        <vt:i4>3</vt:i4>
      </vt:variant>
      <vt:variant>
        <vt:i4>0</vt:i4>
      </vt:variant>
      <vt:variant>
        <vt:i4>5</vt:i4>
      </vt:variant>
      <vt:variant>
        <vt:lpwstr>mailto:info@alvogen.com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6</cp:revision>
  <cp:lastPrinted>2019-11-18T06:17:00Z</cp:lastPrinted>
  <dcterms:created xsi:type="dcterms:W3CDTF">2022-01-31T06:47:00Z</dcterms:created>
  <dcterms:modified xsi:type="dcterms:W3CDTF">2025-09-08T10:42:00Z</dcterms:modified>
</cp:coreProperties>
</file>