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75" w:type="dxa"/>
        <w:tblLayout w:type="fixed"/>
        <w:tblLook w:val="04A0" w:firstRow="1" w:lastRow="0" w:firstColumn="1" w:lastColumn="0" w:noHBand="0" w:noVBand="1"/>
      </w:tblPr>
      <w:tblGrid>
        <w:gridCol w:w="4503"/>
        <w:gridCol w:w="4536"/>
        <w:gridCol w:w="4536"/>
      </w:tblGrid>
      <w:tr w:rsidR="00523D82" w:rsidRPr="00FC6F8C" w14:paraId="3CC714A4" w14:textId="77777777" w:rsidTr="009567ED">
        <w:tc>
          <w:tcPr>
            <w:tcW w:w="4503" w:type="dxa"/>
            <w:hideMark/>
          </w:tcPr>
          <w:p w14:paraId="6E314076" w14:textId="77777777" w:rsidR="007E1D85" w:rsidRPr="005E3CD4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7282DBF6" w14:textId="77777777" w:rsidR="00523D82" w:rsidRPr="00FC6F8C" w:rsidRDefault="00523D82" w:rsidP="003B6661">
            <w:pPr>
              <w:widowControl w:val="0"/>
              <w:spacing w:after="0" w:line="240" w:lineRule="auto"/>
              <w:ind w:left="31" w:firstLine="425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213D6F45" w14:textId="77777777" w:rsidR="00653617" w:rsidRPr="00FC6F8C" w:rsidRDefault="00523D82" w:rsidP="003B6661">
            <w:pPr>
              <w:autoSpaceDE w:val="0"/>
              <w:autoSpaceDN w:val="0"/>
              <w:spacing w:after="0" w:line="240" w:lineRule="auto"/>
              <w:ind w:left="31" w:firstLine="42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4CE26A21" w14:textId="77777777" w:rsidR="00523D82" w:rsidRPr="00FC6F8C" w:rsidRDefault="007E702A" w:rsidP="003B6661">
            <w:pPr>
              <w:autoSpaceDE w:val="0"/>
              <w:autoSpaceDN w:val="0"/>
              <w:spacing w:after="0" w:line="240" w:lineRule="auto"/>
              <w:ind w:left="45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E429FB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 и фармацевтического контроля</w:t>
            </w:r>
          </w:p>
          <w:p w14:paraId="250E5971" w14:textId="77777777" w:rsidR="00523D82" w:rsidRPr="00FC6F8C" w:rsidRDefault="00523D82" w:rsidP="003B6661">
            <w:pPr>
              <w:keepNext/>
              <w:autoSpaceDE w:val="0"/>
              <w:autoSpaceDN w:val="0"/>
              <w:spacing w:after="0" w:line="240" w:lineRule="auto"/>
              <w:ind w:left="31" w:firstLine="425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FC6F8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328A1BA5" w14:textId="77777777" w:rsidR="00523D82" w:rsidRPr="00FC6F8C" w:rsidRDefault="00523D82" w:rsidP="003B6661">
            <w:pPr>
              <w:keepNext/>
              <w:autoSpaceDE w:val="0"/>
              <w:autoSpaceDN w:val="0"/>
              <w:spacing w:after="0" w:line="240" w:lineRule="auto"/>
              <w:ind w:left="31" w:firstLine="425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D97F8B" w:rsidRPr="00FC6F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77534960" w14:textId="3382E61D" w:rsidR="00523D82" w:rsidRPr="00FC6F8C" w:rsidRDefault="00523D82" w:rsidP="003B6661">
            <w:pPr>
              <w:autoSpaceDE w:val="0"/>
              <w:autoSpaceDN w:val="0"/>
              <w:spacing w:after="0" w:line="240" w:lineRule="auto"/>
              <w:ind w:left="31" w:firstLine="42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0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0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0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     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0369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21 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5132F02B" w14:textId="6D81A872" w:rsidR="00523D82" w:rsidRPr="00036957" w:rsidRDefault="00523D82" w:rsidP="003B6661">
            <w:pPr>
              <w:widowControl w:val="0"/>
              <w:spacing w:after="0" w:line="240" w:lineRule="auto"/>
              <w:ind w:left="31" w:firstLine="425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FC6F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036957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N044609</w:t>
            </w:r>
          </w:p>
        </w:tc>
        <w:tc>
          <w:tcPr>
            <w:tcW w:w="4536" w:type="dxa"/>
          </w:tcPr>
          <w:p w14:paraId="2A348B0C" w14:textId="77777777" w:rsidR="00523D82" w:rsidRPr="00FC6F8C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FC6F8C" w14:paraId="2DE745CA" w14:textId="77777777" w:rsidTr="009567ED">
        <w:tc>
          <w:tcPr>
            <w:tcW w:w="4503" w:type="dxa"/>
          </w:tcPr>
          <w:p w14:paraId="3C6FA3C8" w14:textId="77777777" w:rsidR="00523D82" w:rsidRPr="00FC6F8C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1EAFF15" w14:textId="77777777" w:rsidR="00523D82" w:rsidRPr="00FC6F8C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F4890C9" w14:textId="77777777" w:rsidR="00523D82" w:rsidRPr="00FC6F8C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1C6D16E6" w14:textId="77777777" w:rsidR="00D76048" w:rsidRPr="00FC6F8C" w:rsidRDefault="00D76048" w:rsidP="00F17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20143818" w14:textId="77777777" w:rsidR="00D76048" w:rsidRPr="00FC6F8C" w:rsidRDefault="00D76048" w:rsidP="00F17F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42B8AF95" w14:textId="77777777" w:rsidR="002C76D7" w:rsidRPr="00FC6F8C" w:rsidRDefault="002C76D7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4234D02E" w14:textId="77777777" w:rsidR="002C76D7" w:rsidRPr="00FC6F8C" w:rsidRDefault="00CB77CC" w:rsidP="002C76D7">
      <w:pPr>
        <w:pStyle w:val="ConsPlusNormal"/>
        <w:ind w:firstLine="540"/>
        <w:jc w:val="both"/>
        <w:rPr>
          <w:sz w:val="28"/>
          <w:szCs w:val="28"/>
        </w:rPr>
      </w:pPr>
      <w:r w:rsidRPr="00FC6F8C">
        <w:rPr>
          <w:sz w:val="28"/>
          <w:szCs w:val="28"/>
        </w:rPr>
        <w:t>▼</w:t>
      </w:r>
      <w:r w:rsidR="002C76D7" w:rsidRPr="00FC6F8C">
        <w:t>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реакциях.</w:t>
      </w:r>
    </w:p>
    <w:p w14:paraId="7F234182" w14:textId="77777777" w:rsidR="00232642" w:rsidRPr="00FC6F8C" w:rsidRDefault="00232642" w:rsidP="0065361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951F67" w14:textId="77777777" w:rsidR="002C76D7" w:rsidRPr="00FC6F8C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1E2599C" w14:textId="77777777" w:rsidR="002C76D7" w:rsidRPr="00FC6F8C" w:rsidRDefault="00714719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>Виротиномид</w:t>
      </w:r>
      <w:proofErr w:type="spellEnd"/>
    </w:p>
    <w:p w14:paraId="03946914" w14:textId="77777777" w:rsidR="00714719" w:rsidRPr="00FC6F8C" w:rsidRDefault="00714719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F8FC89A" w14:textId="77777777" w:rsidR="002C76D7" w:rsidRPr="00FC6F8C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7A0FBFD1" w14:textId="77777777" w:rsidR="002C76D7" w:rsidRPr="00FC6F8C" w:rsidRDefault="00714719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>Нет</w:t>
      </w:r>
    </w:p>
    <w:p w14:paraId="493EA924" w14:textId="77777777" w:rsidR="00714719" w:rsidRPr="00FC6F8C" w:rsidRDefault="00714719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3EB996E" w14:textId="77777777" w:rsidR="00D76048" w:rsidRPr="00FC6F8C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0069D227" w14:textId="77777777" w:rsidR="00B01011" w:rsidRPr="00FC6F8C" w:rsidRDefault="00714719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Таблетки, покрытые пленочной оболочкой, 200 мг/25 мг</w:t>
      </w:r>
    </w:p>
    <w:p w14:paraId="76AFD6B1" w14:textId="77777777" w:rsidR="00714719" w:rsidRPr="00FC6F8C" w:rsidRDefault="00714719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CC2ACE" w14:textId="77777777" w:rsidR="002C1660" w:rsidRPr="00FC6F8C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FC6F8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FC6F8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FC6F8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7D92F547" w14:textId="77777777" w:rsidR="00767228" w:rsidRPr="00FC6F8C" w:rsidRDefault="00767228" w:rsidP="0076722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Противоинфекционные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препараты </w:t>
      </w:r>
      <w:r w:rsidR="00DB371E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295AD1" w:rsidRPr="00FC6F8C">
        <w:rPr>
          <w:rFonts w:ascii="Times New Roman" w:hAnsi="Times New Roman"/>
          <w:color w:val="000000"/>
          <w:sz w:val="28"/>
          <w:szCs w:val="28"/>
        </w:rPr>
        <w:t>системного использования</w:t>
      </w:r>
      <w:r w:rsidRPr="00FC6F8C">
        <w:rPr>
          <w:rFonts w:ascii="Times New Roman" w:hAnsi="Times New Roman"/>
          <w:color w:val="000000"/>
          <w:sz w:val="28"/>
          <w:szCs w:val="28"/>
        </w:rPr>
        <w:t xml:space="preserve">. Противовирусные </w:t>
      </w:r>
      <w:r w:rsidR="002066A3" w:rsidRPr="00FC6F8C">
        <w:rPr>
          <w:rFonts w:ascii="Times New Roman" w:hAnsi="Times New Roman"/>
          <w:color w:val="000000"/>
          <w:sz w:val="28"/>
          <w:szCs w:val="28"/>
        </w:rPr>
        <w:t>препараты</w:t>
      </w:r>
      <w:r w:rsidRPr="00FC6F8C">
        <w:rPr>
          <w:rFonts w:ascii="Times New Roman" w:hAnsi="Times New Roman"/>
          <w:color w:val="000000"/>
          <w:sz w:val="28"/>
          <w:szCs w:val="28"/>
        </w:rPr>
        <w:t xml:space="preserve"> для системного применения. Противовирусные препараты прямого действия. Противовирусные препараты для лечения ВИЧ-инфекции, комбинации.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Эмтрицитабин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тенофовир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алафенамид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>.</w:t>
      </w:r>
    </w:p>
    <w:p w14:paraId="09D899D6" w14:textId="77777777" w:rsidR="002C76D7" w:rsidRPr="00FC6F8C" w:rsidRDefault="00767228" w:rsidP="00767228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C6F8C">
        <w:rPr>
          <w:rFonts w:ascii="Times New Roman" w:hAnsi="Times New Roman"/>
          <w:color w:val="000000"/>
          <w:sz w:val="28"/>
          <w:szCs w:val="28"/>
        </w:rPr>
        <w:t>Код АТХ J05AR17</w:t>
      </w:r>
      <w:r w:rsidR="002C76D7" w:rsidRPr="00FC6F8C">
        <w:rPr>
          <w:rFonts w:ascii="Times New Roman" w:hAnsi="Times New Roman"/>
          <w:sz w:val="28"/>
          <w:szCs w:val="28"/>
        </w:rPr>
        <w:br/>
      </w:r>
    </w:p>
    <w:p w14:paraId="55924FBA" w14:textId="77777777" w:rsidR="002C76D7" w:rsidRPr="00FC6F8C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C6F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FC6F8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9097A1E" w14:textId="77777777" w:rsidR="00D47C2E" w:rsidRPr="00FC6F8C" w:rsidRDefault="009400D7" w:rsidP="00D47C2E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 xml:space="preserve">- препарат </w:t>
      </w:r>
      <w:proofErr w:type="spellStart"/>
      <w:r w:rsidR="00D47C2E" w:rsidRPr="00FC6F8C">
        <w:rPr>
          <w:rFonts w:ascii="Times New Roman" w:hAnsi="Times New Roman"/>
          <w:sz w:val="28"/>
          <w:szCs w:val="28"/>
        </w:rPr>
        <w:t>Виротиномид</w:t>
      </w:r>
      <w:proofErr w:type="spellEnd"/>
      <w:r w:rsidR="00D47C2E" w:rsidRPr="00FC6F8C">
        <w:rPr>
          <w:rFonts w:ascii="Times New Roman" w:hAnsi="Times New Roman"/>
          <w:sz w:val="28"/>
          <w:szCs w:val="28"/>
        </w:rPr>
        <w:t xml:space="preserve"> применяется в сочетании с другими антиретровирусными </w:t>
      </w:r>
      <w:r w:rsidR="00983D43" w:rsidRPr="00FC6F8C">
        <w:rPr>
          <w:rFonts w:ascii="Times New Roman" w:hAnsi="Times New Roman"/>
          <w:sz w:val="28"/>
          <w:szCs w:val="28"/>
        </w:rPr>
        <w:t>препаратами</w:t>
      </w:r>
      <w:r w:rsidR="00D47C2E" w:rsidRPr="00FC6F8C">
        <w:rPr>
          <w:rFonts w:ascii="Times New Roman" w:hAnsi="Times New Roman"/>
          <w:sz w:val="28"/>
          <w:szCs w:val="28"/>
        </w:rPr>
        <w:t xml:space="preserve"> для лечения взрослых и подростков (в возрасте от 12 лет и старше с массой тела не менее 35 кг), инфицированных вирусом иммунодефицита человека 1 типа (ВИЧ-1).</w:t>
      </w:r>
    </w:p>
    <w:p w14:paraId="2B9ED227" w14:textId="77777777" w:rsidR="00844CE8" w:rsidRPr="00FC6F8C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F0E24F" w14:textId="77777777" w:rsidR="00DB406A" w:rsidRPr="00FC6F8C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6226B6C1" w14:textId="77777777" w:rsidR="007D0E84" w:rsidRPr="00FC6F8C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023E03F3" w14:textId="77777777" w:rsidR="00891A45" w:rsidRPr="00FC6F8C" w:rsidRDefault="009400D7" w:rsidP="00891A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- г</w:t>
      </w:r>
      <w:r w:rsidR="00891A45" w:rsidRPr="00FC6F8C">
        <w:rPr>
          <w:rFonts w:ascii="Times New Roman" w:hAnsi="Times New Roman"/>
          <w:sz w:val="28"/>
          <w:szCs w:val="28"/>
        </w:rPr>
        <w:t>иперчувствительность к активным компонентам или любому из вспомогательных веществ</w:t>
      </w:r>
      <w:r w:rsidRPr="00FC6F8C">
        <w:rPr>
          <w:rFonts w:ascii="Times New Roman" w:hAnsi="Times New Roman"/>
          <w:sz w:val="28"/>
          <w:szCs w:val="28"/>
        </w:rPr>
        <w:t>, перечисленных в разделе «</w:t>
      </w:r>
      <w:r w:rsidR="00CE7EDC" w:rsidRPr="00FC6F8C">
        <w:rPr>
          <w:rFonts w:ascii="Times New Roman" w:hAnsi="Times New Roman"/>
          <w:sz w:val="28"/>
          <w:szCs w:val="28"/>
        </w:rPr>
        <w:t>С</w:t>
      </w:r>
      <w:r w:rsidRPr="00FC6F8C">
        <w:rPr>
          <w:rFonts w:ascii="Times New Roman" w:hAnsi="Times New Roman"/>
          <w:sz w:val="28"/>
          <w:szCs w:val="28"/>
        </w:rPr>
        <w:t>остав»</w:t>
      </w:r>
    </w:p>
    <w:p w14:paraId="202A4218" w14:textId="77777777" w:rsidR="007D0E84" w:rsidRPr="00FC6F8C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Взаимодействия с другими лекарственными препаратами</w:t>
      </w:r>
    </w:p>
    <w:p w14:paraId="10364AC5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6F8C">
        <w:rPr>
          <w:rFonts w:ascii="Times New Roman" w:hAnsi="Times New Roman"/>
          <w:color w:val="000000"/>
          <w:sz w:val="28"/>
          <w:szCs w:val="28"/>
        </w:rPr>
        <w:t>Исследования взаимодействия проводились только на взрослых пациентах.</w:t>
      </w:r>
    </w:p>
    <w:p w14:paraId="0DDF2CF4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не следует назначать одновременно с лекарственными средствами, содержащими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дизопроксил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ламивудин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адефовир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дипивоксил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CC47C2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Эмтрицитабин</w:t>
      </w:r>
      <w:proofErr w:type="spellEnd"/>
    </w:p>
    <w:p w14:paraId="48E9C361" w14:textId="77777777" w:rsidR="00F37A9E" w:rsidRPr="00FC6F8C" w:rsidRDefault="0058682F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сследования </w:t>
      </w:r>
      <w:proofErr w:type="spellStart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>межлекарственного</w:t>
      </w:r>
      <w:proofErr w:type="spellEnd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взаимодействия показали, что вероятность CYP-опосредованного взаимодействия </w:t>
      </w:r>
      <w:proofErr w:type="spellStart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эмтрицитабина</w:t>
      </w:r>
      <w:proofErr w:type="spellEnd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с другими лекарственными средствами невысока. Совместное применение </w:t>
      </w:r>
      <w:proofErr w:type="spellStart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эмтрицитабина</w:t>
      </w:r>
      <w:proofErr w:type="spellEnd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с лекарственными средствами, выводящиеся из-за активной </w:t>
      </w:r>
      <w:proofErr w:type="spellStart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>канальцевой</w:t>
      </w:r>
      <w:proofErr w:type="spellEnd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секреции, может повышать концентрацию </w:t>
      </w:r>
      <w:proofErr w:type="spellStart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эмтрицитабина</w:t>
      </w:r>
      <w:proofErr w:type="spellEnd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и/или лекарственного средства, вводимого параллельно. Лекарственные препараты, снижающие функцию почек, могут повышать концентрацию </w:t>
      </w:r>
      <w:proofErr w:type="spellStart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эмтрицитабина</w:t>
      </w:r>
      <w:proofErr w:type="spellEnd"/>
      <w:r w:rsidR="00F37A9E" w:rsidRPr="00FC6F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F93B47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алафенамид</w:t>
      </w:r>
      <w:proofErr w:type="spellEnd"/>
    </w:p>
    <w:p w14:paraId="5663E0DE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переносится Р-гликопротеином (P-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gp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) и белком устойчивости к раку груди (BCRP). Лекарственные препараты, оказывающее большое влияние на активность P-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gp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 BCRP, могут привести к изменению абсорбции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. Предполагается, что лекарственные препараты, индуцирующие активность P-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gp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рифампицин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рифабутин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карбамазепин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фенобарбитал), уменьшат абсорбцию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приведет к снижению его концентрации в плазме и потере терапевтического эффекта препарата, а также развитию резистентности. Предполагается, что совместное применение препарата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Виротиномид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с другими лекарственными средствами, ингибирующими активность P-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gp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 BCRP (например,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кобицистат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ритонавир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циклоспорин), увеличит абсорбцию и концентрацию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плазме. Основываясь на данных, не ожидается, что совместное применение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ингибиторов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ксантиноксидазы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фебуксостата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приведет к увеличению системного воздействия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B688D4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не является ингибитором CYP1A2, CYP2B6, CYP2C8, CYP2C9, CYP2C19 или CYP2D6. Также он не является ингибитором или индуктором CYP3A.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субстратом OATP1B1 и OATP1B3. На распределение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в организме может влиять активность OATP1B1 и OATP1B3.</w:t>
      </w:r>
    </w:p>
    <w:p w14:paraId="05AC013D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Другие взаимодействия</w:t>
      </w:r>
    </w:p>
    <w:p w14:paraId="32B83AEE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не является ингибитором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уридиндифосфатглюкуронозилтрансферазы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(UGT) 1A1. Неизвестно, является ли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ингибитором других ферментов UGT.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ингибировал реакцию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глюкуронизации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неспецифического субстрата UGT.</w:t>
      </w:r>
    </w:p>
    <w:p w14:paraId="60B99806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Взаимодействия между компонентами препарата и потенциальными лекарственными средствами для совместного введения перечислены в таблице </w:t>
      </w:r>
      <w:r w:rsidR="00CE7EDC" w:rsidRPr="00FC6F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(увеличение обозначается как «↑», уменьшение как «↓», без изменений как «»). Описанные взаимодействия основаны на исследованиях, проведенных с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компонентами препарата в виде отдельных агентов и/или в комбинации, или являются потенциальными лекарственными взаимодействиями, которые могут возникать с препаратом.</w:t>
      </w:r>
    </w:p>
    <w:p w14:paraId="4B09F6AB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Таблица </w:t>
      </w:r>
      <w:r w:rsidR="00CE7EDC"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Взаимодействие между отдельными компонентами </w:t>
      </w:r>
      <w:proofErr w:type="spellStart"/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>алафенамида</w:t>
      </w:r>
      <w:proofErr w:type="spellEnd"/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proofErr w:type="spellStart"/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>эмтрицитабина</w:t>
      </w:r>
      <w:proofErr w:type="spellEnd"/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другими лекарственными средствами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3085"/>
        <w:gridCol w:w="3085"/>
      </w:tblGrid>
      <w:tr w:rsidR="00F37A9E" w:rsidRPr="00FC6F8C" w14:paraId="68EF94D0" w14:textId="77777777" w:rsidTr="00DE38A3">
        <w:tc>
          <w:tcPr>
            <w:tcW w:w="2870" w:type="dxa"/>
            <w:shd w:val="clear" w:color="auto" w:fill="auto"/>
          </w:tcPr>
          <w:p w14:paraId="5848EBD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Лекарственный препарат по терапевтическим направлениям</w:t>
            </w:r>
          </w:p>
        </w:tc>
        <w:tc>
          <w:tcPr>
            <w:tcW w:w="3006" w:type="dxa"/>
            <w:shd w:val="clear" w:color="auto" w:fill="auto"/>
          </w:tcPr>
          <w:p w14:paraId="008B87C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Влияние на уровни лекарственного средства.</w:t>
            </w:r>
          </w:p>
          <w:p w14:paraId="03E4580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Среднее процентное изменение AUC, </w:t>
            </w:r>
            <w:proofErr w:type="spellStart"/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</w:p>
        </w:tc>
        <w:tc>
          <w:tcPr>
            <w:tcW w:w="3303" w:type="dxa"/>
            <w:shd w:val="clear" w:color="auto" w:fill="auto"/>
          </w:tcPr>
          <w:p w14:paraId="6A12A92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Рекомендация по совместному применению с препаратом </w:t>
            </w:r>
            <w:proofErr w:type="spellStart"/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Виротиномид</w:t>
            </w:r>
            <w:proofErr w:type="spellEnd"/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7A9E" w:rsidRPr="00FC6F8C" w14:paraId="3605E5C2" w14:textId="77777777" w:rsidTr="00DE38A3">
        <w:tc>
          <w:tcPr>
            <w:tcW w:w="9179" w:type="dxa"/>
            <w:gridSpan w:val="3"/>
            <w:shd w:val="clear" w:color="auto" w:fill="auto"/>
          </w:tcPr>
          <w:p w14:paraId="4A2CDC2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Противоинфекционные</w:t>
            </w:r>
            <w:proofErr w:type="spellEnd"/>
          </w:p>
        </w:tc>
      </w:tr>
      <w:tr w:rsidR="00F37A9E" w:rsidRPr="00FC6F8C" w14:paraId="52D0F54D" w14:textId="77777777" w:rsidTr="00DE38A3">
        <w:tc>
          <w:tcPr>
            <w:tcW w:w="9179" w:type="dxa"/>
            <w:gridSpan w:val="3"/>
            <w:shd w:val="clear" w:color="auto" w:fill="auto"/>
          </w:tcPr>
          <w:p w14:paraId="1B4C226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Противогрибковые</w:t>
            </w:r>
          </w:p>
        </w:tc>
      </w:tr>
      <w:tr w:rsidR="00F37A9E" w:rsidRPr="00FC6F8C" w14:paraId="25E482D3" w14:textId="77777777" w:rsidTr="00DE38A3">
        <w:tc>
          <w:tcPr>
            <w:tcW w:w="2870" w:type="dxa"/>
            <w:shd w:val="clear" w:color="auto" w:fill="auto"/>
          </w:tcPr>
          <w:p w14:paraId="355F7F0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Кетоконазол</w:t>
            </w:r>
            <w:proofErr w:type="spellEnd"/>
          </w:p>
          <w:p w14:paraId="2B9963F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Итраконазол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14:paraId="369D09E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Взаимодействие ни с одним из компонентов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изучено.</w:t>
            </w:r>
          </w:p>
          <w:p w14:paraId="41925AA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Ожидается, что одновременный прием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кетоконазола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итраконазола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являющиеся мощными ингибиторами P-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gp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увеличит плазменные концентрации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03" w:type="dxa"/>
            <w:shd w:val="clear" w:color="auto" w:fill="auto"/>
          </w:tcPr>
          <w:p w14:paraId="26ABBFA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Рекомендуемая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200/10 мг 1 раз в сутки.</w:t>
            </w:r>
          </w:p>
        </w:tc>
      </w:tr>
      <w:tr w:rsidR="00F37A9E" w:rsidRPr="00FC6F8C" w14:paraId="47719EC8" w14:textId="77777777" w:rsidTr="00DE38A3">
        <w:tc>
          <w:tcPr>
            <w:tcW w:w="2870" w:type="dxa"/>
            <w:shd w:val="clear" w:color="auto" w:fill="auto"/>
          </w:tcPr>
          <w:p w14:paraId="4A7B969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Флуконазол</w:t>
            </w:r>
          </w:p>
          <w:p w14:paraId="024E0D8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Исавуконазол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14:paraId="076AD87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Взаимодействие ни с одним из компонентов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изучено.</w:t>
            </w:r>
          </w:p>
          <w:p w14:paraId="28FF9CA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Одновременный прием флуконазола или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изавуконазола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может повышать концентрацию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тенофовира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плазме крови.</w:t>
            </w:r>
          </w:p>
        </w:tc>
        <w:tc>
          <w:tcPr>
            <w:tcW w:w="3303" w:type="dxa"/>
            <w:shd w:val="clear" w:color="auto" w:fill="auto"/>
          </w:tcPr>
          <w:p w14:paraId="7128DB4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зависит от сопутствующей антиретровирусной терапии.</w:t>
            </w:r>
          </w:p>
        </w:tc>
      </w:tr>
      <w:tr w:rsidR="00F37A9E" w:rsidRPr="00FC6F8C" w14:paraId="2E484DBF" w14:textId="77777777" w:rsidTr="00DE38A3">
        <w:tc>
          <w:tcPr>
            <w:tcW w:w="9179" w:type="dxa"/>
            <w:gridSpan w:val="3"/>
            <w:shd w:val="clear" w:color="auto" w:fill="auto"/>
          </w:tcPr>
          <w:p w14:paraId="6CE5284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Антимикобактериальные</w:t>
            </w:r>
            <w:proofErr w:type="spellEnd"/>
            <w:r w:rsidRPr="00FC6F8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препараты</w:t>
            </w:r>
          </w:p>
        </w:tc>
      </w:tr>
      <w:tr w:rsidR="00F37A9E" w:rsidRPr="00FC6F8C" w14:paraId="3ECD1046" w14:textId="77777777" w:rsidTr="00DE38A3">
        <w:tc>
          <w:tcPr>
            <w:tcW w:w="2870" w:type="dxa"/>
            <w:shd w:val="clear" w:color="auto" w:fill="auto"/>
          </w:tcPr>
          <w:p w14:paraId="26DB535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Рифабутин</w:t>
            </w:r>
            <w:proofErr w:type="spellEnd"/>
          </w:p>
          <w:p w14:paraId="4719A20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Рифампицин</w:t>
            </w:r>
            <w:proofErr w:type="spellEnd"/>
          </w:p>
          <w:p w14:paraId="3D69A37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Рифапентин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14:paraId="18B0B33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Взаимодействие ни с одним из компонентов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изучено.</w:t>
            </w:r>
          </w:p>
          <w:p w14:paraId="4DD74A0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Совместное введение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рифампицина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рифабутина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рифапентина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являющиеся индукторами P-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gp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может снизить концентрацию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плазме, что может привести к потере </w:t>
            </w:r>
            <w:proofErr w:type="gram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терапевтическо</w:t>
            </w:r>
            <w:r w:rsidR="0058682F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proofErr w:type="gram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эффекта и развитию резистентности.</w:t>
            </w:r>
          </w:p>
        </w:tc>
        <w:tc>
          <w:tcPr>
            <w:tcW w:w="3303" w:type="dxa"/>
            <w:shd w:val="clear" w:color="auto" w:fill="auto"/>
          </w:tcPr>
          <w:p w14:paraId="573F9F3F" w14:textId="77777777" w:rsidR="00F37A9E" w:rsidRPr="00FC6F8C" w:rsidRDefault="00F37A9E" w:rsidP="00DE3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Одновременное применение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рифабутином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рифампицином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рифапентином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рекомендуется.</w:t>
            </w:r>
          </w:p>
        </w:tc>
      </w:tr>
      <w:tr w:rsidR="00F37A9E" w:rsidRPr="00FC6F8C" w14:paraId="0D16B633" w14:textId="77777777" w:rsidTr="00DE38A3">
        <w:tc>
          <w:tcPr>
            <w:tcW w:w="9179" w:type="dxa"/>
            <w:gridSpan w:val="3"/>
            <w:shd w:val="clear" w:color="auto" w:fill="auto"/>
          </w:tcPr>
          <w:p w14:paraId="5BF625D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Лекарственные средства против вируса гепатита С</w:t>
            </w:r>
          </w:p>
        </w:tc>
      </w:tr>
      <w:tr w:rsidR="00F37A9E" w:rsidRPr="00FC6F8C" w14:paraId="27F91B84" w14:textId="77777777" w:rsidTr="00DE38A3">
        <w:tc>
          <w:tcPr>
            <w:tcW w:w="2870" w:type="dxa"/>
            <w:shd w:val="clear" w:color="auto" w:fill="auto"/>
          </w:tcPr>
          <w:p w14:paraId="3B58772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Ледипасвир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(90 мг один раз в сутки)/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(400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(200 мг один раз в сутки)/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(10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4BDEF41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Ледипасвир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347250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79%</w:t>
            </w:r>
          </w:p>
          <w:p w14:paraId="1B6404A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65%</w:t>
            </w:r>
          </w:p>
          <w:p w14:paraId="6713AB0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93%</w:t>
            </w:r>
          </w:p>
          <w:p w14:paraId="7895DB8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2813A0A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47%</w:t>
            </w:r>
          </w:p>
          <w:p w14:paraId="14074C5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29%</w:t>
            </w:r>
          </w:p>
          <w:p w14:paraId="77084A0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Метаболит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GS-331007:</w:t>
            </w:r>
          </w:p>
          <w:p w14:paraId="140C864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48%</w:t>
            </w:r>
          </w:p>
          <w:p w14:paraId="3F88DB6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0056482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66%</w:t>
            </w:r>
          </w:p>
          <w:p w14:paraId="0919CC9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3DC9A17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7B43D1F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73DBFFA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59EB5F3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35B1A29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AUC: ↔</w:t>
            </w:r>
          </w:p>
          <w:p w14:paraId="7AB674B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44A924E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Коррекции дозы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ледипасвира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требуется.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зависит от сопутствующей антиретровирусной терапии </w:t>
            </w:r>
          </w:p>
        </w:tc>
      </w:tr>
      <w:tr w:rsidR="00F37A9E" w:rsidRPr="00FC6F8C" w14:paraId="66536282" w14:textId="77777777" w:rsidTr="00DE38A3">
        <w:tc>
          <w:tcPr>
            <w:tcW w:w="2870" w:type="dxa"/>
            <w:shd w:val="clear" w:color="auto" w:fill="auto"/>
          </w:tcPr>
          <w:p w14:paraId="1AA164E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Ледипасвир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(90 мг один раз в сутки)/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(400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(200 мг один раз в сутки)/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(25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3CA7E1F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Ледипасвир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0F9536A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6A5E375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3B7D4DC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511CE6D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5CCFA38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24C0AC4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0E9E423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Метаболит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GS-331007:</w:t>
            </w:r>
          </w:p>
          <w:p w14:paraId="685FF03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438EF71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5EAB403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6ACC7E8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21E485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1EC95ED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2E47100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773FAF4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6134B1A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32%</w:t>
            </w:r>
          </w:p>
          <w:p w14:paraId="3D90329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5FF21D1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Коррекции дозы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ледипасвира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требуется.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зависит от сопутствующей антиретровирусной терапии.</w:t>
            </w:r>
          </w:p>
        </w:tc>
      </w:tr>
      <w:tr w:rsidR="00F37A9E" w:rsidRPr="00FC6F8C" w14:paraId="51D3940E" w14:textId="77777777" w:rsidTr="00DE38A3">
        <w:tc>
          <w:tcPr>
            <w:tcW w:w="2870" w:type="dxa"/>
            <w:shd w:val="clear" w:color="auto" w:fill="auto"/>
          </w:tcPr>
          <w:p w14:paraId="27F6FCEE" w14:textId="77777777" w:rsidR="00F37A9E" w:rsidRPr="00FC6F8C" w:rsidRDefault="00F37A9E" w:rsidP="00DE3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(400 мг один раз в сутки)/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велпатасвир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(100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(200 мг один раз в сутки)/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(10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4951F8E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68C753F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37%</w:t>
            </w:r>
          </w:p>
          <w:p w14:paraId="41EE247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67F8F5D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Метаболит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GS-331007:</w:t>
            </w:r>
          </w:p>
          <w:p w14:paraId="54FC1D6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48%</w:t>
            </w:r>
          </w:p>
          <w:p w14:paraId="67020D7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54CBFF9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58%</w:t>
            </w:r>
          </w:p>
          <w:p w14:paraId="311886B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Велпатасвир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14F4EBE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50%</w:t>
            </w:r>
          </w:p>
          <w:p w14:paraId="130BCDF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30%</w:t>
            </w:r>
          </w:p>
          <w:p w14:paraId="46E8978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60%</w:t>
            </w:r>
          </w:p>
          <w:p w14:paraId="6408FA7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77E8A5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5C8D176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2BC772F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1D91DEB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001B12A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29A6DB7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↓ 20%</w:t>
            </w:r>
          </w:p>
        </w:tc>
        <w:tc>
          <w:tcPr>
            <w:tcW w:w="3303" w:type="dxa"/>
            <w:vMerge w:val="restart"/>
            <w:shd w:val="clear" w:color="auto" w:fill="auto"/>
          </w:tcPr>
          <w:p w14:paraId="013E65C9" w14:textId="77777777" w:rsidR="00F37A9E" w:rsidRPr="00FC6F8C" w:rsidRDefault="00F37A9E" w:rsidP="00DE3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Коррекции дозы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велпатасвира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воксилапревира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требуется.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зависит от сопутствующей антиретровирусной терапии.</w:t>
            </w:r>
          </w:p>
        </w:tc>
      </w:tr>
      <w:tr w:rsidR="00F37A9E" w:rsidRPr="00FC6F8C" w14:paraId="22345B6F" w14:textId="77777777" w:rsidTr="00DE38A3">
        <w:tc>
          <w:tcPr>
            <w:tcW w:w="2870" w:type="dxa"/>
            <w:shd w:val="clear" w:color="auto" w:fill="auto"/>
          </w:tcPr>
          <w:p w14:paraId="3CE3B43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велпатасвир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14:paraId="068603E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воксилапревир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(400 мг/100 мг/100 мг + 100 мг один раз в сутки)/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(200 мг один раз в сутки)/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(10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5E500E1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039F83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0AF3A6E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27%</w:t>
            </w:r>
          </w:p>
          <w:p w14:paraId="4057A93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Метаболит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GS-331007:</w:t>
            </w:r>
          </w:p>
          <w:p w14:paraId="7E046C8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43%</w:t>
            </w:r>
          </w:p>
          <w:p w14:paraId="0AC3D84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164BD01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Велпатасвир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7579D43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5DCF637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46%</w:t>
            </w:r>
          </w:p>
          <w:p w14:paraId="78271D6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0F9FBE1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Воксилапревир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7E4CC29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171%</w:t>
            </w:r>
          </w:p>
          <w:p w14:paraId="61D1D7D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350%</w:t>
            </w:r>
          </w:p>
          <w:p w14:paraId="4A52744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92%</w:t>
            </w:r>
          </w:p>
          <w:p w14:paraId="5843967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33F048C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24256D5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4AE1458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3F3617F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19429EE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2BD79A0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↓ 21%</w:t>
            </w:r>
          </w:p>
        </w:tc>
        <w:tc>
          <w:tcPr>
            <w:tcW w:w="3303" w:type="dxa"/>
            <w:vMerge/>
            <w:shd w:val="clear" w:color="auto" w:fill="auto"/>
          </w:tcPr>
          <w:p w14:paraId="093DC82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7A9E" w:rsidRPr="00FC6F8C" w14:paraId="72540AE0" w14:textId="77777777" w:rsidTr="00DE38A3">
        <w:tc>
          <w:tcPr>
            <w:tcW w:w="2870" w:type="dxa"/>
            <w:shd w:val="clear" w:color="auto" w:fill="auto"/>
          </w:tcPr>
          <w:p w14:paraId="4DA46DF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велпатасвир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воксилапревир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(400 мг/ 100 мг/100 мг + 100 мг один раз в сутки)/</w:t>
            </w:r>
          </w:p>
          <w:p w14:paraId="381A8E5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(200 мг один раз в сутки)/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(25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6DD4817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0C78945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08DFB83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09AB751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Метаболит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GS-331007:</w:t>
            </w:r>
          </w:p>
          <w:p w14:paraId="11B8D6E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7B18BE3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7F47536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Велпатасвир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6E583CA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4A1C04E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2FF5B05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7F7BEFC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Воксилапревир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50AB434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55417A8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4C063E3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268CE40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061393B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3815AFE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330A69D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318B420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671207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52%</w:t>
            </w:r>
          </w:p>
          <w:p w14:paraId="7CF692B2" w14:textId="77777777" w:rsidR="00F37A9E" w:rsidRPr="00FC6F8C" w:rsidRDefault="00F37A9E" w:rsidP="00DE38A3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FC6F8C">
              <w:rPr>
                <w:sz w:val="28"/>
                <w:szCs w:val="28"/>
              </w:rPr>
              <w:t>C</w:t>
            </w:r>
            <w:r w:rsidRPr="00FC6F8C">
              <w:rPr>
                <w:sz w:val="28"/>
                <w:szCs w:val="28"/>
                <w:vertAlign w:val="subscript"/>
              </w:rPr>
              <w:t>max</w:t>
            </w:r>
            <w:proofErr w:type="spellEnd"/>
            <w:r w:rsidRPr="00FC6F8C">
              <w:rPr>
                <w:sz w:val="28"/>
                <w:szCs w:val="28"/>
              </w:rPr>
              <w:t xml:space="preserve">: ↑ 32% </w:t>
            </w:r>
          </w:p>
        </w:tc>
        <w:tc>
          <w:tcPr>
            <w:tcW w:w="3303" w:type="dxa"/>
            <w:shd w:val="clear" w:color="auto" w:fill="auto"/>
          </w:tcPr>
          <w:p w14:paraId="1A66BC5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Коррекции дозы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софосбувира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велпатасвира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воксилапревира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требуется.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зависит от сопутствующей антиретровирусной терапии.</w:t>
            </w:r>
          </w:p>
        </w:tc>
      </w:tr>
      <w:tr w:rsidR="00F37A9E" w:rsidRPr="00FC6F8C" w14:paraId="2AC91CE4" w14:textId="77777777" w:rsidTr="00DE38A3">
        <w:tc>
          <w:tcPr>
            <w:tcW w:w="9179" w:type="dxa"/>
            <w:gridSpan w:val="3"/>
            <w:shd w:val="clear" w:color="auto" w:fill="auto"/>
          </w:tcPr>
          <w:p w14:paraId="1D32393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Антиретровирусы</w:t>
            </w:r>
            <w:proofErr w:type="spellEnd"/>
          </w:p>
        </w:tc>
      </w:tr>
      <w:tr w:rsidR="00F37A9E" w:rsidRPr="00FC6F8C" w14:paraId="6758307A" w14:textId="77777777" w:rsidTr="00DE38A3">
        <w:tc>
          <w:tcPr>
            <w:tcW w:w="9179" w:type="dxa"/>
            <w:gridSpan w:val="3"/>
            <w:shd w:val="clear" w:color="auto" w:fill="auto"/>
          </w:tcPr>
          <w:p w14:paraId="0066159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Ингибиторы протеазы ВИЧ</w:t>
            </w:r>
          </w:p>
        </w:tc>
      </w:tr>
      <w:tr w:rsidR="00F37A9E" w:rsidRPr="00FC6F8C" w14:paraId="0AF52AAA" w14:textId="77777777" w:rsidTr="00DE38A3">
        <w:tc>
          <w:tcPr>
            <w:tcW w:w="2870" w:type="dxa"/>
            <w:shd w:val="clear" w:color="auto" w:fill="auto"/>
          </w:tcPr>
          <w:p w14:paraId="3D48AF9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Атазанавир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кобицистат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(300 мг/150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(10 мг)</w:t>
            </w:r>
          </w:p>
        </w:tc>
        <w:tc>
          <w:tcPr>
            <w:tcW w:w="3006" w:type="dxa"/>
            <w:shd w:val="clear" w:color="auto" w:fill="auto"/>
          </w:tcPr>
          <w:p w14:paraId="2885BC2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2D8F0A4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75%</w:t>
            </w:r>
          </w:p>
          <w:p w14:paraId="6389A91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80%</w:t>
            </w:r>
          </w:p>
          <w:p w14:paraId="3328E81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Атазанавир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35D9E0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7984C8F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761F663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2DA0C01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Рекомендуемая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составляет 200/10 мг один раз в сутки.</w:t>
            </w:r>
          </w:p>
        </w:tc>
      </w:tr>
      <w:tr w:rsidR="00F37A9E" w:rsidRPr="00FC6F8C" w14:paraId="4CC5C14D" w14:textId="77777777" w:rsidTr="00DE38A3">
        <w:tc>
          <w:tcPr>
            <w:tcW w:w="2870" w:type="dxa"/>
            <w:shd w:val="clear" w:color="auto" w:fill="auto"/>
          </w:tcPr>
          <w:p w14:paraId="7A72711B" w14:textId="77777777" w:rsidR="00F37A9E" w:rsidRPr="00FC6F8C" w:rsidRDefault="00F37A9E" w:rsidP="00DE3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Атазанавир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(300/100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(10 мг)</w:t>
            </w:r>
          </w:p>
        </w:tc>
        <w:tc>
          <w:tcPr>
            <w:tcW w:w="3006" w:type="dxa"/>
            <w:shd w:val="clear" w:color="auto" w:fill="auto"/>
          </w:tcPr>
          <w:p w14:paraId="1369FF3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6471865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91%</w:t>
            </w:r>
          </w:p>
          <w:p w14:paraId="723AFCB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77%</w:t>
            </w:r>
          </w:p>
          <w:p w14:paraId="5BFDB4C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Атазанавир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2F0DD87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4137203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7ADB613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4D2CDA7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Рекомендуемая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составляет 200/10 мг один раз в сутки.</w:t>
            </w:r>
          </w:p>
        </w:tc>
      </w:tr>
      <w:tr w:rsidR="00F37A9E" w:rsidRPr="00FC6F8C" w14:paraId="41880AE6" w14:textId="77777777" w:rsidTr="00DE38A3">
        <w:tc>
          <w:tcPr>
            <w:tcW w:w="2870" w:type="dxa"/>
            <w:shd w:val="clear" w:color="auto" w:fill="auto"/>
          </w:tcPr>
          <w:p w14:paraId="5995780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Дарунавир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кобицистат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(800/150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(25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562B2C5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5151DAF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4C4A97F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64B3BA5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5E00618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224%</w:t>
            </w:r>
          </w:p>
          <w:p w14:paraId="4FA9CA7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216%</w:t>
            </w:r>
          </w:p>
          <w:p w14:paraId="3FC9E67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221%</w:t>
            </w:r>
          </w:p>
          <w:p w14:paraId="3F9B40E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Дарунавир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215469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4542E26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31F5774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30EE503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Рекомендуемая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составляет 200/10 мг один раз в сутки.</w:t>
            </w:r>
          </w:p>
        </w:tc>
      </w:tr>
      <w:tr w:rsidR="00F37A9E" w:rsidRPr="00FC6F8C" w14:paraId="5145D159" w14:textId="77777777" w:rsidTr="00DE38A3">
        <w:tc>
          <w:tcPr>
            <w:tcW w:w="2870" w:type="dxa"/>
            <w:shd w:val="clear" w:color="auto" w:fill="auto"/>
          </w:tcPr>
          <w:p w14:paraId="1B16E6E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Дарунавир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(800/100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(10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58A430F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2DF7246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7D3D92B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3E32288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2549D02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105%</w:t>
            </w:r>
          </w:p>
          <w:p w14:paraId="1BC2835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142%</w:t>
            </w:r>
          </w:p>
          <w:p w14:paraId="1034818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Дарунавир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95A26B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228BC19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668EEE3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145663F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Рекомендуемая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составляет 200/10 мг один раз в сутки.</w:t>
            </w:r>
          </w:p>
        </w:tc>
      </w:tr>
      <w:tr w:rsidR="00F37A9E" w:rsidRPr="00FC6F8C" w14:paraId="00B5B314" w14:textId="77777777" w:rsidTr="00DE38A3">
        <w:tc>
          <w:tcPr>
            <w:tcW w:w="2870" w:type="dxa"/>
            <w:shd w:val="clear" w:color="auto" w:fill="auto"/>
          </w:tcPr>
          <w:p w14:paraId="7E7D1C4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Лопинавир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(800/200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(10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20B2743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7920F9E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47%</w:t>
            </w:r>
          </w:p>
          <w:p w14:paraId="011F2AC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119%</w:t>
            </w:r>
          </w:p>
          <w:p w14:paraId="23B88F2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Лопинавир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7A57840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0A702DB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0C966D6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01F0749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Рекомендуемая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составляет 200/10 мг один раз в сутки.</w:t>
            </w:r>
          </w:p>
        </w:tc>
      </w:tr>
      <w:tr w:rsidR="00F37A9E" w:rsidRPr="00FC6F8C" w14:paraId="713A9A74" w14:textId="77777777" w:rsidTr="00DE38A3">
        <w:tc>
          <w:tcPr>
            <w:tcW w:w="2870" w:type="dxa"/>
            <w:shd w:val="clear" w:color="auto" w:fill="auto"/>
          </w:tcPr>
          <w:p w14:paraId="55A3C12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Типранавир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ритонавир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14:paraId="063629E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Взаимодействие ни с одним из компонентов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изучено.</w:t>
            </w:r>
          </w:p>
          <w:p w14:paraId="66F1DB0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Типранавир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вызывает индукцию P-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gp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Предполагается, что воздействие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уменьшится при использовании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типранавира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ритонавира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сочетании с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03" w:type="dxa"/>
            <w:shd w:val="clear" w:color="auto" w:fill="auto"/>
          </w:tcPr>
          <w:p w14:paraId="676D900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Одновременное применение с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рекомендуется.</w:t>
            </w:r>
          </w:p>
        </w:tc>
      </w:tr>
      <w:tr w:rsidR="00F37A9E" w:rsidRPr="00FC6F8C" w14:paraId="1E9FB597" w14:textId="77777777" w:rsidTr="00DE38A3">
        <w:tc>
          <w:tcPr>
            <w:tcW w:w="2870" w:type="dxa"/>
            <w:shd w:val="clear" w:color="auto" w:fill="auto"/>
          </w:tcPr>
          <w:p w14:paraId="70444C6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ингибиторы протеаз</w:t>
            </w:r>
          </w:p>
        </w:tc>
        <w:tc>
          <w:tcPr>
            <w:tcW w:w="3006" w:type="dxa"/>
            <w:shd w:val="clear" w:color="auto" w:fill="auto"/>
          </w:tcPr>
          <w:p w14:paraId="0733D36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 неизвестен.</w:t>
            </w:r>
          </w:p>
        </w:tc>
        <w:tc>
          <w:tcPr>
            <w:tcW w:w="3303" w:type="dxa"/>
            <w:shd w:val="clear" w:color="auto" w:fill="auto"/>
          </w:tcPr>
          <w:p w14:paraId="6A42C58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 доступных данных для дачи рекомендаций по дозировке при совместном применении с другими ингибиторами протеазы.</w:t>
            </w:r>
          </w:p>
        </w:tc>
      </w:tr>
      <w:tr w:rsidR="00F37A9E" w:rsidRPr="00FC6F8C" w14:paraId="35F41DF7" w14:textId="77777777" w:rsidTr="00DE38A3">
        <w:tc>
          <w:tcPr>
            <w:tcW w:w="9179" w:type="dxa"/>
            <w:gridSpan w:val="3"/>
            <w:shd w:val="clear" w:color="auto" w:fill="auto"/>
          </w:tcPr>
          <w:p w14:paraId="70061F8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Другие антиретровирусные препараты от ВИЧ</w:t>
            </w:r>
          </w:p>
        </w:tc>
      </w:tr>
      <w:tr w:rsidR="00F37A9E" w:rsidRPr="00FC6F8C" w14:paraId="29420D95" w14:textId="77777777" w:rsidTr="00DE38A3">
        <w:tc>
          <w:tcPr>
            <w:tcW w:w="2870" w:type="dxa"/>
            <w:shd w:val="clear" w:color="auto" w:fill="auto"/>
          </w:tcPr>
          <w:p w14:paraId="712E4EE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Долутегравир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(50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(10 мг один раз в 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сутки)</w:t>
            </w:r>
          </w:p>
        </w:tc>
        <w:tc>
          <w:tcPr>
            <w:tcW w:w="3006" w:type="dxa"/>
            <w:shd w:val="clear" w:color="auto" w:fill="auto"/>
          </w:tcPr>
          <w:p w14:paraId="1895699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37002A3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1C600C1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2BBDC51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Долутегравир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2A3E2C2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2E302A6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08D8B78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7D044E7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Рекомендуемая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составляет 200/25 мг один раз в сутки.</w:t>
            </w:r>
          </w:p>
        </w:tc>
      </w:tr>
      <w:tr w:rsidR="00F37A9E" w:rsidRPr="00FC6F8C" w14:paraId="001F11F0" w14:textId="77777777" w:rsidTr="00DE38A3">
        <w:tc>
          <w:tcPr>
            <w:tcW w:w="2870" w:type="dxa"/>
            <w:shd w:val="clear" w:color="auto" w:fill="auto"/>
          </w:tcPr>
          <w:p w14:paraId="660FE05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Рилпивирин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(25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(25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0A1F952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78A9973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1D1AEC9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2CF39EB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Рилпивирин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191BE8D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5EC008D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08213685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7D35482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Рекомендуемая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составляет 200/25 мг один раз в сутки.</w:t>
            </w:r>
          </w:p>
        </w:tc>
      </w:tr>
      <w:tr w:rsidR="00F37A9E" w:rsidRPr="00FC6F8C" w14:paraId="45ABAC07" w14:textId="77777777" w:rsidTr="00DE38A3">
        <w:tc>
          <w:tcPr>
            <w:tcW w:w="2870" w:type="dxa"/>
            <w:shd w:val="clear" w:color="auto" w:fill="auto"/>
          </w:tcPr>
          <w:p w14:paraId="42FFD62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Эфавиренц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(600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(40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6BC7E90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6F432BE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↓ 14%</w:t>
            </w:r>
          </w:p>
          <w:p w14:paraId="7EF8E51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↓ 22%</w:t>
            </w:r>
          </w:p>
        </w:tc>
        <w:tc>
          <w:tcPr>
            <w:tcW w:w="3303" w:type="dxa"/>
            <w:shd w:val="clear" w:color="auto" w:fill="auto"/>
          </w:tcPr>
          <w:p w14:paraId="2D7A3E1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Рекомендуемая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составляет 200/25 мг один раз в сутки.</w:t>
            </w:r>
          </w:p>
        </w:tc>
      </w:tr>
      <w:tr w:rsidR="00F37A9E" w:rsidRPr="00FC6F8C" w14:paraId="5E94E967" w14:textId="77777777" w:rsidTr="00DE38A3">
        <w:tc>
          <w:tcPr>
            <w:tcW w:w="2870" w:type="dxa"/>
            <w:shd w:val="clear" w:color="auto" w:fill="auto"/>
          </w:tcPr>
          <w:p w14:paraId="65F3559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Маравирок</w:t>
            </w:r>
            <w:proofErr w:type="spellEnd"/>
          </w:p>
          <w:p w14:paraId="4326916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Невирапин</w:t>
            </w:r>
            <w:proofErr w:type="spellEnd"/>
          </w:p>
          <w:p w14:paraId="39A46A8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Ралтегравир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14:paraId="739724D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Взаимодействие ни с одним из компонентов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изучено.</w:t>
            </w:r>
          </w:p>
          <w:p w14:paraId="086D329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Ожидается, что воздействие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будет зависеть от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маравирок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невирапина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ралтегравира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 также не ожидается, что оно повлияет на метаболические пути и пути выведения, связанные с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маравироком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невирапином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ралтегравиром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03" w:type="dxa"/>
            <w:shd w:val="clear" w:color="auto" w:fill="auto"/>
          </w:tcPr>
          <w:p w14:paraId="603B50B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Рекомендуемая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составляет 200/25 мг один раз в сутки.</w:t>
            </w:r>
          </w:p>
        </w:tc>
      </w:tr>
      <w:tr w:rsidR="00F37A9E" w:rsidRPr="00FC6F8C" w14:paraId="3322D4A1" w14:textId="77777777" w:rsidTr="00DE38A3">
        <w:tc>
          <w:tcPr>
            <w:tcW w:w="9179" w:type="dxa"/>
            <w:gridSpan w:val="3"/>
            <w:shd w:val="clear" w:color="auto" w:fill="auto"/>
          </w:tcPr>
          <w:p w14:paraId="11CAFB9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Противосудорожные</w:t>
            </w:r>
            <w:r w:rsidR="0058682F"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препараты</w:t>
            </w:r>
          </w:p>
        </w:tc>
      </w:tr>
      <w:tr w:rsidR="00F37A9E" w:rsidRPr="00FC6F8C" w14:paraId="21FADC73" w14:textId="77777777" w:rsidTr="00DE38A3">
        <w:tc>
          <w:tcPr>
            <w:tcW w:w="2870" w:type="dxa"/>
            <w:shd w:val="clear" w:color="auto" w:fill="auto"/>
          </w:tcPr>
          <w:p w14:paraId="5A43F93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Окскарбазепин</w:t>
            </w:r>
            <w:proofErr w:type="spellEnd"/>
          </w:p>
          <w:p w14:paraId="7CBD36F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Фенобарбитал</w:t>
            </w:r>
          </w:p>
          <w:p w14:paraId="01F3204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Фенитоин</w:t>
            </w:r>
          </w:p>
        </w:tc>
        <w:tc>
          <w:tcPr>
            <w:tcW w:w="3006" w:type="dxa"/>
            <w:shd w:val="clear" w:color="auto" w:fill="auto"/>
          </w:tcPr>
          <w:p w14:paraId="6729858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Взаимодействие ни с одним из компонентов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изучено.</w:t>
            </w:r>
          </w:p>
          <w:p w14:paraId="3EF4680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Одновременное применение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окскарба</w:t>
            </w:r>
            <w:r w:rsidR="0058682F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зепина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фенобарбитала или фенитоина, </w:t>
            </w:r>
            <w:proofErr w:type="gram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являющиеся 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индукто</w:t>
            </w:r>
            <w:proofErr w:type="spellEnd"/>
            <w:proofErr w:type="gramEnd"/>
            <w:r w:rsidR="0058682F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рами P-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gp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может снизить плазменные концентрации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</w:t>
            </w:r>
            <w:proofErr w:type="spellEnd"/>
            <w:r w:rsidR="0058682F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вира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что может привести к потере терапевтическо</w:t>
            </w:r>
            <w:r w:rsidR="0058682F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эффекта и развитию резистентности.</w:t>
            </w:r>
          </w:p>
        </w:tc>
        <w:tc>
          <w:tcPr>
            <w:tcW w:w="3303" w:type="dxa"/>
            <w:shd w:val="clear" w:color="auto" w:fill="auto"/>
          </w:tcPr>
          <w:p w14:paraId="4148D40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Одновременное применение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окскарбазепина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фенобарбитала или фенитоина не рекомендуется.</w:t>
            </w:r>
          </w:p>
        </w:tc>
      </w:tr>
      <w:tr w:rsidR="00F37A9E" w:rsidRPr="00FC6F8C" w14:paraId="720EA227" w14:textId="77777777" w:rsidTr="00DE38A3">
        <w:tc>
          <w:tcPr>
            <w:tcW w:w="2870" w:type="dxa"/>
            <w:shd w:val="clear" w:color="auto" w:fill="auto"/>
          </w:tcPr>
          <w:p w14:paraId="2FE7DB54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Карбамазепин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(титрованный от 100 мг до 300 мг два раза в день),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(200 мг / 25 мг один раз в день)</w:t>
            </w:r>
          </w:p>
        </w:tc>
        <w:tc>
          <w:tcPr>
            <w:tcW w:w="3006" w:type="dxa"/>
            <w:shd w:val="clear" w:color="auto" w:fill="auto"/>
          </w:tcPr>
          <w:p w14:paraId="6CD5FE2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688419C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↓ 55%</w:t>
            </w:r>
          </w:p>
          <w:p w14:paraId="2EDE9C3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↓ 57%</w:t>
            </w:r>
          </w:p>
          <w:p w14:paraId="2D1C0CE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Совместное назначение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карбамазепина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индуктора P-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gp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снижает плазменные концентрации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</w:t>
            </w:r>
            <w:proofErr w:type="spellEnd"/>
            <w:r w:rsidR="0058682F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вира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что может привести к потере </w:t>
            </w:r>
            <w:proofErr w:type="gram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терапевтическо</w:t>
            </w:r>
            <w:r w:rsidR="0058682F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proofErr w:type="gram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эффекта и развитию резистентности.</w:t>
            </w:r>
          </w:p>
        </w:tc>
        <w:tc>
          <w:tcPr>
            <w:tcW w:w="3303" w:type="dxa"/>
            <w:shd w:val="clear" w:color="auto" w:fill="auto"/>
          </w:tcPr>
          <w:p w14:paraId="2826C2D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Одновременное применение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карбамазепином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рекомендуется.</w:t>
            </w:r>
          </w:p>
        </w:tc>
      </w:tr>
      <w:tr w:rsidR="00F37A9E" w:rsidRPr="00FC6F8C" w14:paraId="719CEBFC" w14:textId="77777777" w:rsidTr="00DE38A3">
        <w:tc>
          <w:tcPr>
            <w:tcW w:w="9179" w:type="dxa"/>
            <w:gridSpan w:val="3"/>
            <w:shd w:val="clear" w:color="auto" w:fill="auto"/>
          </w:tcPr>
          <w:p w14:paraId="366F946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Антидепрессанты</w:t>
            </w:r>
          </w:p>
        </w:tc>
      </w:tr>
      <w:tr w:rsidR="00F37A9E" w:rsidRPr="00FC6F8C" w14:paraId="01F17469" w14:textId="77777777" w:rsidTr="00DE38A3">
        <w:tc>
          <w:tcPr>
            <w:tcW w:w="2870" w:type="dxa"/>
            <w:shd w:val="clear" w:color="auto" w:fill="auto"/>
          </w:tcPr>
          <w:p w14:paraId="2C16281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Сертралин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(50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(10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690C086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0DAAB39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68B8FB8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1B96490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Сертралин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6F7D5DD9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↑ 9%</w:t>
            </w:r>
          </w:p>
          <w:p w14:paraId="37863DC7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↑ 14%</w:t>
            </w:r>
          </w:p>
        </w:tc>
        <w:tc>
          <w:tcPr>
            <w:tcW w:w="3303" w:type="dxa"/>
            <w:shd w:val="clear" w:color="auto" w:fill="auto"/>
          </w:tcPr>
          <w:p w14:paraId="33FCBD2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зависит от сопутствующей антиретровирусной терапии.</w:t>
            </w:r>
          </w:p>
        </w:tc>
      </w:tr>
      <w:tr w:rsidR="00F37A9E" w:rsidRPr="00FC6F8C" w14:paraId="0441B463" w14:textId="77777777" w:rsidTr="00DE38A3">
        <w:tc>
          <w:tcPr>
            <w:tcW w:w="9179" w:type="dxa"/>
            <w:gridSpan w:val="3"/>
            <w:shd w:val="clear" w:color="auto" w:fill="auto"/>
          </w:tcPr>
          <w:p w14:paraId="270BA18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Растительные препараты</w:t>
            </w:r>
          </w:p>
        </w:tc>
      </w:tr>
      <w:tr w:rsidR="00F37A9E" w:rsidRPr="00FC6F8C" w14:paraId="297685C9" w14:textId="77777777" w:rsidTr="00DE38A3">
        <w:tc>
          <w:tcPr>
            <w:tcW w:w="2870" w:type="dxa"/>
            <w:shd w:val="clear" w:color="auto" w:fill="auto"/>
          </w:tcPr>
          <w:p w14:paraId="67B1DE61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Зверобой (</w:t>
            </w:r>
            <w:proofErr w:type="spellStart"/>
            <w:r w:rsidRPr="00FC6F8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Hypericum</w:t>
            </w:r>
            <w:proofErr w:type="spellEnd"/>
            <w:r w:rsidRPr="00FC6F8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perforatum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06" w:type="dxa"/>
            <w:shd w:val="clear" w:color="auto" w:fill="auto"/>
          </w:tcPr>
          <w:p w14:paraId="2DAD13B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Взаимодействие ни с одним из компонентов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изучено.</w:t>
            </w:r>
          </w:p>
          <w:p w14:paraId="63DA439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Совместное применение зверобоя, индуктора P-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gp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может снизить плазменные концентрации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</w:t>
            </w:r>
            <w:proofErr w:type="spellEnd"/>
            <w:r w:rsidR="00A12371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вира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что может привести к потере </w:t>
            </w:r>
            <w:proofErr w:type="gram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терапевтическо</w:t>
            </w:r>
            <w:r w:rsidR="00A12371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proofErr w:type="gram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эффекта и развитию резистентности.</w:t>
            </w:r>
          </w:p>
        </w:tc>
        <w:tc>
          <w:tcPr>
            <w:tcW w:w="3303" w:type="dxa"/>
            <w:shd w:val="clear" w:color="auto" w:fill="auto"/>
          </w:tcPr>
          <w:p w14:paraId="475F2E0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Одновременное применение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</w:t>
            </w:r>
            <w:r w:rsidR="00A12371"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зверобоя не 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рекомендуется.</w:t>
            </w:r>
          </w:p>
        </w:tc>
      </w:tr>
      <w:tr w:rsidR="00F37A9E" w:rsidRPr="00FC6F8C" w14:paraId="2189293D" w14:textId="77777777" w:rsidTr="00DE38A3">
        <w:tc>
          <w:tcPr>
            <w:tcW w:w="9179" w:type="dxa"/>
            <w:gridSpan w:val="3"/>
            <w:shd w:val="clear" w:color="auto" w:fill="auto"/>
          </w:tcPr>
          <w:p w14:paraId="42F73A6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Иммуносупрессанты</w:t>
            </w:r>
            <w:proofErr w:type="spellEnd"/>
          </w:p>
        </w:tc>
      </w:tr>
      <w:tr w:rsidR="00F37A9E" w:rsidRPr="00FC6F8C" w14:paraId="46955EE9" w14:textId="77777777" w:rsidTr="00DE38A3">
        <w:tc>
          <w:tcPr>
            <w:tcW w:w="2870" w:type="dxa"/>
            <w:shd w:val="clear" w:color="auto" w:fill="auto"/>
          </w:tcPr>
          <w:p w14:paraId="25FFC12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Циклоспорин</w:t>
            </w:r>
          </w:p>
        </w:tc>
        <w:tc>
          <w:tcPr>
            <w:tcW w:w="3006" w:type="dxa"/>
            <w:shd w:val="clear" w:color="auto" w:fill="auto"/>
          </w:tcPr>
          <w:p w14:paraId="5FA1032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Взаимодействие ни с одним из компонентов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изучено.</w:t>
            </w:r>
          </w:p>
          <w:p w14:paraId="3F01D14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Ожидается, что одновременный прием циклоспорина, сильного ингибитора P-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gp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приведет к увеличению концентрации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плазме крови.</w:t>
            </w:r>
          </w:p>
        </w:tc>
        <w:tc>
          <w:tcPr>
            <w:tcW w:w="3303" w:type="dxa"/>
            <w:shd w:val="clear" w:color="auto" w:fill="auto"/>
          </w:tcPr>
          <w:p w14:paraId="43C70EF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Рекомендуемая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составляет 200/10 мг один раз в сутки.</w:t>
            </w:r>
          </w:p>
        </w:tc>
      </w:tr>
      <w:tr w:rsidR="00F37A9E" w:rsidRPr="00FC6F8C" w14:paraId="689CED6E" w14:textId="77777777" w:rsidTr="00DE38A3">
        <w:tc>
          <w:tcPr>
            <w:tcW w:w="9179" w:type="dxa"/>
            <w:gridSpan w:val="3"/>
            <w:shd w:val="clear" w:color="auto" w:fill="auto"/>
          </w:tcPr>
          <w:p w14:paraId="6B66FA4B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Оральные контрацептивы</w:t>
            </w:r>
          </w:p>
        </w:tc>
      </w:tr>
      <w:tr w:rsidR="00F37A9E" w:rsidRPr="00FC6F8C" w14:paraId="413A7A18" w14:textId="77777777" w:rsidTr="00DE38A3">
        <w:tc>
          <w:tcPr>
            <w:tcW w:w="2870" w:type="dxa"/>
            <w:shd w:val="clear" w:color="auto" w:fill="auto"/>
          </w:tcPr>
          <w:p w14:paraId="674D7B3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Норгестимат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(0,180/ 0,215/0,250 мг один раз в сутки), этинилэстрадиол (0,025 мг один раз в сутки),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(200/25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227DAAA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Норелгестромин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A098EA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6BB38F4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628BE65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2C0F775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Норгестрел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6861E3C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0E6C125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6308BDFE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616D950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Этинилэстрадиол:</w:t>
            </w:r>
          </w:p>
          <w:p w14:paraId="43FC4DD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414338C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  <w:p w14:paraId="4AE6E870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176FF3F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Коррекции дозы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норгестимата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14:paraId="3CEF3E6C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этинилэстрадиола не требуется.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зависит от сопутствующей антиретровирусной терапии.</w:t>
            </w:r>
          </w:p>
        </w:tc>
      </w:tr>
      <w:tr w:rsidR="00F37A9E" w:rsidRPr="00FC6F8C" w14:paraId="49991868" w14:textId="77777777" w:rsidTr="00DE38A3">
        <w:tc>
          <w:tcPr>
            <w:tcW w:w="9179" w:type="dxa"/>
            <w:gridSpan w:val="3"/>
            <w:shd w:val="clear" w:color="auto" w:fill="auto"/>
          </w:tcPr>
          <w:p w14:paraId="7B6AC1C8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Седативные/снотворные средства</w:t>
            </w:r>
          </w:p>
        </w:tc>
      </w:tr>
      <w:tr w:rsidR="00F37A9E" w:rsidRPr="00FC6F8C" w14:paraId="09FCB2F7" w14:textId="77777777" w:rsidTr="00DE38A3">
        <w:tc>
          <w:tcPr>
            <w:tcW w:w="2870" w:type="dxa"/>
            <w:shd w:val="clear" w:color="auto" w:fill="auto"/>
          </w:tcPr>
          <w:p w14:paraId="114A2646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Перорально вводимые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мидазолам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(2,5 мг однократно),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(25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64AB12C2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Мидазолам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11FB99A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7C43960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vMerge w:val="restart"/>
            <w:shd w:val="clear" w:color="auto" w:fill="auto"/>
          </w:tcPr>
          <w:p w14:paraId="47E07BD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Коррекции дозы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мидазолама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требуется. Доза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эмтрицитабина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алафенамида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зависит от сопутствующей антиретровирусной терапии.</w:t>
            </w:r>
          </w:p>
        </w:tc>
      </w:tr>
      <w:tr w:rsidR="00F37A9E" w:rsidRPr="00FC6F8C" w14:paraId="37B7F2C7" w14:textId="77777777" w:rsidTr="00DE38A3">
        <w:tc>
          <w:tcPr>
            <w:tcW w:w="2870" w:type="dxa"/>
            <w:shd w:val="clear" w:color="auto" w:fill="auto"/>
          </w:tcPr>
          <w:p w14:paraId="3E6A73DD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Внутривенно вводят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мидазолам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(разовая доза 1 мг),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(25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14EBBFB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Мидазолам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3326FF43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AUC: ↔</w:t>
            </w:r>
          </w:p>
          <w:p w14:paraId="7A1B8C1F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max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↔</w:t>
            </w:r>
          </w:p>
        </w:tc>
        <w:tc>
          <w:tcPr>
            <w:tcW w:w="3303" w:type="dxa"/>
            <w:vMerge/>
            <w:shd w:val="clear" w:color="auto" w:fill="auto"/>
          </w:tcPr>
          <w:p w14:paraId="0DDB78DA" w14:textId="77777777" w:rsidR="00F37A9E" w:rsidRPr="00FC6F8C" w:rsidRDefault="00F37A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6E97CE2" w14:textId="77777777" w:rsidR="00D43297" w:rsidRPr="00FC6F8C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6668B39B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Хотя имеются доказательства, что эффективное подавление вируса с помощью антиретровирусной терапии существенно снижает риск передачи половым путем, нельзя исключать остаточный риск. Следует принимать меры для предотвращения передачи в соответствии с установленными правилами.</w:t>
      </w:r>
    </w:p>
    <w:p w14:paraId="59BF226A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Пациенты с </w:t>
      </w:r>
      <w:proofErr w:type="spellStart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коинфекцией</w:t>
      </w:r>
      <w:proofErr w:type="spellEnd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ВИЧ и вирусом гепатита В или C</w:t>
      </w:r>
    </w:p>
    <w:p w14:paraId="149825EF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Пациенты с хроническим гепатитом В или C, получающие антиретровирусную терапию, подвергаются повышенному риску серьезных и потенциально смертельных побочных реакций со стороны печени.</w:t>
      </w:r>
    </w:p>
    <w:p w14:paraId="2BF40B1B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Безопасность и эффективность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у пациентов,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коинфицированных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ВИЧ-1 и вирусом гепатита С, не установлены.</w:t>
      </w:r>
    </w:p>
    <w:p w14:paraId="4C5AD703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активен против вируса гепатита В (HBV). Прерывание терапии </w:t>
      </w:r>
      <w:proofErr w:type="spellStart"/>
      <w:r w:rsidR="0091509B"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эмтрицитабином</w:t>
      </w:r>
      <w:proofErr w:type="spellEnd"/>
      <w:r w:rsidR="0091509B"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81855"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алафенамидом</w:t>
      </w:r>
      <w:proofErr w:type="spellEnd"/>
      <w:r w:rsidR="00E81855"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пациентов с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коинфекцией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ВИЧ и вирусным гепатитом В может привести к тяжелым обострениям гепатита. Пациенты с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коинфекцией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ВИЧ и вирусным гепатитом В после отмены препарата должны находиться под тщательным наблюдением как в клинических, так и в лабораторных условиях в течение продолжительного времени после отмены терапии.</w:t>
      </w:r>
    </w:p>
    <w:p w14:paraId="53F75D83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Печеночная недостаточность</w:t>
      </w:r>
    </w:p>
    <w:p w14:paraId="53CB591C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Безопасность и эффективность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у пациентов со значительными сопутствующими заболеваниями печени не установлены.</w:t>
      </w:r>
    </w:p>
    <w:p w14:paraId="3B265DF1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Пациенты с предшествующей дисфункцией печени, включая хронический активный гепатит, имеют повышенную частоту нарушений функции печени во время комбинированной антиретровирусной терапии (КАРТ) и должны находиться под наблюдением в соответствии со стандартной практикой. Если у данных субъектов имеются признаки обострения заболевания печени, следует рассмотреть вопрос о прерывании или отмене терапии.</w:t>
      </w:r>
    </w:p>
    <w:p w14:paraId="49EEA710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Вес и метаболические параметры</w:t>
      </w:r>
    </w:p>
    <w:p w14:paraId="638BF9B6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антиретровирусной терапии может наблюдаться увеличение веса, уровня липидов и глюкозы в крови. Подобные изменения могут быть </w:t>
      </w: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частично связаны с терапией заболевания и образом жизни. Для липидов в некоторых случаях имеются доказательства лечебного эффекта, в то время как для увеличения веса нет убедительных доказательств, связанных с каким-либо конкретным лечением. Для мониторинга липидов и глюкозы в крови следует руководствоваться установленными рекомендациями по терапии ВИЧ-инфекции. Терапию при нарушении уровня липидов необходимо проводить в соответствии с клинической практикой.</w:t>
      </w:r>
    </w:p>
    <w:p w14:paraId="0BF7A059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Митохондриальная дисфункция после воздействия в утробе матери</w:t>
      </w:r>
    </w:p>
    <w:p w14:paraId="35CF3905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Аналоги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нуклеоз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(т)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идов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влиять на функцию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митохондрий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различной степени, что наиболее выражено при применении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ставудина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диданозина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зидовудина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. Сообщалось о дисфункции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митохондрий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у ВИЧ-отрицательных младенцев, подвергшихся внутриутробному и/или постнатальному воздействию аналогов нуклеозидов; в основном они касались лечения схемами, содержащими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зидовудин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. Основными нежелательными реакциями являются гематологические нарушения (анемия,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нейтропения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) и метаболические нарушения (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гиперлактатемия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гиперлипаземия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). Эти события часто носили обратимый характер. В редких случаях сообщалось о поздних неврологических расстройствах (гипертония, судороги, аномальное поведение). В настоящее время неизвестно, носят ли подобные неврологические расстройства временный или постоянный характер. Эти данные следует учитывать для любого ребенка, подвергшегося внутриутробному воздействию аналогов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нуклеоз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(т)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идов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, имеющего серьезные клинические проявления неизвестной этиологии, в особенности неврологические. Данные результаты не влияют на текущие национальные рекомендации по использованию антиретровирусной терапии у беременных женщин для предотвращения вертикальной передачи ВИЧ.</w:t>
      </w:r>
    </w:p>
    <w:p w14:paraId="69CB419E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Синдром иммунной реактивации</w:t>
      </w:r>
    </w:p>
    <w:p w14:paraId="35A12B35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У ВИЧ-инфицированных пациентов с тяжелым иммунодефицитом на момент проведения КАРТ может возникнуть воспалительная реакция на бессимптомные или остаточные условно-патогенные микроорганизмы, которые могут вызвать серьезные клинические состояния или обострение симптомов. Обычно такие реакции наблюдались в течение первых нескольких недель или месяцев после начала КАРТ. Соответствующие примеры включают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цитомегаловирусный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ретинит, генерализованные и/или очаговые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микобактериальные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и пневмонию, вызванную </w:t>
      </w:r>
      <w:proofErr w:type="spellStart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Pneumocystis</w:t>
      </w:r>
      <w:proofErr w:type="spellEnd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jirovecii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. Следует оценивать любые воспалительные симптомы и при необходимости назначить лечение.</w:t>
      </w:r>
    </w:p>
    <w:p w14:paraId="03035DCF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Сообщалось также об аутоиммунных расстройствах (таких как болезнь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Грейвса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 аутоиммунный гепатит), возникающих в условиях иммунной реактивации; однако сообщаемое время до начала лечения более вариабельно, и данные события могут произойти через некоторое время после начала лечения.</w:t>
      </w:r>
    </w:p>
    <w:p w14:paraId="3332819A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Пациенты с мутациями ВИЧ-1</w:t>
      </w:r>
    </w:p>
    <w:p w14:paraId="33A2BBA7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Следует избегать назначения препарата пациентам с ВИЧ-1, имеющим опыт антиретровирусной терапии и имеющих мутацию K65R.</w:t>
      </w:r>
    </w:p>
    <w:p w14:paraId="0505C3D2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Тройная </w:t>
      </w:r>
      <w:proofErr w:type="spellStart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нуклеозидная</w:t>
      </w:r>
      <w:proofErr w:type="spellEnd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терапия</w:t>
      </w:r>
    </w:p>
    <w:p w14:paraId="49361413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Сообщалось о высокой частоте вирусологической неудачи и появлении резистентности на ранней стадии, когда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дизопроксил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комбинировали с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ламивудином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абакавиром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с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ламивудином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диданозином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схеме один раз в день. Следовательно, аналогичные проблемы могут возникнуть, если </w:t>
      </w:r>
      <w:r w:rsidR="00345220"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</w:t>
      </w:r>
      <w:proofErr w:type="spellStart"/>
      <w:r w:rsidR="00345220" w:rsidRPr="00FC6F8C">
        <w:rPr>
          <w:rFonts w:ascii="Times New Roman" w:eastAsia="Times New Roman" w:hAnsi="Times New Roman"/>
          <w:sz w:val="28"/>
          <w:szCs w:val="28"/>
          <w:lang w:eastAsia="ru-RU"/>
        </w:rPr>
        <w:t>Виротиномид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вводится с третьим аналогом нуклеозида.</w:t>
      </w:r>
    </w:p>
    <w:p w14:paraId="3AACED00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Оппортунистические инфекции</w:t>
      </w:r>
    </w:p>
    <w:p w14:paraId="170CF983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У пациентов, принимающих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любую другую антиретровирусную терапию, могут продолжать развиваться оппортунистические инфекции и другие осложнения ВИЧ-инфекции, и, следовательно, должны оставаться под тщательным клиническим наблюдением врачей, имеющих опыт лечения пациентов с ВИЧ-ассоциированными заболеваниями.</w:t>
      </w:r>
    </w:p>
    <w:p w14:paraId="67CCC844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Остеонекроз</w:t>
      </w:r>
      <w:proofErr w:type="spellEnd"/>
    </w:p>
    <w:p w14:paraId="362BC2F4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Хотя этиология считается многофакторной (включая употребление кортикостероидов, употребление алкоголя, тяжелую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иммуносупрессию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более высокий индекс массы тела), случаи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остеонекроза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зарегистрированы, особенно у пациентов с запущенным стадией ВИЧ и/или длительным воздействием КАРТ. Пациентам необходимо обратиться к врачу при наличии боли в суставах, жесткости суставов или затруднений при движении.</w:t>
      </w:r>
    </w:p>
    <w:p w14:paraId="47E2D3D8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Нефротоксичность</w:t>
      </w:r>
      <w:proofErr w:type="spellEnd"/>
    </w:p>
    <w:p w14:paraId="63E5F110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Нельзя исключать потенциального риска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нефротоксичности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хронического воздействия низких уровней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из-за дозирования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5DECBA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Пациенты с терминальной стадией почечной недостаточности, находящиеся на хроническом гемодиализе</w:t>
      </w:r>
    </w:p>
    <w:p w14:paraId="394F3CFD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избегать прием препарата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Виротиномид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однако применять его можно у взрослых с терминальной стадией почечной недостаточности (расчетный КК &lt;15 мл/мин) на хроническом гемодиализе, если преимущества перевешивают потенциальные риски. Хотя не выявлялось новых случаев, влиявших на безопасность, последствия повышенного воздействия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остаются неизвестными.</w:t>
      </w:r>
    </w:p>
    <w:p w14:paraId="2FE39033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Совместное применение с другими лекарственными средствами</w:t>
      </w:r>
    </w:p>
    <w:p w14:paraId="481FC9A5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Одновременное применение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рекомендуется с некоторыми противосудорожными </w:t>
      </w:r>
      <w:r w:rsidR="00983D43"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препаратами </w:t>
      </w: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(например,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карбамазепином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окскарбазепином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фенобарбиталом и фенитоином),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антимикобактериальными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средствами (например,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рифампицином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рифабутином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рифапентином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), зверобоем и ингибиторами протеазы ВИЧ (ИП), кроме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атазанавира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лопинавира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дарунавира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87A5F9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Виротиномид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следует назначать одновременно с лекарственными средствами, содержащими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дизопроксил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ламивудин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адефовир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дипивоксил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F6EB92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Вспомогательные вещества</w:t>
      </w:r>
    </w:p>
    <w:p w14:paraId="47B7F6A9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препарат содержит 28 мг натрия на одну таблетку. Исходя из этого минимального количества, можно считать, что препарат «свободен от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натия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777E9B31" w14:textId="77777777" w:rsidR="00F37A9E" w:rsidRPr="00FC6F8C" w:rsidRDefault="00F37A9E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C6F8C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4F1492EC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6F8C">
        <w:rPr>
          <w:rFonts w:ascii="Times New Roman" w:hAnsi="Times New Roman"/>
          <w:color w:val="000000"/>
          <w:sz w:val="28"/>
          <w:szCs w:val="28"/>
        </w:rPr>
        <w:t xml:space="preserve">Данные по воздействию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эмтрицитабина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тенофовир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алафенамида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или его компонентов на беременных женщин отсутствуют. Данные об использовании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тенофовира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алафенамида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у беременных отсутствуют или ограничены. Тем не менее, большинство данных о беременных женщинах указывает на отсутствие пороков развития или токсичности для плода/новорожденного, связанных с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эмтрицитабином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>.</w:t>
      </w:r>
    </w:p>
    <w:p w14:paraId="635545C4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6F8C">
        <w:rPr>
          <w:rFonts w:ascii="Times New Roman" w:hAnsi="Times New Roman"/>
          <w:color w:val="000000"/>
          <w:sz w:val="28"/>
          <w:szCs w:val="28"/>
        </w:rPr>
        <w:t xml:space="preserve">Доклинические исследования не указывают на прямое или косвенное токсическое воздействие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эмтрицитабина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на параметры фертильности, беременность, внутриутробное развитие, роды или послеродовое развитие. Исследования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тенофовира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алафенамида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не выявили доказательств токсического воздействия на параметры фертильности, беременность или развитие плода.</w:t>
      </w:r>
    </w:p>
    <w:p w14:paraId="59626ED5" w14:textId="77777777" w:rsidR="00F37A9E" w:rsidRPr="00FC6F8C" w:rsidRDefault="00F37A9E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6F8C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Виротиномид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следует использовать во время беременности, только если преимущества перевешивают потенциальные риски для плода.</w:t>
      </w:r>
    </w:p>
    <w:p w14:paraId="3042BA2C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6F8C">
        <w:rPr>
          <w:rFonts w:ascii="Times New Roman" w:hAnsi="Times New Roman"/>
          <w:color w:val="000000"/>
          <w:sz w:val="28"/>
          <w:szCs w:val="28"/>
        </w:rPr>
        <w:t xml:space="preserve">Неизвестно, выделяется ли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тенофовир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алафенамид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с грудным молоком.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Эмтрицитабин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выделяется с грудным молоком. </w:t>
      </w:r>
    </w:p>
    <w:p w14:paraId="0AECE6D4" w14:textId="77777777" w:rsidR="00F37A9E" w:rsidRPr="00FC6F8C" w:rsidRDefault="00F37A9E" w:rsidP="00F37A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6F8C">
        <w:rPr>
          <w:rFonts w:ascii="Times New Roman" w:hAnsi="Times New Roman"/>
          <w:color w:val="000000"/>
          <w:sz w:val="28"/>
          <w:szCs w:val="28"/>
        </w:rPr>
        <w:t xml:space="preserve">Недостаточно </w:t>
      </w:r>
      <w:r w:rsidR="00D47E9E" w:rsidRPr="00FC6F8C">
        <w:rPr>
          <w:rFonts w:ascii="Times New Roman" w:hAnsi="Times New Roman"/>
          <w:color w:val="000000"/>
          <w:sz w:val="28"/>
          <w:szCs w:val="28"/>
        </w:rPr>
        <w:t>данных</w:t>
      </w:r>
      <w:r w:rsidRPr="00FC6F8C">
        <w:rPr>
          <w:rFonts w:ascii="Times New Roman" w:hAnsi="Times New Roman"/>
          <w:color w:val="000000"/>
          <w:sz w:val="28"/>
          <w:szCs w:val="28"/>
        </w:rPr>
        <w:t xml:space="preserve"> о воздействии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эмтрицитабина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тенофовира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на новорожденных/младенцев. Следовательно, препарат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Виротиномид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не следует применять во время грудного вскармливания.</w:t>
      </w:r>
    </w:p>
    <w:p w14:paraId="3D601960" w14:textId="77777777" w:rsidR="00F37A9E" w:rsidRPr="00FC6F8C" w:rsidRDefault="00F37A9E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6F8C">
        <w:rPr>
          <w:rFonts w:ascii="Times New Roman" w:hAnsi="Times New Roman"/>
          <w:color w:val="000000"/>
          <w:sz w:val="28"/>
          <w:szCs w:val="28"/>
        </w:rPr>
        <w:t xml:space="preserve">Во избежание передачи ВИЧ инфекции новорожденному, </w:t>
      </w:r>
      <w:r w:rsidR="00D47E9E" w:rsidRPr="00FC6F8C">
        <w:rPr>
          <w:rFonts w:ascii="Times New Roman" w:hAnsi="Times New Roman"/>
          <w:color w:val="000000"/>
          <w:sz w:val="28"/>
          <w:szCs w:val="28"/>
        </w:rPr>
        <w:t xml:space="preserve">ВИЧ-инфицированным женщинам </w:t>
      </w:r>
      <w:r w:rsidRPr="00FC6F8C">
        <w:rPr>
          <w:rFonts w:ascii="Times New Roman" w:hAnsi="Times New Roman"/>
          <w:color w:val="000000"/>
          <w:sz w:val="28"/>
          <w:szCs w:val="28"/>
        </w:rPr>
        <w:t>рекомендуется избегать грудного вскармливания.</w:t>
      </w:r>
    </w:p>
    <w:p w14:paraId="2ABA40DB" w14:textId="77777777" w:rsidR="00FA4F7C" w:rsidRPr="00FC6F8C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C6F8C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4656E840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Виротиномид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оказывать незначительное влияние на способность управления транспортным средством. Пациентов следует проинформировать о случаях возникновения головокружении во время терапии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эмтрицитабином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F18BF29" w14:textId="77777777" w:rsidR="007D0E84" w:rsidRPr="00FC6F8C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6A4E8D" w14:textId="77777777" w:rsidR="00DB406A" w:rsidRPr="00FC6F8C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60545C13" w14:textId="77777777" w:rsidR="005C4B12" w:rsidRPr="00FC6F8C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F5D317A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2175220275"/>
      <w:bookmarkEnd w:id="1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Терапию должен начинать врач, имеющий опыт лечения ВИЧ-инфекции.</w:t>
      </w:r>
    </w:p>
    <w:p w14:paraId="553FD05D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Дозирование</w:t>
      </w:r>
    </w:p>
    <w:p w14:paraId="0C295EB9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следует применять, как указано в таблице </w:t>
      </w:r>
      <w:r w:rsidR="00CE7EDC" w:rsidRPr="00FC6F8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239801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Таблица </w:t>
      </w:r>
      <w:r w:rsidR="00CE7EDC"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>: Дозировка в зависимости от третьего компонента в схеме лечения ВИЧ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644"/>
      </w:tblGrid>
      <w:tr w:rsidR="00D47E9E" w:rsidRPr="00FC6F8C" w14:paraId="77DF0F69" w14:textId="77777777" w:rsidTr="00DE38A3">
        <w:tc>
          <w:tcPr>
            <w:tcW w:w="4535" w:type="dxa"/>
            <w:shd w:val="clear" w:color="auto" w:fill="auto"/>
          </w:tcPr>
          <w:p w14:paraId="328B2C11" w14:textId="77777777" w:rsidR="00D47E9E" w:rsidRPr="00FC6F8C" w:rsidRDefault="00D47E9E" w:rsidP="00DE38A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Дозировка препарата </w:t>
            </w:r>
            <w:proofErr w:type="spellStart"/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Виротиномид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20264984" w14:textId="77777777" w:rsidR="00D47E9E" w:rsidRPr="00FC6F8C" w:rsidRDefault="00D47E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6F8C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Третий компонент в схеме лечения ВИЧ</w:t>
            </w:r>
          </w:p>
        </w:tc>
      </w:tr>
      <w:tr w:rsidR="00D47E9E" w:rsidRPr="00FC6F8C" w14:paraId="6A61089B" w14:textId="77777777" w:rsidTr="00DE38A3">
        <w:tc>
          <w:tcPr>
            <w:tcW w:w="4535" w:type="dxa"/>
            <w:shd w:val="clear" w:color="auto" w:fill="auto"/>
          </w:tcPr>
          <w:p w14:paraId="435F33C5" w14:textId="77777777" w:rsidR="00D47E9E" w:rsidRPr="00FC6F8C" w:rsidRDefault="00D47E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Эмтрицитабин</w:t>
            </w:r>
            <w:proofErr w:type="spellEnd"/>
            <w:r w:rsidRPr="00FC6F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FC6F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тенофовир</w:t>
            </w:r>
            <w:proofErr w:type="spellEnd"/>
            <w:r w:rsidRPr="00FC6F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F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алафенамид</w:t>
            </w:r>
            <w:proofErr w:type="spellEnd"/>
            <w:r w:rsidRPr="00FC6F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200/10 мг один раз в сутки</w:t>
            </w:r>
          </w:p>
        </w:tc>
        <w:tc>
          <w:tcPr>
            <w:tcW w:w="4644" w:type="dxa"/>
            <w:shd w:val="clear" w:color="auto" w:fill="auto"/>
          </w:tcPr>
          <w:p w14:paraId="3651D386" w14:textId="77777777" w:rsidR="00D47E9E" w:rsidRPr="00FC6F8C" w:rsidRDefault="00D47E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Атазанавир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ритонавиром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кобицистатом</w:t>
            </w:r>
            <w:proofErr w:type="spellEnd"/>
          </w:p>
          <w:p w14:paraId="7C2C960A" w14:textId="77777777" w:rsidR="00D47E9E" w:rsidRPr="00FC6F8C" w:rsidRDefault="00D47E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Дарунавир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ритонавиром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кобицистатом</w:t>
            </w:r>
            <w:r w:rsidRPr="00FC6F8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  <w:p w14:paraId="55850015" w14:textId="77777777" w:rsidR="00D47E9E" w:rsidRPr="00FC6F8C" w:rsidRDefault="00D47E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Лопинавир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ритонавиром</w:t>
            </w:r>
            <w:proofErr w:type="spellEnd"/>
          </w:p>
        </w:tc>
      </w:tr>
      <w:tr w:rsidR="00D47E9E" w:rsidRPr="00FC6F8C" w14:paraId="73EE31AE" w14:textId="77777777" w:rsidTr="00DE38A3">
        <w:tc>
          <w:tcPr>
            <w:tcW w:w="4535" w:type="dxa"/>
            <w:shd w:val="clear" w:color="auto" w:fill="auto"/>
          </w:tcPr>
          <w:p w14:paraId="2794207D" w14:textId="77777777" w:rsidR="00D47E9E" w:rsidRPr="00FC6F8C" w:rsidRDefault="00D47E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Виротиномид</w:t>
            </w:r>
            <w:proofErr w:type="spellEnd"/>
            <w:r w:rsidRPr="00FC6F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200/25 мг дважды в сутки</w:t>
            </w:r>
          </w:p>
        </w:tc>
        <w:tc>
          <w:tcPr>
            <w:tcW w:w="4644" w:type="dxa"/>
            <w:shd w:val="clear" w:color="auto" w:fill="auto"/>
          </w:tcPr>
          <w:p w14:paraId="78AF30C0" w14:textId="77777777" w:rsidR="00D47E9E" w:rsidRPr="00FC6F8C" w:rsidRDefault="00D47E9E" w:rsidP="00DE3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Долутегравир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эфавиренц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маравирок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невирапин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рилпивирин</w:t>
            </w:r>
            <w:proofErr w:type="spellEnd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C6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ралтегравир</w:t>
            </w:r>
            <w:proofErr w:type="spellEnd"/>
          </w:p>
        </w:tc>
      </w:tr>
    </w:tbl>
    <w:p w14:paraId="13F4CAD6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эмтрицитабин +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тенофовира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алафенамид</w:t>
      </w:r>
      <w:proofErr w:type="spellEnd"/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200/10 мг в комбинации с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дарунавиром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800 мг и </w:t>
      </w:r>
      <w:proofErr w:type="spellStart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кобицистатом</w:t>
      </w:r>
      <w:proofErr w:type="spellEnd"/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150 мг, вводимые в виде комбинированной таблетки с фиксированной дозой, изучался в субъектов, ранее не получавших терапию.</w:t>
      </w:r>
    </w:p>
    <w:p w14:paraId="31163980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Особые группы пациентов</w:t>
      </w:r>
    </w:p>
    <w:p w14:paraId="3CA8C176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Пациенты пожилого возраста</w:t>
      </w:r>
    </w:p>
    <w:p w14:paraId="31129D2A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Коррекции дозы у пациентов пожилого возраста не требуется.</w:t>
      </w:r>
    </w:p>
    <w:p w14:paraId="3224312C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Пациенты с почечной недостаточностью</w:t>
      </w:r>
    </w:p>
    <w:p w14:paraId="317F2174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Коррекция дозы препарата не требуется для взрослых или подростков (в возрасте от 12 лет и массой тела не менее 35 кг) с расчетным клиренсом креатинина (КК) ≥ 30 мл/мин. Следует отменить прием препарата у пациентов с расчетным КК, опускающийся ниже 30 мл/мин во время лечения. Коррекция дозы препарата не требуется у взрослых с терминальной стадией почечной недостаточности (расчетный КК &lt;15 мл/мин) на хроническом гемодиализе; тем не менее, следует избегать приема препарата, только если потенциальные преимущества не перевешивают риски. В дни гемодиализа препарат следует вводить после окончания лечения гемодиализом.</w:t>
      </w:r>
    </w:p>
    <w:p w14:paraId="75332904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Следует избегать прием препарата у пациентов с предполагаемым КК ≥ 15 мл/мин и &lt;30 мл/мин или &lt;15 мл/мин, не находящиеся на хроническом гемодиализе, поскольку безопасность препарата не была установлена у данных групп лиц.</w:t>
      </w:r>
    </w:p>
    <w:p w14:paraId="46B98267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Данные по дозировке у детей младше 18 лет с терминальной стадией почечной недостаточности отсутствуют.</w:t>
      </w:r>
    </w:p>
    <w:p w14:paraId="55CC7E50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Пациенты с печеночной недостаточностью</w:t>
      </w:r>
    </w:p>
    <w:p w14:paraId="21169530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У пациентов с нарушением функции печени коррекции дозы препарата не требуется.</w:t>
      </w:r>
    </w:p>
    <w:p w14:paraId="7A6608E8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i/>
          <w:sz w:val="28"/>
          <w:szCs w:val="28"/>
          <w:lang w:eastAsia="ru-RU"/>
        </w:rPr>
        <w:t>Дети</w:t>
      </w:r>
    </w:p>
    <w:p w14:paraId="3770AE82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Данные по безопасности и эффективности препарата у детей младше </w:t>
      </w:r>
      <w:r w:rsidR="00BB242C"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12 лет или с массой тела &lt;35 кг в данный момент не установлены. Данные отсутствуют.</w:t>
      </w:r>
    </w:p>
    <w:p w14:paraId="78E37F60" w14:textId="77777777" w:rsidR="005C4B12" w:rsidRPr="00FC6F8C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FC6F8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4A9A7106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bookmarkStart w:id="3" w:name="2175220278"/>
      <w:bookmarkEnd w:id="2"/>
      <w:r w:rsidRPr="00FC6F8C">
        <w:rPr>
          <w:rFonts w:ascii="Times New Roman" w:eastAsia="Microsoft Sans Serif" w:hAnsi="Times New Roman"/>
          <w:sz w:val="28"/>
          <w:szCs w:val="28"/>
          <w:lang w:bidi="ru-RU"/>
        </w:rPr>
        <w:t>Препарат следует принимать перорально один раз в сутки во время приема пищи или без пищи. Таблетку с пленочным покрытием нельзя разжевывать, измельчать или раскалывать</w:t>
      </w:r>
      <w:r w:rsidR="00BB242C" w:rsidRPr="00FC6F8C">
        <w:rPr>
          <w:rFonts w:ascii="Times New Roman" w:eastAsia="Microsoft Sans Serif" w:hAnsi="Times New Roman"/>
          <w:sz w:val="28"/>
          <w:szCs w:val="28"/>
          <w:lang w:bidi="ru-RU"/>
        </w:rPr>
        <w:t xml:space="preserve"> из-за горького вкуса</w:t>
      </w:r>
      <w:r w:rsidRPr="00FC6F8C">
        <w:rPr>
          <w:rFonts w:ascii="Times New Roman" w:eastAsia="Microsoft Sans Serif" w:hAnsi="Times New Roman"/>
          <w:sz w:val="28"/>
          <w:szCs w:val="28"/>
          <w:lang w:bidi="ru-RU"/>
        </w:rPr>
        <w:t xml:space="preserve">. </w:t>
      </w:r>
    </w:p>
    <w:p w14:paraId="21EEC36E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r w:rsidRPr="00FC6F8C">
        <w:rPr>
          <w:rFonts w:ascii="Times New Roman" w:eastAsia="Microsoft Sans Serif" w:hAnsi="Times New Roman"/>
          <w:sz w:val="28"/>
          <w:szCs w:val="28"/>
          <w:lang w:bidi="ru-RU"/>
        </w:rPr>
        <w:t>Для пациентов, которые не могут проглотить таблетку целиком, таблетку можно разделить пополам и принимать обе половины одну за другой, обеспечивая тем самым прием полной дозы.</w:t>
      </w:r>
    </w:p>
    <w:p w14:paraId="5FCC1B0A" w14:textId="77777777" w:rsidR="005C4B12" w:rsidRPr="00FC6F8C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FC6F8C">
        <w:rPr>
          <w:rFonts w:ascii="Times New Roman" w:hAnsi="Times New Roman"/>
          <w:i/>
          <w:sz w:val="28"/>
          <w:szCs w:val="28"/>
        </w:rPr>
        <w:t xml:space="preserve"> </w:t>
      </w:r>
    </w:p>
    <w:p w14:paraId="343644CC" w14:textId="77777777" w:rsidR="00D47E9E" w:rsidRPr="00FC6F8C" w:rsidRDefault="00D47E9E" w:rsidP="00D47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2175220282"/>
      <w:bookmarkEnd w:id="3"/>
      <w:r w:rsidRPr="00FC6F8C">
        <w:rPr>
          <w:rFonts w:ascii="Times New Roman" w:hAnsi="Times New Roman"/>
          <w:color w:val="000000"/>
          <w:sz w:val="28"/>
          <w:szCs w:val="28"/>
        </w:rPr>
        <w:t xml:space="preserve">В случае передозировки пациент должен находиться под наблюдением на предмет наличия признаков токсичности. Лечение передозировки </w:t>
      </w:r>
      <w:r w:rsidRPr="00FC6F8C">
        <w:rPr>
          <w:rFonts w:ascii="Times New Roman" w:hAnsi="Times New Roman"/>
          <w:color w:val="000000"/>
          <w:sz w:val="28"/>
          <w:szCs w:val="28"/>
          <w:lang w:val="kk-KZ"/>
        </w:rPr>
        <w:t>препаратом Виротиномид</w:t>
      </w:r>
      <w:r w:rsidRPr="00FC6F8C">
        <w:rPr>
          <w:rFonts w:ascii="Times New Roman" w:hAnsi="Times New Roman"/>
          <w:color w:val="000000"/>
          <w:sz w:val="28"/>
          <w:szCs w:val="28"/>
        </w:rPr>
        <w:t xml:space="preserve"> состоит из общих поддерживающих мероприятий, включающих мониторинг жизненно важных показателей, а также наблюдение за клиническим состоянием пациента.</w:t>
      </w:r>
    </w:p>
    <w:p w14:paraId="20FA0ABF" w14:textId="77777777" w:rsidR="00D47E9E" w:rsidRPr="00FC6F8C" w:rsidRDefault="00D47E9E" w:rsidP="00D47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Эмтрицитабин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может быть удален с помощью гемодиализа, который удаляет примерно 30% дозы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эмтрицитабина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в течение 3-х часового периода диализа, начинающегося в течение 1,5 часов после приема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эмтрицитабина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Тенофовир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эффективно выводится с помощью гемодиализа с коэффициентом извлечения примерно 54%. Неизвестно, можно ли удалить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эмтрицитабин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тенофовир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с помощью </w:t>
      </w:r>
      <w:proofErr w:type="spellStart"/>
      <w:r w:rsidRPr="00FC6F8C">
        <w:rPr>
          <w:rFonts w:ascii="Times New Roman" w:hAnsi="Times New Roman"/>
          <w:color w:val="000000"/>
          <w:sz w:val="28"/>
          <w:szCs w:val="28"/>
        </w:rPr>
        <w:t>перитонеального</w:t>
      </w:r>
      <w:proofErr w:type="spellEnd"/>
      <w:r w:rsidRPr="00FC6F8C">
        <w:rPr>
          <w:rFonts w:ascii="Times New Roman" w:hAnsi="Times New Roman"/>
          <w:color w:val="000000"/>
          <w:sz w:val="28"/>
          <w:szCs w:val="28"/>
        </w:rPr>
        <w:t xml:space="preserve"> диализа.</w:t>
      </w:r>
      <w:r w:rsidRPr="00FC6F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337B038D" w14:textId="77777777" w:rsidR="00345073" w:rsidRPr="00FC6F8C" w:rsidRDefault="00345073" w:rsidP="00345073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необходимые при пропуске одной или нескольких доз лекарственного препарата</w:t>
      </w:r>
      <w:r w:rsidRPr="00FC6F8C">
        <w:rPr>
          <w:rFonts w:ascii="Times New Roman" w:hAnsi="Times New Roman"/>
          <w:i/>
          <w:color w:val="000000"/>
          <w:sz w:val="24"/>
        </w:rPr>
        <w:t xml:space="preserve"> </w:t>
      </w:r>
    </w:p>
    <w:p w14:paraId="1143FA9D" w14:textId="77777777" w:rsidR="00345073" w:rsidRPr="00FC6F8C" w:rsidRDefault="00345073" w:rsidP="003450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При пропущенной дозе в течение 18 часов после обычного приема, пациенту следует принять препарат как можно скорее и возобновить нормальный график дозирования. При нарушении графика приема препарата с интервалом более 18 часов, пациенту не следует принимать пропущенную дозу и необходимо возобновить обычный режим дозирования.</w:t>
      </w:r>
    </w:p>
    <w:p w14:paraId="77F209F6" w14:textId="77777777" w:rsidR="00345073" w:rsidRPr="00FC6F8C" w:rsidRDefault="00345073" w:rsidP="003450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При возникновении рвоты у пациента в течение 1 часа после приема препарата, необходимо принять дополнительно одну таблетку.</w:t>
      </w:r>
    </w:p>
    <w:p w14:paraId="1B7513A9" w14:textId="77777777" w:rsidR="00D47E9E" w:rsidRPr="00FC6F8C" w:rsidRDefault="00D47E9E" w:rsidP="00D47E9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C6F8C">
        <w:rPr>
          <w:rFonts w:ascii="Times New Roman" w:hAnsi="Times New Roman"/>
          <w:b/>
          <w:i/>
          <w:color w:val="000000"/>
          <w:sz w:val="28"/>
          <w:szCs w:val="28"/>
        </w:rPr>
        <w:t>Рекомендуется обратиться за консультацией к медицинскому работнику для разъяснения способа применения лекарственного препарата.</w:t>
      </w:r>
    </w:p>
    <w:p w14:paraId="75800672" w14:textId="77777777" w:rsidR="00D47E9E" w:rsidRPr="00FC6F8C" w:rsidRDefault="00D47E9E" w:rsidP="00D47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B842B44" w14:textId="77777777" w:rsidR="001937AD" w:rsidRPr="00FC6F8C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FC6F8C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4"/>
    <w:p w14:paraId="287CA041" w14:textId="77777777" w:rsidR="00620A6E" w:rsidRPr="00FC6F8C" w:rsidRDefault="009048E9" w:rsidP="00620A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Частоты определяются следующим образом:</w:t>
      </w:r>
      <w:r w:rsidRPr="00FC6F8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очень часто (≥ 1/10), часто (≥ от 1/100 до </w:t>
      </w:r>
      <w:proofErr w:type="gramStart"/>
      <w:r w:rsidRPr="00FC6F8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&lt; 1</w:t>
      </w:r>
      <w:proofErr w:type="gramEnd"/>
      <w:r w:rsidRPr="00FC6F8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/10), нечасто (≥ от 1/1000 до &lt; 1/100), редко (≥ 1/10000 </w:t>
      </w:r>
      <w:r w:rsidRPr="00FC6F8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lastRenderedPageBreak/>
        <w:t>до  &lt; 1/1000), очень редко (&lt; 1/10000),</w:t>
      </w:r>
      <w:r w:rsidRPr="00FC6F8C">
        <w:rPr>
          <w:rFonts w:ascii="Times New Roman" w:hAnsi="Times New Roman"/>
          <w:i/>
          <w:sz w:val="28"/>
          <w:szCs w:val="28"/>
        </w:rPr>
        <w:t xml:space="preserve"> неизвестно (невозможно оценить на основании имеющихся данных).</w:t>
      </w:r>
    </w:p>
    <w:p w14:paraId="501C9B34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C6F8C">
        <w:rPr>
          <w:rFonts w:ascii="Times New Roman" w:hAnsi="Times New Roman"/>
          <w:i/>
          <w:iCs/>
          <w:sz w:val="28"/>
          <w:szCs w:val="28"/>
        </w:rPr>
        <w:t>Очень часто</w:t>
      </w:r>
    </w:p>
    <w:p w14:paraId="747AFF91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- тошнота</w:t>
      </w:r>
    </w:p>
    <w:p w14:paraId="2DAB4A2C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C6F8C">
        <w:rPr>
          <w:rFonts w:ascii="Times New Roman" w:hAnsi="Times New Roman"/>
          <w:i/>
          <w:iCs/>
          <w:sz w:val="28"/>
          <w:szCs w:val="28"/>
        </w:rPr>
        <w:t>Часто</w:t>
      </w:r>
    </w:p>
    <w:p w14:paraId="1F49546D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- аномальные сны</w:t>
      </w:r>
    </w:p>
    <w:p w14:paraId="5B38964A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- головная боль, головокружение</w:t>
      </w:r>
    </w:p>
    <w:p w14:paraId="24EA73AB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- диарея, рвота, абдоминальная боль, метеоризм</w:t>
      </w:r>
    </w:p>
    <w:p w14:paraId="51643858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- сыпь</w:t>
      </w:r>
    </w:p>
    <w:p w14:paraId="0CD25DEA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- усталость</w:t>
      </w:r>
    </w:p>
    <w:p w14:paraId="7D699A98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C6F8C">
        <w:rPr>
          <w:rFonts w:ascii="Times New Roman" w:hAnsi="Times New Roman"/>
          <w:i/>
          <w:iCs/>
          <w:sz w:val="28"/>
          <w:szCs w:val="28"/>
        </w:rPr>
        <w:t>Нечасто</w:t>
      </w:r>
    </w:p>
    <w:p w14:paraId="575CA916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- анемия</w:t>
      </w:r>
    </w:p>
    <w:p w14:paraId="18CF922D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- диспепсия</w:t>
      </w:r>
    </w:p>
    <w:p w14:paraId="6E279260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- ангионевротический отек, зуд, крапивница</w:t>
      </w:r>
    </w:p>
    <w:p w14:paraId="7F275865" w14:textId="77777777" w:rsidR="006354DD" w:rsidRPr="00FC6F8C" w:rsidRDefault="006354DD" w:rsidP="006354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- боль в суставах</w:t>
      </w:r>
    </w:p>
    <w:p w14:paraId="23770DB5" w14:textId="77777777" w:rsidR="007E1A7B" w:rsidRPr="00FC6F8C" w:rsidRDefault="007E1A7B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55ABB4" w14:textId="77777777" w:rsidR="00827BB2" w:rsidRPr="00FC6F8C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C6F8C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FC6F8C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FC6F8C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FC6F8C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FC6F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56A8CECA" w14:textId="77777777" w:rsidR="006703A5" w:rsidRPr="00FC6F8C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5779DE" w:rsidRPr="00FC6F8C">
        <w:rPr>
          <w:rFonts w:ascii="Times New Roman" w:hAnsi="Times New Roman"/>
          <w:sz w:val="28"/>
          <w:szCs w:val="28"/>
        </w:rPr>
        <w:t>Комитет</w:t>
      </w:r>
      <w:r w:rsidR="00DB371E" w:rsidRPr="009567ED">
        <w:rPr>
          <w:rFonts w:ascii="Times New Roman" w:hAnsi="Times New Roman"/>
          <w:sz w:val="28"/>
          <w:szCs w:val="28"/>
        </w:rPr>
        <w:t>а</w:t>
      </w:r>
      <w:r w:rsidR="005779DE" w:rsidRPr="00FC6F8C">
        <w:rPr>
          <w:rFonts w:ascii="Times New Roman" w:hAnsi="Times New Roman"/>
          <w:sz w:val="28"/>
          <w:szCs w:val="28"/>
        </w:rPr>
        <w:t xml:space="preserve"> </w:t>
      </w:r>
      <w:r w:rsidR="00E429FB" w:rsidRPr="00FC6F8C">
        <w:rPr>
          <w:rFonts w:ascii="Times New Roman" w:hAnsi="Times New Roman"/>
          <w:sz w:val="28"/>
          <w:szCs w:val="28"/>
        </w:rPr>
        <w:t>медицинского и фармацевтического контроля</w:t>
      </w:r>
      <w:r w:rsidR="005779DE" w:rsidRPr="00FC6F8C">
        <w:rPr>
          <w:rFonts w:ascii="Times New Roman" w:hAnsi="Times New Roman"/>
          <w:sz w:val="28"/>
          <w:szCs w:val="28"/>
        </w:rPr>
        <w:t xml:space="preserve"> </w:t>
      </w:r>
      <w:r w:rsidRPr="00FC6F8C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2511F047" w14:textId="77777777" w:rsidR="006703A5" w:rsidRPr="00FC6F8C" w:rsidRDefault="00BD2B9E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FC6F8C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FC6F8C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FC6F8C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FC6F8C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FC6F8C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FC6F8C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FC6F8C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3C3BA5EA" w14:textId="77777777" w:rsidR="006703A5" w:rsidRPr="00FC6F8C" w:rsidRDefault="006703A5" w:rsidP="00844CE8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58DED8" w14:textId="77777777" w:rsidR="000C2C4B" w:rsidRPr="00FC6F8C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0769E056" w14:textId="77777777" w:rsidR="006B7A90" w:rsidRPr="00FC6F8C" w:rsidRDefault="00844CE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5" w:name="2175220285"/>
      <w:r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3CFEAE2" w14:textId="77777777" w:rsidR="006B7A90" w:rsidRPr="00FC6F8C" w:rsidRDefault="009048E9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6" w:name="2175220286"/>
      <w:bookmarkEnd w:id="5"/>
      <w:r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>Одна</w:t>
      </w:r>
      <w:r w:rsidR="006B7A90"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таблетка</w:t>
      </w:r>
      <w:r w:rsidR="00D40393"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>, покрытая пленочной оболочкой,</w:t>
      </w:r>
      <w:r w:rsidR="006B7A90" w:rsidRPr="00FC6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содержит </w:t>
      </w:r>
    </w:p>
    <w:p w14:paraId="5A7296F3" w14:textId="77777777" w:rsidR="00850AD5" w:rsidRPr="00FC6F8C" w:rsidRDefault="00844CE8" w:rsidP="00850A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FC6F8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активн</w:t>
      </w:r>
      <w:r w:rsidR="00850AD5" w:rsidRPr="00FC6F8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ые</w:t>
      </w:r>
      <w:r w:rsidRPr="00FC6F8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веществ</w:t>
      </w:r>
      <w:r w:rsidR="00850AD5" w:rsidRPr="00FC6F8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а:</w:t>
      </w:r>
      <w:r w:rsidRPr="00FC6F8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9048E9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э</w:t>
      </w:r>
      <w:r w:rsidR="00850AD5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мтрицитабин </w:t>
      </w:r>
      <w:r w:rsidR="00393862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- 200.000</w:t>
      </w:r>
      <w:r w:rsidR="009048E9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мг,</w:t>
      </w:r>
    </w:p>
    <w:p w14:paraId="7915C09D" w14:textId="77777777" w:rsidR="00850AD5" w:rsidRPr="00FC6F8C" w:rsidRDefault="00850AD5" w:rsidP="00850A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ab/>
      </w:r>
      <w:r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ab/>
      </w:r>
      <w:r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ab/>
        <w:t xml:space="preserve">  </w:t>
      </w:r>
      <w:r w:rsidR="00FB4EA4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    </w:t>
      </w:r>
      <w:r w:rsidR="009048E9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т</w:t>
      </w:r>
      <w:r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енофовир</w:t>
      </w:r>
      <w:r w:rsidR="00DB371E" w:rsidRPr="009567E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</w:t>
      </w:r>
      <w:r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алафенамид</w:t>
      </w:r>
      <w:r w:rsidR="009048E9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</w:t>
      </w:r>
      <w:r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фумарат</w:t>
      </w:r>
      <w:r w:rsidR="000E556A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983D43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28.045 мг</w:t>
      </w:r>
    </w:p>
    <w:p w14:paraId="528B4D28" w14:textId="77777777" w:rsidR="00850AD5" w:rsidRPr="00FC6F8C" w:rsidRDefault="00850AD5" w:rsidP="00850A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                               </w:t>
      </w:r>
      <w:r w:rsidR="00FB4EA4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    </w:t>
      </w:r>
      <w:r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эквивалентно тенофовир</w:t>
      </w:r>
      <w:r w:rsidR="00DB371E" w:rsidRPr="009567ED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</w:t>
      </w:r>
      <w:r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алафенамиду 25.000</w:t>
      </w:r>
      <w:r w:rsidR="009048E9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мг</w:t>
      </w:r>
      <w:r w:rsidR="00393862" w:rsidRPr="00FC6F8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;</w:t>
      </w:r>
    </w:p>
    <w:p w14:paraId="451BD6C4" w14:textId="77777777" w:rsidR="00850AD5" w:rsidRPr="00FC6F8C" w:rsidRDefault="006B7A90" w:rsidP="00850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kk-KZ" w:eastAsia="ru-RU"/>
        </w:rPr>
      </w:pPr>
      <w:r w:rsidRPr="00FC6F8C">
        <w:rPr>
          <w:rFonts w:ascii="Times New Roman" w:hAnsi="Times New Roman"/>
          <w:i/>
          <w:iCs/>
          <w:sz w:val="28"/>
          <w:szCs w:val="28"/>
          <w:lang w:val="kk-KZ"/>
        </w:rPr>
        <w:t xml:space="preserve">вспомогательные вещества: </w:t>
      </w:r>
      <w:r w:rsidR="00850AD5" w:rsidRPr="00FC6F8C">
        <w:rPr>
          <w:rFonts w:ascii="Times New Roman" w:eastAsia="TimesNewRomanPSMT" w:hAnsi="Times New Roman"/>
          <w:sz w:val="28"/>
          <w:szCs w:val="28"/>
          <w:lang w:val="kk-KZ" w:eastAsia="ru-RU"/>
        </w:rPr>
        <w:t>целлюлоза микрокристаллическая (Farmacel 102), натрия кроскармеллоза (Ac-Di-Sol), магния стеарат (Ligamed MF-2-V)</w:t>
      </w:r>
      <w:r w:rsidR="007974C0" w:rsidRPr="00FC6F8C">
        <w:rPr>
          <w:rFonts w:ascii="Times New Roman" w:eastAsia="TimesNewRomanPSMT" w:hAnsi="Times New Roman"/>
          <w:sz w:val="28"/>
          <w:szCs w:val="28"/>
          <w:lang w:val="kk-KZ" w:eastAsia="ru-RU"/>
        </w:rPr>
        <w:t>,</w:t>
      </w:r>
    </w:p>
    <w:p w14:paraId="580AF1DF" w14:textId="77777777" w:rsidR="006B7A90" w:rsidRPr="00FC6F8C" w:rsidRDefault="007974C0" w:rsidP="00797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</w:pPr>
      <w:r w:rsidRPr="00FC6F8C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>п</w:t>
      </w:r>
      <w:r w:rsidR="00850AD5" w:rsidRPr="00FC6F8C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>леночн</w:t>
      </w:r>
      <w:r w:rsidR="009048E9" w:rsidRPr="00FC6F8C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>ая оболочка</w:t>
      </w:r>
      <w:r w:rsidR="00850AD5" w:rsidRPr="00FC6F8C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 xml:space="preserve">: </w:t>
      </w:r>
      <w:proofErr w:type="spellStart"/>
      <w:r w:rsidR="00850AD5" w:rsidRPr="00FC6F8C">
        <w:rPr>
          <w:rFonts w:ascii="Times New Roman" w:eastAsia="TimesNewRomanPSMT" w:hAnsi="Times New Roman"/>
          <w:sz w:val="28"/>
          <w:szCs w:val="28"/>
          <w:lang w:eastAsia="ru-RU"/>
        </w:rPr>
        <w:t>опадрай</w:t>
      </w:r>
      <w:proofErr w:type="spellEnd"/>
      <w:r w:rsidR="00850AD5" w:rsidRPr="00FC6F8C">
        <w:rPr>
          <w:rFonts w:ascii="Times New Roman" w:eastAsia="TimesNewRomanPSMT" w:hAnsi="Times New Roman"/>
          <w:sz w:val="28"/>
          <w:szCs w:val="28"/>
          <w:lang w:eastAsia="ru-RU"/>
        </w:rPr>
        <w:t xml:space="preserve"> II белый 85F580019:</w:t>
      </w:r>
      <w:r w:rsidR="00850AD5" w:rsidRPr="00FC6F8C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 xml:space="preserve"> </w:t>
      </w:r>
      <w:r w:rsidR="00850AD5" w:rsidRPr="00FC6F8C">
        <w:rPr>
          <w:rFonts w:ascii="Times New Roman" w:eastAsia="TimesNewRomanPSMT" w:hAnsi="Times New Roman"/>
          <w:sz w:val="28"/>
          <w:szCs w:val="28"/>
          <w:lang w:eastAsia="ru-RU"/>
        </w:rPr>
        <w:t>спирт поливиниловый частично гидролизованный (Е 1203)</w:t>
      </w:r>
      <w:r w:rsidR="00850AD5" w:rsidRPr="00FC6F8C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 xml:space="preserve">, </w:t>
      </w:r>
      <w:r w:rsidR="00850AD5" w:rsidRPr="00FC6F8C">
        <w:rPr>
          <w:rFonts w:ascii="Times New Roman" w:eastAsia="TimesNewRomanPSMT" w:hAnsi="Times New Roman"/>
          <w:sz w:val="28"/>
          <w:szCs w:val="28"/>
          <w:lang w:eastAsia="ru-RU"/>
        </w:rPr>
        <w:t>тальк (Е 533b)</w:t>
      </w:r>
      <w:r w:rsidR="00850AD5" w:rsidRPr="00FC6F8C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850AD5" w:rsidRPr="00FC6F8C">
        <w:rPr>
          <w:rFonts w:ascii="Times New Roman" w:eastAsia="TimesNewRomanPSMT" w:hAnsi="Times New Roman"/>
          <w:sz w:val="28"/>
          <w:szCs w:val="28"/>
          <w:lang w:eastAsia="ru-RU"/>
        </w:rPr>
        <w:t>макрогол</w:t>
      </w:r>
      <w:proofErr w:type="spellEnd"/>
      <w:r w:rsidR="00850AD5" w:rsidRPr="00FC6F8C">
        <w:rPr>
          <w:rFonts w:ascii="Times New Roman" w:eastAsia="TimesNewRomanPSMT" w:hAnsi="Times New Roman"/>
          <w:sz w:val="28"/>
          <w:szCs w:val="28"/>
          <w:lang w:eastAsia="ru-RU"/>
        </w:rPr>
        <w:t>/</w:t>
      </w:r>
      <w:proofErr w:type="spellStart"/>
      <w:r w:rsidR="00850AD5" w:rsidRPr="00FC6F8C">
        <w:rPr>
          <w:rFonts w:ascii="Times New Roman" w:eastAsia="TimesNewRomanPSMT" w:hAnsi="Times New Roman"/>
          <w:sz w:val="28"/>
          <w:szCs w:val="28"/>
          <w:lang w:eastAsia="ru-RU"/>
        </w:rPr>
        <w:t>полиэтиленгликоль</w:t>
      </w:r>
      <w:proofErr w:type="spellEnd"/>
      <w:r w:rsidR="00850AD5" w:rsidRPr="00FC6F8C">
        <w:rPr>
          <w:rFonts w:ascii="Times New Roman" w:eastAsia="TimesNewRomanPSMT" w:hAnsi="Times New Roman"/>
          <w:sz w:val="28"/>
          <w:szCs w:val="28"/>
          <w:lang w:eastAsia="ru-RU"/>
        </w:rPr>
        <w:t xml:space="preserve"> (Е 1521)</w:t>
      </w:r>
      <w:r w:rsidR="00850AD5" w:rsidRPr="00FC6F8C">
        <w:rPr>
          <w:rFonts w:ascii="Times New Roman" w:eastAsia="TimesNewRomanPSMT" w:hAnsi="Times New Roman"/>
          <w:i/>
          <w:iCs/>
          <w:sz w:val="28"/>
          <w:szCs w:val="28"/>
          <w:lang w:eastAsia="ru-RU"/>
        </w:rPr>
        <w:t xml:space="preserve">, </w:t>
      </w:r>
      <w:r w:rsidR="00850AD5" w:rsidRPr="00FC6F8C">
        <w:rPr>
          <w:rFonts w:ascii="Times New Roman" w:eastAsia="TimesNewRomanPSMT" w:hAnsi="Times New Roman"/>
          <w:sz w:val="28"/>
          <w:szCs w:val="28"/>
          <w:lang w:eastAsia="ru-RU"/>
        </w:rPr>
        <w:t>титана диоксид (Е 171).</w:t>
      </w:r>
    </w:p>
    <w:p w14:paraId="36EDDB98" w14:textId="77777777" w:rsidR="006B7A90" w:rsidRPr="00FC6F8C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bookmarkEnd w:id="6"/>
    <w:p w14:paraId="5E0E190E" w14:textId="77777777" w:rsidR="005F3A55" w:rsidRPr="00FC6F8C" w:rsidRDefault="005F3A55" w:rsidP="005F3A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</w:pPr>
      <w:r w:rsidRPr="00FC6F8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  <w:t>Таблетки овальной формы, покрытые пленочной оболочкой белого или почти белого цвета с оттиском «L12» на одной стороне и гладкие с другой.</w:t>
      </w:r>
    </w:p>
    <w:p w14:paraId="5DE408D3" w14:textId="77777777" w:rsidR="006B7A90" w:rsidRPr="00FC6F8C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35F39" w14:textId="77777777" w:rsidR="00C9308C" w:rsidRPr="00FC6F8C" w:rsidRDefault="00393862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7" w:name="2175220287"/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1DD8B5A5" w14:textId="77777777" w:rsidR="007974C0" w:rsidRPr="00FC6F8C" w:rsidRDefault="007974C0" w:rsidP="007974C0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lastRenderedPageBreak/>
        <w:t>По 30 или 90 таблеток помещают во флакон из полиэтилена высокой плотности. Во флаконе содержится поглотитель влаги силикагель.</w:t>
      </w:r>
    </w:p>
    <w:p w14:paraId="1DBD4DAA" w14:textId="77777777" w:rsidR="005F3A55" w:rsidRPr="00FC6F8C" w:rsidRDefault="007974C0" w:rsidP="007974C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На флакон прикрепляют этикетку </w:t>
      </w:r>
      <w:proofErr w:type="spellStart"/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>самоклеющуюся</w:t>
      </w:r>
      <w:proofErr w:type="spellEnd"/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и инструкцию по медицинскому применению на казахском и русском языках.</w:t>
      </w:r>
    </w:p>
    <w:p w14:paraId="02593A9E" w14:textId="77777777" w:rsidR="009567ED" w:rsidRDefault="009567ED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2A7A4B" w14:textId="77777777" w:rsidR="00844CE8" w:rsidRPr="00FC6F8C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CA2603F" w14:textId="77777777" w:rsidR="00FE3FFD" w:rsidRPr="00FC6F8C" w:rsidRDefault="00FE3FFD" w:rsidP="00FE3F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C6F8C">
        <w:rPr>
          <w:rFonts w:ascii="Times New Roman" w:hAnsi="Times New Roman"/>
          <w:sz w:val="28"/>
          <w:szCs w:val="28"/>
          <w:lang w:bidi="ru-RU"/>
        </w:rPr>
        <w:t>2 года</w:t>
      </w:r>
    </w:p>
    <w:p w14:paraId="5C5328ED" w14:textId="77777777" w:rsidR="000E01AB" w:rsidRPr="00FC6F8C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FC6F8C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FC6F8C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FC6F8C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7D55F658" w14:textId="77777777" w:rsidR="000E01AB" w:rsidRPr="00FC6F8C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8" w:name="2175220288"/>
      <w:bookmarkEnd w:id="7"/>
      <w:r w:rsidRPr="00FC6F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65D87D89" w14:textId="77777777" w:rsidR="007974C0" w:rsidRPr="00FC6F8C" w:rsidRDefault="00FE3FFD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Хранить при температуре не выше 30°С</w:t>
      </w:r>
      <w:r w:rsidR="007974C0" w:rsidRPr="00FC6F8C">
        <w:rPr>
          <w:rFonts w:ascii="Times New Roman" w:hAnsi="Times New Roman"/>
          <w:sz w:val="28"/>
          <w:szCs w:val="28"/>
        </w:rPr>
        <w:t>.</w:t>
      </w:r>
    </w:p>
    <w:p w14:paraId="3D54DC71" w14:textId="77777777" w:rsidR="00FE3FFD" w:rsidRPr="00FC6F8C" w:rsidRDefault="007974C0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>После первого вскрытия флакона хранить при температуре не выше 30 °С не более 3 месяцев.</w:t>
      </w:r>
    </w:p>
    <w:p w14:paraId="7B99B590" w14:textId="77777777" w:rsidR="00D14D61" w:rsidRPr="00FC6F8C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F8C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9" w:name="2175220289"/>
      <w:bookmarkEnd w:id="8"/>
    </w:p>
    <w:bookmarkEnd w:id="9"/>
    <w:p w14:paraId="52D73F56" w14:textId="77777777" w:rsidR="006B7A90" w:rsidRPr="00FC6F8C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A5A0FB" w14:textId="77777777" w:rsidR="006C6558" w:rsidRPr="00FC6F8C" w:rsidRDefault="006C655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6F8C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3B1D95C0" w14:textId="77777777" w:rsidR="00FE3FFD" w:rsidRPr="00FC6F8C" w:rsidRDefault="00FE3FFD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C6F8C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7906B50C" w14:textId="77777777" w:rsidR="006C6558" w:rsidRPr="00FC6F8C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5C8672" w14:textId="77777777" w:rsidR="006B7A90" w:rsidRPr="00FC6F8C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259E8B46" w14:textId="77777777" w:rsidR="002F6E33" w:rsidRPr="00036957" w:rsidRDefault="002F6E33" w:rsidP="002F6E3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Laurus</w:t>
      </w:r>
      <w:r w:rsidRPr="00036957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Labs</w:t>
      </w:r>
      <w:r w:rsidRPr="00036957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Limited</w:t>
      </w:r>
      <w:r w:rsidRPr="00036957">
        <w:rPr>
          <w:rFonts w:ascii="Times New Roman" w:eastAsia="Microsoft Sans Serif" w:hAnsi="Times New Roman"/>
          <w:sz w:val="28"/>
          <w:szCs w:val="28"/>
          <w:lang w:eastAsia="ru-RU" w:bidi="ru-RU"/>
        </w:rPr>
        <w:t>,</w:t>
      </w:r>
    </w:p>
    <w:p w14:paraId="4E51B753" w14:textId="77777777" w:rsidR="002F6E33" w:rsidRPr="00FC6F8C" w:rsidRDefault="002F6E33" w:rsidP="002F6E3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(Unit-II), Plot No. 19, 20 &amp; 21, Western Sector, APSEZ, </w:t>
      </w:r>
    </w:p>
    <w:p w14:paraId="2FF2BC27" w14:textId="77777777" w:rsidR="002F6E33" w:rsidRPr="00FC6F8C" w:rsidRDefault="002F6E33" w:rsidP="002F6E3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proofErr w:type="spellStart"/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Atchutapuram</w:t>
      </w:r>
      <w:proofErr w:type="spellEnd"/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Mandal, Visakhapatnam District–531011, </w:t>
      </w:r>
    </w:p>
    <w:p w14:paraId="0E28E536" w14:textId="77777777" w:rsidR="002F6E33" w:rsidRPr="00FC6F8C" w:rsidRDefault="002F6E33" w:rsidP="002F6E3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Andhra Pradesh, </w:t>
      </w:r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>Индия</w:t>
      </w: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.</w:t>
      </w:r>
    </w:p>
    <w:p w14:paraId="51EDEF34" w14:textId="77777777" w:rsidR="007A4071" w:rsidRPr="00FC6F8C" w:rsidRDefault="007A4071" w:rsidP="007A407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cs-CZ"/>
        </w:rPr>
      </w:pPr>
      <w:r w:rsidRPr="00FC6F8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cs-CZ"/>
        </w:rPr>
        <w:t xml:space="preserve">Тел. +914039804333/23420500/501, </w:t>
      </w:r>
    </w:p>
    <w:p w14:paraId="2FFE8CA3" w14:textId="77777777" w:rsidR="007A4071" w:rsidRPr="00FC6F8C" w:rsidRDefault="007A4071" w:rsidP="007A407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kk-KZ" w:eastAsia="cs-CZ"/>
        </w:rPr>
      </w:pPr>
      <w:r w:rsidRPr="00FC6F8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cs-CZ"/>
        </w:rPr>
        <w:t xml:space="preserve">электронный адрес </w:t>
      </w:r>
      <w:hyperlink r:id="rId9" w:history="1">
        <w:r w:rsidRPr="00FC6F8C">
          <w:rPr>
            <w:rStyle w:val="af"/>
            <w:rFonts w:ascii="Times New Roman" w:eastAsia="Times New Roman" w:hAnsi="Times New Roman"/>
            <w:bCs/>
            <w:iCs/>
            <w:color w:val="0563C1"/>
            <w:sz w:val="28"/>
            <w:szCs w:val="28"/>
            <w:lang w:val="en-US" w:eastAsia="cs-CZ"/>
          </w:rPr>
          <w:t>info</w:t>
        </w:r>
        <w:r w:rsidRPr="00FC6F8C">
          <w:rPr>
            <w:rStyle w:val="af"/>
            <w:rFonts w:ascii="Times New Roman" w:eastAsia="Times New Roman" w:hAnsi="Times New Roman"/>
            <w:bCs/>
            <w:iCs/>
            <w:color w:val="0563C1"/>
            <w:sz w:val="28"/>
            <w:szCs w:val="28"/>
            <w:lang w:eastAsia="cs-CZ"/>
          </w:rPr>
          <w:t>@</w:t>
        </w:r>
        <w:proofErr w:type="spellStart"/>
        <w:r w:rsidRPr="00FC6F8C">
          <w:rPr>
            <w:rStyle w:val="af"/>
            <w:rFonts w:ascii="Times New Roman" w:eastAsia="Times New Roman" w:hAnsi="Times New Roman"/>
            <w:bCs/>
            <w:iCs/>
            <w:color w:val="0563C1"/>
            <w:sz w:val="28"/>
            <w:szCs w:val="28"/>
            <w:lang w:val="en-US" w:eastAsia="cs-CZ"/>
          </w:rPr>
          <w:t>lauruslabs</w:t>
        </w:r>
        <w:proofErr w:type="spellEnd"/>
        <w:r w:rsidRPr="00FC6F8C">
          <w:rPr>
            <w:rStyle w:val="af"/>
            <w:rFonts w:ascii="Times New Roman" w:eastAsia="Times New Roman" w:hAnsi="Times New Roman"/>
            <w:bCs/>
            <w:iCs/>
            <w:color w:val="0563C1"/>
            <w:sz w:val="28"/>
            <w:szCs w:val="28"/>
            <w:lang w:eastAsia="cs-CZ"/>
          </w:rPr>
          <w:t>.</w:t>
        </w:r>
        <w:r w:rsidRPr="00FC6F8C">
          <w:rPr>
            <w:rStyle w:val="af"/>
            <w:rFonts w:ascii="Times New Roman" w:eastAsia="Times New Roman" w:hAnsi="Times New Roman"/>
            <w:bCs/>
            <w:iCs/>
            <w:color w:val="0563C1"/>
            <w:sz w:val="28"/>
            <w:szCs w:val="28"/>
            <w:lang w:val="en-US" w:eastAsia="cs-CZ"/>
          </w:rPr>
          <w:t>com</w:t>
        </w:r>
      </w:hyperlink>
    </w:p>
    <w:p w14:paraId="53660E86" w14:textId="77777777" w:rsidR="009567ED" w:rsidRDefault="009567ED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D480532" w14:textId="77777777" w:rsidR="00D76048" w:rsidRPr="00FC6F8C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6F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FC6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1EFC12D4" w14:textId="77777777" w:rsidR="002F6E33" w:rsidRPr="00036957" w:rsidRDefault="002F6E33" w:rsidP="002F6E3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Laurus</w:t>
      </w:r>
      <w:r w:rsidRPr="00036957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Labs</w:t>
      </w:r>
      <w:r w:rsidRPr="00036957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Limited</w:t>
      </w:r>
      <w:r w:rsidRPr="00036957">
        <w:rPr>
          <w:rFonts w:ascii="Times New Roman" w:eastAsia="Microsoft Sans Serif" w:hAnsi="Times New Roman"/>
          <w:sz w:val="28"/>
          <w:szCs w:val="28"/>
          <w:lang w:eastAsia="ru-RU" w:bidi="ru-RU"/>
        </w:rPr>
        <w:t>,</w:t>
      </w:r>
    </w:p>
    <w:p w14:paraId="476B0351" w14:textId="77777777" w:rsidR="002F6E33" w:rsidRPr="00FC6F8C" w:rsidRDefault="002F6E33" w:rsidP="002F6E3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(Unit-II), Plot No. 19, 20 &amp; 21, Western Sector, APSEZ, </w:t>
      </w:r>
    </w:p>
    <w:p w14:paraId="6F6B0C05" w14:textId="77777777" w:rsidR="002F6E33" w:rsidRPr="00FC6F8C" w:rsidRDefault="002F6E33" w:rsidP="002F6E3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proofErr w:type="spellStart"/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Atchutapuram</w:t>
      </w:r>
      <w:proofErr w:type="spellEnd"/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Mandal, Visakhapatnam District–531011, </w:t>
      </w:r>
    </w:p>
    <w:p w14:paraId="78B91499" w14:textId="77777777" w:rsidR="002F6E33" w:rsidRPr="00FC6F8C" w:rsidRDefault="002F6E33" w:rsidP="002F6E3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Andhra Pradesh, </w:t>
      </w:r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>Индия</w:t>
      </w:r>
      <w:r w:rsidRPr="00FC6F8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.</w:t>
      </w:r>
    </w:p>
    <w:p w14:paraId="6F582A4A" w14:textId="77777777" w:rsidR="007A4071" w:rsidRPr="00FC6F8C" w:rsidRDefault="007A4071" w:rsidP="007A407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cs-CZ"/>
        </w:rPr>
      </w:pPr>
      <w:r w:rsidRPr="00FC6F8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cs-CZ"/>
        </w:rPr>
        <w:t xml:space="preserve">Тел. +914039804333/23420500/501, </w:t>
      </w:r>
    </w:p>
    <w:p w14:paraId="245B4AB3" w14:textId="77777777" w:rsidR="007A4071" w:rsidRPr="00FC6F8C" w:rsidRDefault="007A4071" w:rsidP="007A407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kk-KZ" w:eastAsia="cs-CZ"/>
        </w:rPr>
      </w:pPr>
      <w:r w:rsidRPr="00FC6F8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cs-CZ"/>
        </w:rPr>
        <w:t xml:space="preserve">электронный адрес </w:t>
      </w:r>
      <w:hyperlink r:id="rId10" w:history="1">
        <w:r w:rsidRPr="00FC6F8C">
          <w:rPr>
            <w:rStyle w:val="af"/>
            <w:rFonts w:ascii="Times New Roman" w:eastAsia="Times New Roman" w:hAnsi="Times New Roman"/>
            <w:bCs/>
            <w:iCs/>
            <w:color w:val="0563C1"/>
            <w:sz w:val="28"/>
            <w:szCs w:val="28"/>
            <w:lang w:val="en-US" w:eastAsia="cs-CZ"/>
          </w:rPr>
          <w:t>info</w:t>
        </w:r>
        <w:r w:rsidRPr="00FC6F8C">
          <w:rPr>
            <w:rStyle w:val="af"/>
            <w:rFonts w:ascii="Times New Roman" w:eastAsia="Times New Roman" w:hAnsi="Times New Roman"/>
            <w:bCs/>
            <w:iCs/>
            <w:color w:val="0563C1"/>
            <w:sz w:val="28"/>
            <w:szCs w:val="28"/>
            <w:lang w:eastAsia="cs-CZ"/>
          </w:rPr>
          <w:t>@</w:t>
        </w:r>
        <w:proofErr w:type="spellStart"/>
        <w:r w:rsidRPr="00FC6F8C">
          <w:rPr>
            <w:rStyle w:val="af"/>
            <w:rFonts w:ascii="Times New Roman" w:eastAsia="Times New Roman" w:hAnsi="Times New Roman"/>
            <w:bCs/>
            <w:iCs/>
            <w:color w:val="0563C1"/>
            <w:sz w:val="28"/>
            <w:szCs w:val="28"/>
            <w:lang w:val="en-US" w:eastAsia="cs-CZ"/>
          </w:rPr>
          <w:t>lauruslabs</w:t>
        </w:r>
        <w:proofErr w:type="spellEnd"/>
        <w:r w:rsidRPr="00FC6F8C">
          <w:rPr>
            <w:rStyle w:val="af"/>
            <w:rFonts w:ascii="Times New Roman" w:eastAsia="Times New Roman" w:hAnsi="Times New Roman"/>
            <w:bCs/>
            <w:iCs/>
            <w:color w:val="0563C1"/>
            <w:sz w:val="28"/>
            <w:szCs w:val="28"/>
            <w:lang w:eastAsia="cs-CZ"/>
          </w:rPr>
          <w:t>.</w:t>
        </w:r>
        <w:r w:rsidRPr="00FC6F8C">
          <w:rPr>
            <w:rStyle w:val="af"/>
            <w:rFonts w:ascii="Times New Roman" w:eastAsia="Times New Roman" w:hAnsi="Times New Roman"/>
            <w:bCs/>
            <w:iCs/>
            <w:color w:val="0563C1"/>
            <w:sz w:val="28"/>
            <w:szCs w:val="28"/>
            <w:lang w:val="en-US" w:eastAsia="cs-CZ"/>
          </w:rPr>
          <w:t>com</w:t>
        </w:r>
      </w:hyperlink>
    </w:p>
    <w:p w14:paraId="5D4D8B91" w14:textId="77777777" w:rsidR="007A4071" w:rsidRPr="00FC6F8C" w:rsidRDefault="007A4071" w:rsidP="002F6E3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kk-KZ" w:eastAsia="ru-RU" w:bidi="ru-RU"/>
        </w:rPr>
      </w:pPr>
    </w:p>
    <w:p w14:paraId="02F03204" w14:textId="77777777" w:rsidR="00C6303A" w:rsidRPr="00FC6F8C" w:rsidRDefault="00C6303A" w:rsidP="00C630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</w:pPr>
      <w:r w:rsidRPr="00FC6F8C"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  <w:t>Наименование, адрес и контактные данные (телефон, факс, электронная почта) организации, принимающей претензии (предложения) по качеству лекарственного средства от потребителей на территории Республики Казахстан</w:t>
      </w:r>
    </w:p>
    <w:p w14:paraId="53BB6BFD" w14:textId="77777777" w:rsidR="00C6303A" w:rsidRPr="00FC6F8C" w:rsidRDefault="00C6303A" w:rsidP="00C6303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>ТОО «</w:t>
      </w:r>
      <w:proofErr w:type="spellStart"/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>Rogers</w:t>
      </w:r>
      <w:proofErr w:type="spellEnd"/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>Pharma</w:t>
      </w:r>
      <w:proofErr w:type="spellEnd"/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», Республика Казахстан, 050043, г. Алматы, мкн. </w:t>
      </w:r>
      <w:proofErr w:type="spellStart"/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>Мирас</w:t>
      </w:r>
      <w:proofErr w:type="spellEnd"/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, 157, </w:t>
      </w:r>
      <w:proofErr w:type="spellStart"/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>н.п</w:t>
      </w:r>
      <w:proofErr w:type="spellEnd"/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. 819. Тел. (727) 311-81-96/97, </w:t>
      </w:r>
      <w:r w:rsidRPr="00FC6F8C">
        <w:rPr>
          <w:rFonts w:ascii="Times New Roman" w:hAnsi="Times New Roman"/>
          <w:sz w:val="28"/>
          <w:szCs w:val="28"/>
        </w:rPr>
        <w:t>электронный адрес</w:t>
      </w:r>
      <w:r w:rsidRPr="00FC6F8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: </w:t>
      </w:r>
      <w:hyperlink r:id="rId11" w:history="1">
        <w:r w:rsidRPr="00FC6F8C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office</w:t>
        </w:r>
        <w:r w:rsidRPr="00FC6F8C">
          <w:rPr>
            <w:rStyle w:val="af"/>
            <w:rFonts w:ascii="Times New Roman" w:eastAsia="Microsoft Sans Serif" w:hAnsi="Times New Roman"/>
            <w:sz w:val="28"/>
            <w:szCs w:val="28"/>
            <w:lang w:eastAsia="ru-RU" w:bidi="ru-RU"/>
          </w:rPr>
          <w:t>.</w:t>
        </w:r>
        <w:r w:rsidRPr="00FC6F8C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secretary</w:t>
        </w:r>
        <w:r w:rsidRPr="00FC6F8C">
          <w:rPr>
            <w:rStyle w:val="af"/>
            <w:rFonts w:ascii="Times New Roman" w:eastAsia="Microsoft Sans Serif" w:hAnsi="Times New Roman"/>
            <w:sz w:val="28"/>
            <w:szCs w:val="28"/>
            <w:lang w:eastAsia="ru-RU" w:bidi="ru-RU"/>
          </w:rPr>
          <w:t>@</w:t>
        </w:r>
        <w:proofErr w:type="spellStart"/>
        <w:r w:rsidRPr="00FC6F8C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rogersgroup</w:t>
        </w:r>
        <w:proofErr w:type="spellEnd"/>
        <w:r w:rsidRPr="00FC6F8C">
          <w:rPr>
            <w:rStyle w:val="af"/>
            <w:rFonts w:ascii="Times New Roman" w:eastAsia="Microsoft Sans Serif" w:hAnsi="Times New Roman"/>
            <w:sz w:val="28"/>
            <w:szCs w:val="28"/>
            <w:lang w:eastAsia="ru-RU" w:bidi="ru-RU"/>
          </w:rPr>
          <w:t>.</w:t>
        </w:r>
        <w:r w:rsidRPr="00FC6F8C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in</w:t>
        </w:r>
      </w:hyperlink>
    </w:p>
    <w:p w14:paraId="582AAD04" w14:textId="77777777" w:rsidR="00C6303A" w:rsidRPr="00FC6F8C" w:rsidRDefault="00C6303A" w:rsidP="00C6303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</w:p>
    <w:p w14:paraId="783C56B4" w14:textId="77777777" w:rsidR="00C6303A" w:rsidRPr="00FC6F8C" w:rsidRDefault="00C6303A" w:rsidP="00C6303A">
      <w:pPr>
        <w:pStyle w:val="Default"/>
        <w:jc w:val="both"/>
        <w:rPr>
          <w:sz w:val="28"/>
          <w:szCs w:val="28"/>
        </w:rPr>
      </w:pPr>
      <w:r w:rsidRPr="00FC6F8C">
        <w:rPr>
          <w:b/>
          <w:bCs/>
          <w:sz w:val="28"/>
          <w:szCs w:val="28"/>
        </w:rPr>
        <w:t xml:space="preserve">Наименование, адрес и контактные данные (телефон, факс, электронная почта) организации на территории Республики </w:t>
      </w:r>
      <w:r w:rsidRPr="00FC6F8C">
        <w:rPr>
          <w:b/>
          <w:bCs/>
          <w:sz w:val="28"/>
          <w:szCs w:val="28"/>
        </w:rPr>
        <w:lastRenderedPageBreak/>
        <w:t xml:space="preserve">Казахстан, ответственной за пострегистрационное наблюдение за безопасностью лекарственного средства </w:t>
      </w:r>
    </w:p>
    <w:p w14:paraId="3DD738F1" w14:textId="77777777" w:rsidR="00C6303A" w:rsidRPr="00036957" w:rsidRDefault="00457531" w:rsidP="00C6303A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C6F8C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C6303A" w:rsidRPr="00FC6F8C">
        <w:rPr>
          <w:rFonts w:ascii="Times New Roman" w:hAnsi="Times New Roman"/>
          <w:sz w:val="28"/>
          <w:szCs w:val="28"/>
        </w:rPr>
        <w:t>Канумуру</w:t>
      </w:r>
      <w:proofErr w:type="spellEnd"/>
      <w:r w:rsidR="00C6303A" w:rsidRPr="00FC6F8C">
        <w:rPr>
          <w:rFonts w:ascii="Times New Roman" w:hAnsi="Times New Roman"/>
          <w:sz w:val="28"/>
          <w:szCs w:val="28"/>
        </w:rPr>
        <w:t xml:space="preserve"> И.Г., Республика Казахстан, 050043, г. Алматы, мкн. </w:t>
      </w:r>
      <w:proofErr w:type="spellStart"/>
      <w:r w:rsidR="00C6303A" w:rsidRPr="00FC6F8C">
        <w:rPr>
          <w:rFonts w:ascii="Times New Roman" w:hAnsi="Times New Roman"/>
          <w:sz w:val="28"/>
          <w:szCs w:val="28"/>
        </w:rPr>
        <w:t>Мирас</w:t>
      </w:r>
      <w:proofErr w:type="spellEnd"/>
      <w:r w:rsidR="00C6303A" w:rsidRPr="00FC6F8C">
        <w:rPr>
          <w:rFonts w:ascii="Times New Roman" w:hAnsi="Times New Roman"/>
          <w:sz w:val="28"/>
          <w:szCs w:val="28"/>
        </w:rPr>
        <w:t>, 157, блок 2, н. п. 819. Тел. (727) 311-81-96/97, моб. +77479911904, электронный адрес: irina.volovnikova@gmail.com.</w:t>
      </w:r>
    </w:p>
    <w:p w14:paraId="04B051A4" w14:textId="77777777" w:rsidR="00F8747E" w:rsidRPr="005E3CD4" w:rsidRDefault="00F8747E" w:rsidP="00F8747E">
      <w:pPr>
        <w:pStyle w:val="21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de-DE"/>
        </w:rPr>
      </w:pPr>
    </w:p>
    <w:p w14:paraId="7B38BD1E" w14:textId="77777777" w:rsidR="007E1A7B" w:rsidRPr="005E3CD4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BC1F1C" w14:textId="77777777" w:rsidR="007E1A7B" w:rsidRPr="005E3CD4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024EB6" w14:textId="77777777" w:rsidR="00844CE8" w:rsidRPr="005E3CD4" w:rsidRDefault="00844CE8" w:rsidP="00844CE8">
      <w:pPr>
        <w:pStyle w:val="ConsPlusNormal"/>
        <w:ind w:firstLine="540"/>
        <w:jc w:val="both"/>
        <w:rPr>
          <w:sz w:val="28"/>
          <w:szCs w:val="28"/>
        </w:rPr>
      </w:pPr>
    </w:p>
    <w:p w14:paraId="29927848" w14:textId="77777777" w:rsidR="002C76D7" w:rsidRPr="005E3CD4" w:rsidRDefault="002C76D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1D25AA" w14:textId="2C64232B" w:rsidR="00E2741D" w:rsidRDefault="00E2741D"/>
    <w:sectPr w:rsidR="00E2741D" w:rsidSect="00F97B5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5A67" w14:textId="77777777" w:rsidR="00BD2B9E" w:rsidRDefault="00BD2B9E" w:rsidP="00D275FC">
      <w:pPr>
        <w:spacing w:after="0" w:line="240" w:lineRule="auto"/>
      </w:pPr>
      <w:r>
        <w:separator/>
      </w:r>
    </w:p>
  </w:endnote>
  <w:endnote w:type="continuationSeparator" w:id="0">
    <w:p w14:paraId="280A6405" w14:textId="77777777" w:rsidR="00BD2B9E" w:rsidRDefault="00BD2B9E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13D1" w14:textId="77777777" w:rsidR="009D472B" w:rsidRDefault="00BD2B9E"/>
  <w:p w14:paraId="2B65014F" w14:textId="77777777" w:rsidR="00E2741D" w:rsidRDefault="00BD2B9E">
    <w:r>
      <w:rPr>
        <w:rFonts w:ascii="Times New Roman" w:eastAsia="Times New Roman" w:hAnsi="Times New Roman"/>
      </w:rPr>
      <w:t>Решение: N044609</w:t>
    </w:r>
    <w:r>
      <w:rPr>
        <w:rFonts w:ascii="Times New Roman" w:eastAsia="Times New Roman" w:hAnsi="Times New Roman"/>
      </w:rPr>
      <w:br/>
      <w:t>Дата решения: 10.11.2021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Байсеркин</w:t>
    </w:r>
    <w:proofErr w:type="spellEnd"/>
    <w:r>
      <w:rPr>
        <w:rFonts w:ascii="Times New Roman" w:eastAsia="Times New Roman" w:hAnsi="Times New Roman"/>
      </w:rPr>
      <w:t xml:space="preserve"> Б. С.</w:t>
    </w:r>
    <w:r>
      <w:rPr>
        <w:rFonts w:ascii="Times New Roman" w:eastAsia="Times New Roman" w:hAnsi="Times New Roman"/>
      </w:rPr>
      <w:br/>
      <w:t>(Комитет контроля качества и безопасности товаров и услуг)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9C3D" w14:textId="77777777" w:rsidR="009D472B" w:rsidRDefault="00BD2B9E"/>
  <w:p w14:paraId="4CE6BA2F" w14:textId="0889E007" w:rsidR="00E2741D" w:rsidRDefault="00E274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3F20" w14:textId="77777777" w:rsidR="009D472B" w:rsidRDefault="00BD2B9E"/>
  <w:p w14:paraId="6028A349" w14:textId="77777777" w:rsidR="00E2741D" w:rsidRDefault="00BD2B9E">
    <w:r>
      <w:rPr>
        <w:rFonts w:ascii="Times New Roman" w:eastAsia="Times New Roman" w:hAnsi="Times New Roman"/>
      </w:rPr>
      <w:t>Решение: N044609</w:t>
    </w:r>
    <w:r>
      <w:rPr>
        <w:rFonts w:ascii="Times New Roman" w:eastAsia="Times New Roman" w:hAnsi="Times New Roman"/>
      </w:rPr>
      <w:br/>
      <w:t>Дата решения: 10.11.2021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Байсеркин</w:t>
    </w:r>
    <w:proofErr w:type="spellEnd"/>
    <w:r>
      <w:rPr>
        <w:rFonts w:ascii="Times New Roman" w:eastAsia="Times New Roman" w:hAnsi="Times New Roman"/>
      </w:rPr>
      <w:t xml:space="preserve"> Б. С.</w:t>
    </w:r>
    <w:r>
      <w:rPr>
        <w:rFonts w:ascii="Times New Roman" w:eastAsia="Times New Roman" w:hAnsi="Times New Roman"/>
      </w:rPr>
      <w:br/>
      <w:t>(Комитет контроля качества и безопасности товаров и услуг)</w:t>
    </w:r>
    <w:r>
      <w:rPr>
        <w:rFonts w:ascii="Times New Roman" w:eastAsia="Times New Roman" w:hAnsi="Times New Roman"/>
      </w:rPr>
      <w:br/>
      <w:t xml:space="preserve">Данный документ согласно пункту 1 </w:t>
    </w:r>
    <w:r>
      <w:rPr>
        <w:rFonts w:ascii="Times New Roman" w:eastAsia="Times New Roman" w:hAnsi="Times New Roman"/>
      </w:rPr>
      <w:t>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B797" w14:textId="77777777" w:rsidR="00BD2B9E" w:rsidRDefault="00BD2B9E" w:rsidP="00D275FC">
      <w:pPr>
        <w:spacing w:after="0" w:line="240" w:lineRule="auto"/>
      </w:pPr>
      <w:r>
        <w:separator/>
      </w:r>
    </w:p>
  </w:footnote>
  <w:footnote w:type="continuationSeparator" w:id="0">
    <w:p w14:paraId="310B7B16" w14:textId="77777777" w:rsidR="00BD2B9E" w:rsidRDefault="00BD2B9E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D9E2" w14:textId="77777777" w:rsidR="00D275FC" w:rsidRDefault="004558AB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620685" wp14:editId="27A0C6F4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FD3FAD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20685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5DFD3FAD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64BB"/>
    <w:rsid w:val="00033FC1"/>
    <w:rsid w:val="00034159"/>
    <w:rsid w:val="00036957"/>
    <w:rsid w:val="00042999"/>
    <w:rsid w:val="00080FBA"/>
    <w:rsid w:val="000852A1"/>
    <w:rsid w:val="000972E6"/>
    <w:rsid w:val="000A0D71"/>
    <w:rsid w:val="000C2C4B"/>
    <w:rsid w:val="000C4C48"/>
    <w:rsid w:val="000E01AB"/>
    <w:rsid w:val="000E2683"/>
    <w:rsid w:val="000E49F0"/>
    <w:rsid w:val="000E556A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937AD"/>
    <w:rsid w:val="001A2CB2"/>
    <w:rsid w:val="001A5CCF"/>
    <w:rsid w:val="001B6AEC"/>
    <w:rsid w:val="001E6F4C"/>
    <w:rsid w:val="001F16AA"/>
    <w:rsid w:val="00203355"/>
    <w:rsid w:val="002066A3"/>
    <w:rsid w:val="00211005"/>
    <w:rsid w:val="00217D41"/>
    <w:rsid w:val="00222CA6"/>
    <w:rsid w:val="00232642"/>
    <w:rsid w:val="00237697"/>
    <w:rsid w:val="00250EDB"/>
    <w:rsid w:val="00256E10"/>
    <w:rsid w:val="00260413"/>
    <w:rsid w:val="00260EBC"/>
    <w:rsid w:val="00262E5A"/>
    <w:rsid w:val="00264710"/>
    <w:rsid w:val="00267567"/>
    <w:rsid w:val="00270B0A"/>
    <w:rsid w:val="00272DB3"/>
    <w:rsid w:val="00281FBE"/>
    <w:rsid w:val="00290D2E"/>
    <w:rsid w:val="00292715"/>
    <w:rsid w:val="00295AD1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E28F6"/>
    <w:rsid w:val="002F4A14"/>
    <w:rsid w:val="002F6E33"/>
    <w:rsid w:val="00302607"/>
    <w:rsid w:val="003043BF"/>
    <w:rsid w:val="00320073"/>
    <w:rsid w:val="003262DF"/>
    <w:rsid w:val="003356B2"/>
    <w:rsid w:val="00345073"/>
    <w:rsid w:val="00345220"/>
    <w:rsid w:val="0036288F"/>
    <w:rsid w:val="00365B10"/>
    <w:rsid w:val="003662F1"/>
    <w:rsid w:val="00367BA7"/>
    <w:rsid w:val="003761C0"/>
    <w:rsid w:val="003812B2"/>
    <w:rsid w:val="00382BE4"/>
    <w:rsid w:val="00383CDB"/>
    <w:rsid w:val="00384F08"/>
    <w:rsid w:val="003879F9"/>
    <w:rsid w:val="00393862"/>
    <w:rsid w:val="003A035E"/>
    <w:rsid w:val="003B0285"/>
    <w:rsid w:val="003B6661"/>
    <w:rsid w:val="003D2740"/>
    <w:rsid w:val="003E13CF"/>
    <w:rsid w:val="003F5344"/>
    <w:rsid w:val="003F7EDC"/>
    <w:rsid w:val="00404548"/>
    <w:rsid w:val="0041162E"/>
    <w:rsid w:val="0042786D"/>
    <w:rsid w:val="00433C62"/>
    <w:rsid w:val="00434D01"/>
    <w:rsid w:val="004558AB"/>
    <w:rsid w:val="00457531"/>
    <w:rsid w:val="00472EF5"/>
    <w:rsid w:val="0048687C"/>
    <w:rsid w:val="004A31B4"/>
    <w:rsid w:val="004C1922"/>
    <w:rsid w:val="004C462F"/>
    <w:rsid w:val="004D49E9"/>
    <w:rsid w:val="004F4445"/>
    <w:rsid w:val="005071DA"/>
    <w:rsid w:val="00512C02"/>
    <w:rsid w:val="00523D82"/>
    <w:rsid w:val="00541A00"/>
    <w:rsid w:val="005444B2"/>
    <w:rsid w:val="00552F8B"/>
    <w:rsid w:val="00561FE7"/>
    <w:rsid w:val="00570E74"/>
    <w:rsid w:val="00575348"/>
    <w:rsid w:val="00575D0E"/>
    <w:rsid w:val="005779DE"/>
    <w:rsid w:val="0058682F"/>
    <w:rsid w:val="005869C5"/>
    <w:rsid w:val="005A1079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3CD4"/>
    <w:rsid w:val="005E50DE"/>
    <w:rsid w:val="005F3A55"/>
    <w:rsid w:val="005F7097"/>
    <w:rsid w:val="0060364A"/>
    <w:rsid w:val="0061650D"/>
    <w:rsid w:val="00617843"/>
    <w:rsid w:val="00620A6E"/>
    <w:rsid w:val="00620F34"/>
    <w:rsid w:val="00624C1B"/>
    <w:rsid w:val="00625471"/>
    <w:rsid w:val="00627853"/>
    <w:rsid w:val="00634D0C"/>
    <w:rsid w:val="006354DD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D7D5A"/>
    <w:rsid w:val="006E4305"/>
    <w:rsid w:val="006F5763"/>
    <w:rsid w:val="00704BAB"/>
    <w:rsid w:val="007104D1"/>
    <w:rsid w:val="007135A6"/>
    <w:rsid w:val="00714719"/>
    <w:rsid w:val="007147DB"/>
    <w:rsid w:val="00732F32"/>
    <w:rsid w:val="00733A73"/>
    <w:rsid w:val="00736B6C"/>
    <w:rsid w:val="00745CFF"/>
    <w:rsid w:val="00746FF2"/>
    <w:rsid w:val="00761133"/>
    <w:rsid w:val="00764E84"/>
    <w:rsid w:val="00767228"/>
    <w:rsid w:val="007762F8"/>
    <w:rsid w:val="00783520"/>
    <w:rsid w:val="00795DE5"/>
    <w:rsid w:val="007974C0"/>
    <w:rsid w:val="007A02D3"/>
    <w:rsid w:val="007A18B1"/>
    <w:rsid w:val="007A4071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50AD5"/>
    <w:rsid w:val="00855AC0"/>
    <w:rsid w:val="0086657B"/>
    <w:rsid w:val="008832E5"/>
    <w:rsid w:val="00891711"/>
    <w:rsid w:val="00891A45"/>
    <w:rsid w:val="00897669"/>
    <w:rsid w:val="008C0181"/>
    <w:rsid w:val="008D4451"/>
    <w:rsid w:val="008D62B7"/>
    <w:rsid w:val="008E6895"/>
    <w:rsid w:val="00900B3C"/>
    <w:rsid w:val="0090283C"/>
    <w:rsid w:val="00902D66"/>
    <w:rsid w:val="009048E9"/>
    <w:rsid w:val="00904FB5"/>
    <w:rsid w:val="0091136C"/>
    <w:rsid w:val="0091509B"/>
    <w:rsid w:val="009157ED"/>
    <w:rsid w:val="00930D7D"/>
    <w:rsid w:val="009400D7"/>
    <w:rsid w:val="0094064A"/>
    <w:rsid w:val="0095047E"/>
    <w:rsid w:val="00956101"/>
    <w:rsid w:val="009567ED"/>
    <w:rsid w:val="00962CD6"/>
    <w:rsid w:val="00983A4C"/>
    <w:rsid w:val="00983D43"/>
    <w:rsid w:val="00993A60"/>
    <w:rsid w:val="00996F90"/>
    <w:rsid w:val="009B014E"/>
    <w:rsid w:val="009B5CCA"/>
    <w:rsid w:val="009D71D5"/>
    <w:rsid w:val="009E2887"/>
    <w:rsid w:val="009E5CB9"/>
    <w:rsid w:val="009F31F2"/>
    <w:rsid w:val="009F45A5"/>
    <w:rsid w:val="00A01C2E"/>
    <w:rsid w:val="00A02BB2"/>
    <w:rsid w:val="00A04052"/>
    <w:rsid w:val="00A12371"/>
    <w:rsid w:val="00A12563"/>
    <w:rsid w:val="00A8185B"/>
    <w:rsid w:val="00AA5E2F"/>
    <w:rsid w:val="00AA7317"/>
    <w:rsid w:val="00AC2C0B"/>
    <w:rsid w:val="00AC4905"/>
    <w:rsid w:val="00AE7922"/>
    <w:rsid w:val="00B01011"/>
    <w:rsid w:val="00B045BD"/>
    <w:rsid w:val="00B11878"/>
    <w:rsid w:val="00B25AE8"/>
    <w:rsid w:val="00B46F30"/>
    <w:rsid w:val="00B608C1"/>
    <w:rsid w:val="00B60D3D"/>
    <w:rsid w:val="00B61D95"/>
    <w:rsid w:val="00B9187F"/>
    <w:rsid w:val="00BB242C"/>
    <w:rsid w:val="00BB3050"/>
    <w:rsid w:val="00BB7831"/>
    <w:rsid w:val="00BC31BC"/>
    <w:rsid w:val="00BC6167"/>
    <w:rsid w:val="00BD2B9E"/>
    <w:rsid w:val="00BE4435"/>
    <w:rsid w:val="00BE6B71"/>
    <w:rsid w:val="00C07BB3"/>
    <w:rsid w:val="00C2000E"/>
    <w:rsid w:val="00C379C9"/>
    <w:rsid w:val="00C422B8"/>
    <w:rsid w:val="00C566D6"/>
    <w:rsid w:val="00C6303A"/>
    <w:rsid w:val="00C839ED"/>
    <w:rsid w:val="00C84299"/>
    <w:rsid w:val="00C92F14"/>
    <w:rsid w:val="00C9308C"/>
    <w:rsid w:val="00C97365"/>
    <w:rsid w:val="00CB77CC"/>
    <w:rsid w:val="00CC08BA"/>
    <w:rsid w:val="00CC330A"/>
    <w:rsid w:val="00CC5727"/>
    <w:rsid w:val="00CC7DBD"/>
    <w:rsid w:val="00CE38C0"/>
    <w:rsid w:val="00CE7EDC"/>
    <w:rsid w:val="00CF3849"/>
    <w:rsid w:val="00D0233C"/>
    <w:rsid w:val="00D066FC"/>
    <w:rsid w:val="00D11462"/>
    <w:rsid w:val="00D14D61"/>
    <w:rsid w:val="00D22A47"/>
    <w:rsid w:val="00D275FC"/>
    <w:rsid w:val="00D3576E"/>
    <w:rsid w:val="00D40393"/>
    <w:rsid w:val="00D43297"/>
    <w:rsid w:val="00D46B0B"/>
    <w:rsid w:val="00D47C2E"/>
    <w:rsid w:val="00D47E9E"/>
    <w:rsid w:val="00D55ED8"/>
    <w:rsid w:val="00D70DB6"/>
    <w:rsid w:val="00D76048"/>
    <w:rsid w:val="00D93C80"/>
    <w:rsid w:val="00D96A8F"/>
    <w:rsid w:val="00D97F8B"/>
    <w:rsid w:val="00DB371E"/>
    <w:rsid w:val="00DB406A"/>
    <w:rsid w:val="00DE38A3"/>
    <w:rsid w:val="00DF11A7"/>
    <w:rsid w:val="00E03E8D"/>
    <w:rsid w:val="00E271CB"/>
    <w:rsid w:val="00E2741D"/>
    <w:rsid w:val="00E34FE3"/>
    <w:rsid w:val="00E429FB"/>
    <w:rsid w:val="00E53FF7"/>
    <w:rsid w:val="00E55D6C"/>
    <w:rsid w:val="00E57396"/>
    <w:rsid w:val="00E81855"/>
    <w:rsid w:val="00E81A1B"/>
    <w:rsid w:val="00E81A86"/>
    <w:rsid w:val="00E8607B"/>
    <w:rsid w:val="00E91073"/>
    <w:rsid w:val="00E919A9"/>
    <w:rsid w:val="00E93583"/>
    <w:rsid w:val="00EA2F86"/>
    <w:rsid w:val="00EA6D39"/>
    <w:rsid w:val="00EB1D97"/>
    <w:rsid w:val="00EF4C53"/>
    <w:rsid w:val="00F006F1"/>
    <w:rsid w:val="00F07B7B"/>
    <w:rsid w:val="00F109EB"/>
    <w:rsid w:val="00F146A3"/>
    <w:rsid w:val="00F17F7C"/>
    <w:rsid w:val="00F23B95"/>
    <w:rsid w:val="00F37A9E"/>
    <w:rsid w:val="00F40388"/>
    <w:rsid w:val="00F62760"/>
    <w:rsid w:val="00F63389"/>
    <w:rsid w:val="00F8747E"/>
    <w:rsid w:val="00F91977"/>
    <w:rsid w:val="00F97B57"/>
    <w:rsid w:val="00FA4F7C"/>
    <w:rsid w:val="00FB0456"/>
    <w:rsid w:val="00FB47F4"/>
    <w:rsid w:val="00FB4EA4"/>
    <w:rsid w:val="00FC5739"/>
    <w:rsid w:val="00FC6F8C"/>
    <w:rsid w:val="00FD2B12"/>
    <w:rsid w:val="00FD2B9F"/>
    <w:rsid w:val="00FE3FFD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C90FC"/>
  <w15:docId w15:val="{90B6F199-C61E-4472-A6AD-26933653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lauruslab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uruslab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DD28-A855-4EFA-A11B-73125785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4721</Words>
  <Characters>26915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31573</CharactersWithSpaces>
  <SharedDoc>false</SharedDoc>
  <HLinks>
    <vt:vector size="24" baseType="variant">
      <vt:variant>
        <vt:i4>4784187</vt:i4>
      </vt:variant>
      <vt:variant>
        <vt:i4>9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5308520</vt:i4>
      </vt:variant>
      <vt:variant>
        <vt:i4>6</vt:i4>
      </vt:variant>
      <vt:variant>
        <vt:i4>0</vt:i4>
      </vt:variant>
      <vt:variant>
        <vt:i4>5</vt:i4>
      </vt:variant>
      <vt:variant>
        <vt:lpwstr>mailto:info@lauruslabs.com</vt:lpwstr>
      </vt:variant>
      <vt:variant>
        <vt:lpwstr/>
      </vt:variant>
      <vt:variant>
        <vt:i4>5308520</vt:i4>
      </vt:variant>
      <vt:variant>
        <vt:i4>3</vt:i4>
      </vt:variant>
      <vt:variant>
        <vt:i4>0</vt:i4>
      </vt:variant>
      <vt:variant>
        <vt:i4>5</vt:i4>
      </vt:variant>
      <vt:variant>
        <vt:lpwstr>mailto:info@lauruslabs.com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3</cp:revision>
  <cp:lastPrinted>2018-03-22T06:08:00Z</cp:lastPrinted>
  <dcterms:created xsi:type="dcterms:W3CDTF">2021-08-13T08:12:00Z</dcterms:created>
  <dcterms:modified xsi:type="dcterms:W3CDTF">2022-05-30T12:00:00Z</dcterms:modified>
</cp:coreProperties>
</file>