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B2573C" w14:paraId="35254D27" w14:textId="77777777" w:rsidTr="007E1D85">
        <w:tc>
          <w:tcPr>
            <w:tcW w:w="5211" w:type="dxa"/>
            <w:hideMark/>
          </w:tcPr>
          <w:p w14:paraId="49E26C8E" w14:textId="77777777" w:rsidR="007E1D85" w:rsidRPr="00F14BCD" w:rsidRDefault="007E1D85" w:rsidP="00F14BCD">
            <w:pPr>
              <w:widowControl w:val="0"/>
              <w:spacing w:after="0" w:line="240" w:lineRule="auto"/>
              <w:rPr>
                <w:rFonts w:ascii="Times New Roman" w:eastAsia="Batang" w:hAnsi="Times New Roman"/>
                <w:snapToGrid w:val="0"/>
                <w:sz w:val="28"/>
                <w:szCs w:val="28"/>
                <w:lang w:val="en-US" w:eastAsia="ru-RU"/>
              </w:rPr>
            </w:pPr>
          </w:p>
        </w:tc>
        <w:tc>
          <w:tcPr>
            <w:tcW w:w="4536" w:type="dxa"/>
            <w:hideMark/>
          </w:tcPr>
          <w:p w14:paraId="0E6B5064" w14:textId="77777777" w:rsidR="00523D82" w:rsidRPr="00B2573C" w:rsidRDefault="00523D82" w:rsidP="00F14BCD">
            <w:pPr>
              <w:widowControl w:val="0"/>
              <w:spacing w:after="0" w:line="240" w:lineRule="auto"/>
              <w:rPr>
                <w:rFonts w:ascii="Times New Roman" w:eastAsia="Times New Roman" w:hAnsi="Times New Roman"/>
                <w:b/>
                <w:snapToGrid w:val="0"/>
                <w:sz w:val="28"/>
                <w:szCs w:val="28"/>
                <w:lang w:eastAsia="ru-RU"/>
              </w:rPr>
            </w:pPr>
            <w:r w:rsidRPr="00B2573C">
              <w:rPr>
                <w:rFonts w:ascii="Times New Roman" w:eastAsia="Times New Roman" w:hAnsi="Times New Roman"/>
                <w:b/>
                <w:snapToGrid w:val="0"/>
                <w:sz w:val="28"/>
                <w:szCs w:val="28"/>
                <w:lang w:eastAsia="ru-RU"/>
              </w:rPr>
              <w:t>УТВЕРЖДЕНА</w:t>
            </w:r>
          </w:p>
          <w:p w14:paraId="45F7C6C6" w14:textId="77777777" w:rsidR="00653617" w:rsidRPr="00B2573C" w:rsidRDefault="00523D82" w:rsidP="00F14BCD">
            <w:pPr>
              <w:autoSpaceDE w:val="0"/>
              <w:autoSpaceDN w:val="0"/>
              <w:spacing w:after="0" w:line="240" w:lineRule="auto"/>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 xml:space="preserve">Приказом </w:t>
            </w:r>
            <w:r w:rsidR="004C462F" w:rsidRPr="00B2573C">
              <w:rPr>
                <w:rFonts w:ascii="Times New Roman" w:eastAsia="Times New Roman" w:hAnsi="Times New Roman"/>
                <w:sz w:val="28"/>
                <w:szCs w:val="28"/>
                <w:lang w:eastAsia="ru-RU"/>
              </w:rPr>
              <w:t>П</w:t>
            </w:r>
            <w:r w:rsidRPr="00B2573C">
              <w:rPr>
                <w:rFonts w:ascii="Times New Roman" w:eastAsia="Times New Roman" w:hAnsi="Times New Roman"/>
                <w:sz w:val="28"/>
                <w:szCs w:val="28"/>
                <w:lang w:eastAsia="ru-RU"/>
              </w:rPr>
              <w:t xml:space="preserve">редседателя </w:t>
            </w:r>
          </w:p>
          <w:p w14:paraId="4D91677B" w14:textId="77777777" w:rsidR="00523D82" w:rsidRPr="00B2573C" w:rsidRDefault="007E702A" w:rsidP="00F14BCD">
            <w:pPr>
              <w:autoSpaceDE w:val="0"/>
              <w:autoSpaceDN w:val="0"/>
              <w:spacing w:after="0" w:line="240" w:lineRule="auto"/>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РГУ «</w:t>
            </w:r>
            <w:r w:rsidR="00523D82" w:rsidRPr="00B2573C">
              <w:rPr>
                <w:rFonts w:ascii="Times New Roman" w:eastAsia="Times New Roman" w:hAnsi="Times New Roman"/>
                <w:sz w:val="28"/>
                <w:szCs w:val="28"/>
                <w:lang w:eastAsia="ru-RU"/>
              </w:rPr>
              <w:t xml:space="preserve">Комитет </w:t>
            </w:r>
            <w:r w:rsidR="00B51483" w:rsidRPr="00B2573C">
              <w:rPr>
                <w:rFonts w:ascii="Times New Roman" w:eastAsia="Times New Roman" w:hAnsi="Times New Roman"/>
                <w:sz w:val="28"/>
                <w:szCs w:val="28"/>
                <w:lang w:eastAsia="ru-RU"/>
              </w:rPr>
              <w:t>медицинского и фармацевтического контроля</w:t>
            </w:r>
          </w:p>
          <w:p w14:paraId="5E3BB372" w14:textId="77777777" w:rsidR="00523D82" w:rsidRPr="00B2573C" w:rsidRDefault="00523D82" w:rsidP="00F14BCD">
            <w:pPr>
              <w:keepNext/>
              <w:autoSpaceDE w:val="0"/>
              <w:autoSpaceDN w:val="0"/>
              <w:spacing w:after="0" w:line="240" w:lineRule="auto"/>
              <w:outlineLvl w:val="2"/>
              <w:rPr>
                <w:rFonts w:ascii="Times New Roman" w:eastAsia="Times New Roman" w:hAnsi="Times New Roman"/>
                <w:bCs/>
                <w:sz w:val="28"/>
                <w:szCs w:val="28"/>
                <w:lang w:val="uk-UA" w:eastAsia="ru-RU"/>
              </w:rPr>
            </w:pPr>
            <w:r w:rsidRPr="00B2573C">
              <w:rPr>
                <w:rFonts w:ascii="Times New Roman" w:eastAsia="Times New Roman" w:hAnsi="Times New Roman"/>
                <w:bCs/>
                <w:sz w:val="28"/>
                <w:szCs w:val="28"/>
                <w:lang w:eastAsia="ru-RU"/>
              </w:rPr>
              <w:t>Министерства здравоохранения</w:t>
            </w:r>
            <w:r w:rsidRPr="00B2573C">
              <w:rPr>
                <w:rFonts w:ascii="Times New Roman" w:eastAsia="Times New Roman" w:hAnsi="Times New Roman"/>
                <w:bCs/>
                <w:sz w:val="28"/>
                <w:szCs w:val="28"/>
                <w:lang w:val="uk-UA" w:eastAsia="ru-RU"/>
              </w:rPr>
              <w:t xml:space="preserve"> </w:t>
            </w:r>
          </w:p>
          <w:p w14:paraId="33600D7B" w14:textId="77777777" w:rsidR="00523D82" w:rsidRPr="00B2573C" w:rsidRDefault="00523D82" w:rsidP="00F14BCD">
            <w:pPr>
              <w:keepNext/>
              <w:autoSpaceDE w:val="0"/>
              <w:autoSpaceDN w:val="0"/>
              <w:spacing w:after="0" w:line="240" w:lineRule="auto"/>
              <w:outlineLvl w:val="3"/>
              <w:rPr>
                <w:rFonts w:ascii="Times New Roman" w:eastAsia="Times New Roman" w:hAnsi="Times New Roman"/>
                <w:bCs/>
                <w:sz w:val="28"/>
                <w:szCs w:val="28"/>
                <w:lang w:eastAsia="ru-RU"/>
              </w:rPr>
            </w:pPr>
            <w:r w:rsidRPr="00B2573C">
              <w:rPr>
                <w:rFonts w:ascii="Times New Roman" w:eastAsia="Times New Roman" w:hAnsi="Times New Roman"/>
                <w:bCs/>
                <w:sz w:val="28"/>
                <w:szCs w:val="28"/>
                <w:lang w:eastAsia="ru-RU"/>
              </w:rPr>
              <w:t>Республики Казахстан</w:t>
            </w:r>
            <w:r w:rsidR="00F14BCD" w:rsidRPr="00B2573C">
              <w:rPr>
                <w:rFonts w:ascii="Times New Roman" w:eastAsia="Times New Roman" w:hAnsi="Times New Roman"/>
                <w:bCs/>
                <w:sz w:val="28"/>
                <w:szCs w:val="28"/>
                <w:lang w:eastAsia="ru-RU"/>
              </w:rPr>
              <w:t>»</w:t>
            </w:r>
          </w:p>
          <w:p w14:paraId="06F20533" w14:textId="4FFE9D19" w:rsidR="00523D82" w:rsidRPr="00B2573C" w:rsidRDefault="00523D82" w:rsidP="00F14BCD">
            <w:pPr>
              <w:autoSpaceDE w:val="0"/>
              <w:autoSpaceDN w:val="0"/>
              <w:spacing w:after="0" w:line="240" w:lineRule="auto"/>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от «</w:t>
            </w:r>
            <w:r w:rsidR="000B0C3E">
              <w:rPr>
                <w:rFonts w:ascii="Times New Roman" w:eastAsia="Times New Roman" w:hAnsi="Times New Roman"/>
                <w:sz w:val="28"/>
                <w:szCs w:val="28"/>
                <w:lang w:eastAsia="ru-RU"/>
              </w:rPr>
              <w:t>08</w:t>
            </w:r>
            <w:r w:rsidRPr="00B2573C">
              <w:rPr>
                <w:rFonts w:ascii="Times New Roman" w:eastAsia="Times New Roman" w:hAnsi="Times New Roman"/>
                <w:sz w:val="28"/>
                <w:szCs w:val="28"/>
                <w:lang w:eastAsia="ru-RU"/>
              </w:rPr>
              <w:t>»</w:t>
            </w:r>
            <w:r w:rsidR="000B0C3E">
              <w:rPr>
                <w:rFonts w:ascii="Times New Roman" w:eastAsia="Times New Roman" w:hAnsi="Times New Roman"/>
                <w:sz w:val="28"/>
                <w:szCs w:val="28"/>
                <w:lang w:eastAsia="ru-RU"/>
              </w:rPr>
              <w:t xml:space="preserve">   07   </w:t>
            </w:r>
            <w:r w:rsidRPr="00B2573C">
              <w:rPr>
                <w:rFonts w:ascii="Times New Roman" w:eastAsia="Times New Roman" w:hAnsi="Times New Roman"/>
                <w:sz w:val="28"/>
                <w:szCs w:val="28"/>
                <w:lang w:eastAsia="ru-RU"/>
              </w:rPr>
              <w:t>20</w:t>
            </w:r>
            <w:r w:rsidR="000B0C3E">
              <w:rPr>
                <w:rFonts w:ascii="Times New Roman" w:eastAsia="Times New Roman" w:hAnsi="Times New Roman"/>
                <w:sz w:val="28"/>
                <w:szCs w:val="28"/>
                <w:lang w:eastAsia="ru-RU"/>
              </w:rPr>
              <w:t xml:space="preserve">25 </w:t>
            </w:r>
            <w:r w:rsidRPr="00B2573C">
              <w:rPr>
                <w:rFonts w:ascii="Times New Roman" w:eastAsia="Times New Roman" w:hAnsi="Times New Roman"/>
                <w:sz w:val="28"/>
                <w:szCs w:val="28"/>
                <w:lang w:eastAsia="ru-RU"/>
              </w:rPr>
              <w:t>г.</w:t>
            </w:r>
          </w:p>
          <w:p w14:paraId="420516B7" w14:textId="3EEADAE3" w:rsidR="000B0C3E" w:rsidRPr="000B0C3E" w:rsidRDefault="000B0C3E" w:rsidP="000B0C3E">
            <w:pPr>
              <w:widowControl w:val="0"/>
              <w:spacing w:after="0" w:line="240" w:lineRule="auto"/>
              <w:rPr>
                <w:rFonts w:ascii="Times New Roman" w:eastAsia="Times New Roman" w:hAnsi="Times New Roman"/>
                <w:snapToGrid w:val="0"/>
                <w:sz w:val="28"/>
                <w:szCs w:val="28"/>
                <w:lang w:eastAsia="ru-RU"/>
              </w:rPr>
            </w:pPr>
            <w:r w:rsidRPr="000B0C3E">
              <w:rPr>
                <w:rFonts w:ascii="Times New Roman" w:eastAsia="Times New Roman" w:hAnsi="Times New Roman"/>
                <w:snapToGrid w:val="0"/>
                <w:sz w:val="28"/>
                <w:szCs w:val="28"/>
                <w:lang w:eastAsia="ru-RU"/>
              </w:rPr>
              <w:t>№N08</w:t>
            </w:r>
            <w:r>
              <w:rPr>
                <w:rFonts w:ascii="Times New Roman" w:eastAsia="Times New Roman" w:hAnsi="Times New Roman"/>
                <w:snapToGrid w:val="0"/>
                <w:sz w:val="28"/>
                <w:szCs w:val="28"/>
                <w:lang w:eastAsia="ru-RU"/>
              </w:rPr>
              <w:t>7242</w:t>
            </w:r>
            <w:r w:rsidRPr="000B0C3E">
              <w:rPr>
                <w:rFonts w:ascii="Times New Roman" w:eastAsia="Times New Roman" w:hAnsi="Times New Roman"/>
                <w:snapToGrid w:val="0"/>
                <w:sz w:val="28"/>
                <w:szCs w:val="28"/>
                <w:lang w:eastAsia="ru-RU"/>
              </w:rPr>
              <w:t xml:space="preserve"> (для Метапреднилон     4 мг)</w:t>
            </w:r>
          </w:p>
          <w:p w14:paraId="58453B8D" w14:textId="37FD30A4" w:rsidR="000B0C3E" w:rsidRPr="000B0C3E" w:rsidRDefault="000B0C3E" w:rsidP="000B0C3E">
            <w:pPr>
              <w:widowControl w:val="0"/>
              <w:spacing w:after="0" w:line="240" w:lineRule="auto"/>
              <w:rPr>
                <w:rFonts w:ascii="Times New Roman" w:eastAsia="Times New Roman" w:hAnsi="Times New Roman"/>
                <w:snapToGrid w:val="0"/>
                <w:sz w:val="28"/>
                <w:szCs w:val="28"/>
                <w:lang w:eastAsia="ru-RU"/>
              </w:rPr>
            </w:pPr>
            <w:r w:rsidRPr="000B0C3E">
              <w:rPr>
                <w:rFonts w:ascii="Times New Roman" w:eastAsia="Times New Roman" w:hAnsi="Times New Roman"/>
                <w:snapToGrid w:val="0"/>
                <w:sz w:val="28"/>
                <w:szCs w:val="28"/>
                <w:lang w:eastAsia="ru-RU"/>
              </w:rPr>
              <w:t>№N08</w:t>
            </w:r>
            <w:r w:rsidR="00794AED">
              <w:rPr>
                <w:rFonts w:ascii="Times New Roman" w:eastAsia="Times New Roman" w:hAnsi="Times New Roman"/>
                <w:snapToGrid w:val="0"/>
                <w:sz w:val="28"/>
                <w:szCs w:val="28"/>
                <w:lang w:eastAsia="ru-RU"/>
              </w:rPr>
              <w:t>7</w:t>
            </w:r>
            <w:r>
              <w:rPr>
                <w:rFonts w:ascii="Times New Roman" w:eastAsia="Times New Roman" w:hAnsi="Times New Roman"/>
                <w:snapToGrid w:val="0"/>
                <w:sz w:val="28"/>
                <w:szCs w:val="28"/>
                <w:lang w:eastAsia="ru-RU"/>
              </w:rPr>
              <w:t>276</w:t>
            </w:r>
            <w:r w:rsidRPr="000B0C3E">
              <w:rPr>
                <w:rFonts w:ascii="Times New Roman" w:eastAsia="Times New Roman" w:hAnsi="Times New Roman"/>
                <w:snapToGrid w:val="0"/>
                <w:sz w:val="28"/>
                <w:szCs w:val="28"/>
                <w:lang w:eastAsia="ru-RU"/>
              </w:rPr>
              <w:t xml:space="preserve"> (для Метапреднилон     8 мг)</w:t>
            </w:r>
          </w:p>
          <w:p w14:paraId="0DBE1D05" w14:textId="3549C422" w:rsidR="00523D82" w:rsidRPr="00B2573C" w:rsidRDefault="000B0C3E" w:rsidP="000B0C3E">
            <w:pPr>
              <w:widowControl w:val="0"/>
              <w:spacing w:after="0" w:line="240" w:lineRule="auto"/>
              <w:rPr>
                <w:rFonts w:ascii="Times New Roman" w:eastAsia="Batang" w:hAnsi="Times New Roman"/>
                <w:snapToGrid w:val="0"/>
                <w:sz w:val="28"/>
                <w:szCs w:val="28"/>
                <w:lang w:eastAsia="ru-RU"/>
              </w:rPr>
            </w:pPr>
            <w:r w:rsidRPr="000B0C3E">
              <w:rPr>
                <w:rFonts w:ascii="Times New Roman" w:eastAsia="Times New Roman" w:hAnsi="Times New Roman"/>
                <w:snapToGrid w:val="0"/>
                <w:sz w:val="28"/>
                <w:szCs w:val="28"/>
                <w:lang w:eastAsia="ru-RU"/>
              </w:rPr>
              <w:t>№N08</w:t>
            </w:r>
            <w:r w:rsidR="00794AED">
              <w:rPr>
                <w:rFonts w:ascii="Times New Roman" w:eastAsia="Times New Roman" w:hAnsi="Times New Roman"/>
                <w:snapToGrid w:val="0"/>
                <w:sz w:val="28"/>
                <w:szCs w:val="28"/>
                <w:lang w:eastAsia="ru-RU"/>
              </w:rPr>
              <w:t>7</w:t>
            </w:r>
            <w:r>
              <w:rPr>
                <w:rFonts w:ascii="Times New Roman" w:eastAsia="Times New Roman" w:hAnsi="Times New Roman"/>
                <w:snapToGrid w:val="0"/>
                <w:sz w:val="28"/>
                <w:szCs w:val="28"/>
                <w:lang w:eastAsia="ru-RU"/>
              </w:rPr>
              <w:t>239</w:t>
            </w:r>
            <w:r w:rsidRPr="000B0C3E">
              <w:rPr>
                <w:rFonts w:ascii="Times New Roman" w:eastAsia="Times New Roman" w:hAnsi="Times New Roman"/>
                <w:snapToGrid w:val="0"/>
                <w:sz w:val="28"/>
                <w:szCs w:val="28"/>
                <w:lang w:eastAsia="ru-RU"/>
              </w:rPr>
              <w:t xml:space="preserve"> (для Метапреднилон     16 мг)</w:t>
            </w:r>
          </w:p>
        </w:tc>
        <w:tc>
          <w:tcPr>
            <w:tcW w:w="4536" w:type="dxa"/>
          </w:tcPr>
          <w:p w14:paraId="516BF1BA" w14:textId="77777777" w:rsidR="00523D82" w:rsidRPr="00B2573C" w:rsidRDefault="00D46B0B" w:rsidP="00F14BCD">
            <w:pPr>
              <w:widowControl w:val="0"/>
              <w:spacing w:after="0" w:line="240" w:lineRule="auto"/>
              <w:jc w:val="center"/>
              <w:rPr>
                <w:rFonts w:ascii="Times New Roman" w:eastAsia="Times New Roman" w:hAnsi="Times New Roman"/>
                <w:b/>
                <w:snapToGrid w:val="0"/>
                <w:sz w:val="28"/>
                <w:szCs w:val="28"/>
                <w:lang w:eastAsia="ru-RU"/>
              </w:rPr>
            </w:pPr>
            <w:r w:rsidRPr="00B2573C">
              <w:rPr>
                <w:rFonts w:ascii="Times New Roman" w:eastAsia="Times New Roman" w:hAnsi="Times New Roman"/>
                <w:b/>
                <w:snapToGrid w:val="0"/>
                <w:sz w:val="28"/>
                <w:szCs w:val="28"/>
                <w:lang w:eastAsia="ru-RU"/>
              </w:rPr>
              <w:t xml:space="preserve"> </w:t>
            </w:r>
          </w:p>
        </w:tc>
      </w:tr>
    </w:tbl>
    <w:p w14:paraId="730DB02D" w14:textId="77777777" w:rsidR="00FF718B" w:rsidRPr="00B2573C" w:rsidRDefault="00FF718B" w:rsidP="00F14BCD">
      <w:pPr>
        <w:autoSpaceDE w:val="0"/>
        <w:autoSpaceDN w:val="0"/>
        <w:spacing w:after="0" w:line="240" w:lineRule="auto"/>
        <w:rPr>
          <w:rFonts w:ascii="Times New Roman" w:eastAsia="Times New Roman" w:hAnsi="Times New Roman"/>
          <w:b/>
          <w:sz w:val="28"/>
          <w:szCs w:val="28"/>
          <w:lang w:eastAsia="ru-RU"/>
        </w:rPr>
      </w:pPr>
    </w:p>
    <w:p w14:paraId="6F2C9479" w14:textId="77777777" w:rsidR="00D76048" w:rsidRPr="00B2573C" w:rsidRDefault="00D76048" w:rsidP="00F14BCD">
      <w:pPr>
        <w:autoSpaceDE w:val="0"/>
        <w:autoSpaceDN w:val="0"/>
        <w:spacing w:after="0" w:line="240" w:lineRule="auto"/>
        <w:jc w:val="center"/>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Инструкция по медицинскому применению</w:t>
      </w:r>
    </w:p>
    <w:p w14:paraId="1C48D5FA" w14:textId="77777777" w:rsidR="00D76048" w:rsidRPr="00B2573C" w:rsidRDefault="00D76048" w:rsidP="00F14BCD">
      <w:pPr>
        <w:autoSpaceDE w:val="0"/>
        <w:autoSpaceDN w:val="0"/>
        <w:spacing w:after="0" w:line="240" w:lineRule="auto"/>
        <w:jc w:val="center"/>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 xml:space="preserve">лекарственного </w:t>
      </w:r>
      <w:r w:rsidR="007D0E84" w:rsidRPr="00B2573C">
        <w:rPr>
          <w:rFonts w:ascii="Times New Roman" w:eastAsia="Times New Roman" w:hAnsi="Times New Roman"/>
          <w:b/>
          <w:sz w:val="28"/>
          <w:szCs w:val="28"/>
          <w:lang w:eastAsia="ru-RU"/>
        </w:rPr>
        <w:t>препарата</w:t>
      </w:r>
      <w:r w:rsidR="00AE7922" w:rsidRPr="00B2573C">
        <w:rPr>
          <w:rFonts w:ascii="Times New Roman" w:eastAsia="Times New Roman" w:hAnsi="Times New Roman"/>
          <w:b/>
          <w:sz w:val="28"/>
          <w:szCs w:val="28"/>
          <w:lang w:eastAsia="ru-RU"/>
        </w:rPr>
        <w:t xml:space="preserve"> (</w:t>
      </w:r>
      <w:r w:rsidR="002C1660" w:rsidRPr="00B2573C">
        <w:rPr>
          <w:rFonts w:ascii="Times New Roman" w:eastAsia="Times New Roman" w:hAnsi="Times New Roman"/>
          <w:b/>
          <w:sz w:val="28"/>
          <w:szCs w:val="28"/>
          <w:lang w:eastAsia="ru-RU"/>
        </w:rPr>
        <w:t>Л</w:t>
      </w:r>
      <w:r w:rsidR="00AE7922" w:rsidRPr="00B2573C">
        <w:rPr>
          <w:rFonts w:ascii="Times New Roman" w:eastAsia="Times New Roman" w:hAnsi="Times New Roman"/>
          <w:b/>
          <w:sz w:val="28"/>
          <w:szCs w:val="28"/>
          <w:lang w:eastAsia="ru-RU"/>
        </w:rPr>
        <w:t>исток-вкладыш)</w:t>
      </w:r>
    </w:p>
    <w:p w14:paraId="3145A094" w14:textId="77777777" w:rsidR="002C76D7" w:rsidRPr="00B2573C" w:rsidRDefault="002C76D7" w:rsidP="00F14BCD">
      <w:pPr>
        <w:autoSpaceDE w:val="0"/>
        <w:autoSpaceDN w:val="0"/>
        <w:spacing w:after="0" w:line="240" w:lineRule="auto"/>
        <w:jc w:val="both"/>
        <w:rPr>
          <w:rFonts w:ascii="Times New Roman" w:eastAsia="Times New Roman" w:hAnsi="Times New Roman"/>
          <w:b/>
          <w:sz w:val="28"/>
          <w:szCs w:val="28"/>
          <w:lang w:eastAsia="ru-RU"/>
        </w:rPr>
      </w:pPr>
    </w:p>
    <w:p w14:paraId="572E0F8D" w14:textId="77777777" w:rsidR="002C76D7" w:rsidRPr="00B2573C" w:rsidRDefault="00D76048" w:rsidP="00F14BCD">
      <w:pPr>
        <w:autoSpaceDE w:val="0"/>
        <w:autoSpaceDN w:val="0"/>
        <w:spacing w:after="0" w:line="240" w:lineRule="auto"/>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 xml:space="preserve">Торговое </w:t>
      </w:r>
      <w:r w:rsidR="00E55D6C" w:rsidRPr="00B2573C">
        <w:rPr>
          <w:rFonts w:ascii="Times New Roman" w:eastAsia="Times New Roman" w:hAnsi="Times New Roman"/>
          <w:b/>
          <w:sz w:val="28"/>
          <w:szCs w:val="28"/>
          <w:lang w:eastAsia="ru-RU"/>
        </w:rPr>
        <w:t>наименование</w:t>
      </w:r>
      <w:r w:rsidR="00AE7922" w:rsidRPr="00B2573C">
        <w:rPr>
          <w:rFonts w:ascii="Times New Roman" w:eastAsia="Times New Roman" w:hAnsi="Times New Roman"/>
          <w:b/>
          <w:sz w:val="28"/>
          <w:szCs w:val="28"/>
          <w:lang w:eastAsia="ru-RU"/>
        </w:rPr>
        <w:t xml:space="preserve"> </w:t>
      </w:r>
    </w:p>
    <w:p w14:paraId="1D17807F" w14:textId="77777777" w:rsidR="002C76D7" w:rsidRPr="00B2573C" w:rsidRDefault="00C9674F" w:rsidP="00F14BCD">
      <w:pPr>
        <w:autoSpaceDE w:val="0"/>
        <w:autoSpaceDN w:val="0"/>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Метапреднилон</w:t>
      </w:r>
    </w:p>
    <w:p w14:paraId="29A94DAC" w14:textId="77777777" w:rsidR="00A9476C" w:rsidRPr="00B2573C" w:rsidRDefault="00A9476C" w:rsidP="00F14BCD">
      <w:pPr>
        <w:autoSpaceDE w:val="0"/>
        <w:autoSpaceDN w:val="0"/>
        <w:spacing w:after="0" w:line="240" w:lineRule="auto"/>
        <w:jc w:val="both"/>
        <w:rPr>
          <w:rFonts w:ascii="Times New Roman" w:eastAsia="Times New Roman" w:hAnsi="Times New Roman"/>
          <w:sz w:val="28"/>
          <w:szCs w:val="28"/>
          <w:lang w:eastAsia="ru-RU"/>
        </w:rPr>
      </w:pPr>
    </w:p>
    <w:p w14:paraId="5F15888A" w14:textId="77777777" w:rsidR="002C76D7" w:rsidRPr="00B2573C" w:rsidRDefault="00AE7922" w:rsidP="00F14BCD">
      <w:pPr>
        <w:autoSpaceDE w:val="0"/>
        <w:autoSpaceDN w:val="0"/>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b/>
          <w:sz w:val="28"/>
          <w:szCs w:val="28"/>
          <w:lang w:eastAsia="ru-RU"/>
        </w:rPr>
        <w:t>Международное непатентованное название</w:t>
      </w:r>
    </w:p>
    <w:p w14:paraId="5823F3CB" w14:textId="77777777" w:rsidR="002C76D7" w:rsidRPr="00B2573C" w:rsidRDefault="00C9674F" w:rsidP="00F14BCD">
      <w:pPr>
        <w:autoSpaceDE w:val="0"/>
        <w:autoSpaceDN w:val="0"/>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Мет</w:t>
      </w:r>
      <w:r w:rsidR="00F22A17" w:rsidRPr="00B2573C">
        <w:rPr>
          <w:rFonts w:ascii="Times New Roman" w:eastAsia="Times New Roman" w:hAnsi="Times New Roman"/>
          <w:sz w:val="28"/>
          <w:szCs w:val="28"/>
          <w:lang w:eastAsia="ru-RU"/>
        </w:rPr>
        <w:t>ил</w:t>
      </w:r>
      <w:r w:rsidRPr="00B2573C">
        <w:rPr>
          <w:rFonts w:ascii="Times New Roman" w:eastAsia="Times New Roman" w:hAnsi="Times New Roman"/>
          <w:sz w:val="28"/>
          <w:szCs w:val="28"/>
          <w:lang w:eastAsia="ru-RU"/>
        </w:rPr>
        <w:t>преднизолон</w:t>
      </w:r>
    </w:p>
    <w:p w14:paraId="764C8E88" w14:textId="77777777" w:rsidR="00A9476C" w:rsidRPr="00B2573C" w:rsidRDefault="00A9476C" w:rsidP="00F14BCD">
      <w:pPr>
        <w:autoSpaceDE w:val="0"/>
        <w:autoSpaceDN w:val="0"/>
        <w:spacing w:after="0" w:line="240" w:lineRule="auto"/>
        <w:jc w:val="both"/>
        <w:rPr>
          <w:rFonts w:ascii="Times New Roman" w:eastAsia="Times New Roman" w:hAnsi="Times New Roman"/>
          <w:b/>
          <w:sz w:val="28"/>
          <w:szCs w:val="28"/>
          <w:lang w:eastAsia="ru-RU"/>
        </w:rPr>
      </w:pPr>
    </w:p>
    <w:p w14:paraId="7204E4CC" w14:textId="77777777" w:rsidR="00D76048" w:rsidRPr="00B2573C" w:rsidRDefault="002C76D7" w:rsidP="00F14BCD">
      <w:pPr>
        <w:autoSpaceDE w:val="0"/>
        <w:autoSpaceDN w:val="0"/>
        <w:spacing w:after="0" w:line="240" w:lineRule="auto"/>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 xml:space="preserve">Лекарственная форма, </w:t>
      </w:r>
      <w:r w:rsidR="00AE7922" w:rsidRPr="00B2573C">
        <w:rPr>
          <w:rFonts w:ascii="Times New Roman" w:eastAsia="Times New Roman" w:hAnsi="Times New Roman"/>
          <w:b/>
          <w:sz w:val="28"/>
          <w:szCs w:val="28"/>
          <w:lang w:eastAsia="ru-RU"/>
        </w:rPr>
        <w:t xml:space="preserve">дозировка  </w:t>
      </w:r>
    </w:p>
    <w:p w14:paraId="40CA6DCE" w14:textId="77777777" w:rsidR="00A9476C" w:rsidRPr="00B2573C" w:rsidRDefault="00A9476C" w:rsidP="00F14BCD">
      <w:pPr>
        <w:autoSpaceDE w:val="0"/>
        <w:autoSpaceDN w:val="0"/>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 xml:space="preserve">Таблетки, </w:t>
      </w:r>
      <w:r w:rsidR="00C9674F" w:rsidRPr="00B2573C">
        <w:rPr>
          <w:rFonts w:ascii="Times New Roman" w:eastAsia="Times New Roman" w:hAnsi="Times New Roman"/>
          <w:sz w:val="28"/>
          <w:szCs w:val="28"/>
          <w:lang w:eastAsia="ru-RU"/>
        </w:rPr>
        <w:t>4</w:t>
      </w:r>
      <w:r w:rsidRPr="00B2573C">
        <w:rPr>
          <w:rFonts w:ascii="Times New Roman" w:eastAsia="Times New Roman" w:hAnsi="Times New Roman"/>
          <w:sz w:val="28"/>
          <w:szCs w:val="28"/>
          <w:lang w:eastAsia="ru-RU"/>
        </w:rPr>
        <w:t xml:space="preserve"> мг</w:t>
      </w:r>
      <w:r w:rsidR="00C9674F" w:rsidRPr="00B2573C">
        <w:rPr>
          <w:rFonts w:ascii="Times New Roman" w:eastAsia="Times New Roman" w:hAnsi="Times New Roman"/>
          <w:sz w:val="28"/>
          <w:szCs w:val="28"/>
          <w:lang w:eastAsia="ru-RU"/>
        </w:rPr>
        <w:t>, 8 мг и 16 мг</w:t>
      </w:r>
    </w:p>
    <w:p w14:paraId="30E34FE1" w14:textId="77777777" w:rsidR="00B01011" w:rsidRPr="00B2573C" w:rsidRDefault="00B01011" w:rsidP="00F14BCD">
      <w:pPr>
        <w:autoSpaceDE w:val="0"/>
        <w:autoSpaceDN w:val="0"/>
        <w:spacing w:after="0" w:line="240" w:lineRule="auto"/>
        <w:jc w:val="both"/>
        <w:rPr>
          <w:rFonts w:ascii="Times New Roman" w:eastAsia="Times New Roman" w:hAnsi="Times New Roman"/>
          <w:sz w:val="28"/>
          <w:szCs w:val="28"/>
          <w:lang w:eastAsia="ru-RU"/>
        </w:rPr>
      </w:pPr>
    </w:p>
    <w:p w14:paraId="1B7C2EA0" w14:textId="77777777" w:rsidR="002C1660" w:rsidRPr="00B2573C" w:rsidRDefault="00AE7922" w:rsidP="00F14BCD">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B2573C">
        <w:rPr>
          <w:rFonts w:ascii="Times New Roman" w:eastAsia="Times New Roman" w:hAnsi="Times New Roman"/>
          <w:b/>
          <w:bCs/>
          <w:snapToGrid w:val="0"/>
          <w:sz w:val="28"/>
          <w:szCs w:val="28"/>
          <w:lang w:eastAsia="ru-RU"/>
        </w:rPr>
        <w:t>Фармакотерапевтическая</w:t>
      </w:r>
      <w:bookmarkEnd w:id="0"/>
      <w:r w:rsidRPr="00B2573C">
        <w:rPr>
          <w:rFonts w:ascii="Times New Roman" w:eastAsia="Times New Roman" w:hAnsi="Times New Roman"/>
          <w:b/>
          <w:bCs/>
          <w:snapToGrid w:val="0"/>
          <w:sz w:val="28"/>
          <w:szCs w:val="28"/>
          <w:lang w:eastAsia="ru-RU"/>
        </w:rPr>
        <w:t xml:space="preserve"> группа</w:t>
      </w:r>
      <w:r w:rsidR="002C1660" w:rsidRPr="00B2573C">
        <w:rPr>
          <w:rFonts w:ascii="Times New Roman" w:eastAsia="Times New Roman" w:hAnsi="Times New Roman"/>
          <w:b/>
          <w:bCs/>
          <w:snapToGrid w:val="0"/>
          <w:sz w:val="28"/>
          <w:szCs w:val="28"/>
          <w:lang w:eastAsia="ru-RU"/>
        </w:rPr>
        <w:t xml:space="preserve"> </w:t>
      </w:r>
    </w:p>
    <w:p w14:paraId="06157955" w14:textId="77777777" w:rsidR="00C9674F" w:rsidRPr="00B2573C" w:rsidRDefault="00C9674F" w:rsidP="00F14BCD">
      <w:pPr>
        <w:spacing w:after="0" w:line="240" w:lineRule="auto"/>
        <w:jc w:val="both"/>
        <w:rPr>
          <w:rFonts w:ascii="Times New Roman" w:hAnsi="Times New Roman"/>
          <w:sz w:val="28"/>
          <w:szCs w:val="28"/>
        </w:rPr>
      </w:pPr>
      <w:r w:rsidRPr="00B2573C">
        <w:rPr>
          <w:rFonts w:ascii="Times New Roman" w:hAnsi="Times New Roman"/>
          <w:sz w:val="28"/>
          <w:szCs w:val="28"/>
        </w:rPr>
        <w:t>Гормональные препараты системного действия, исключая половые гормоны и инсулины. Кортикостероиды для системного использования. Кортикостероиды для системного применения, простые. Глюкокортикоиды. Метилпреднизолон.</w:t>
      </w:r>
    </w:p>
    <w:p w14:paraId="00DC771E" w14:textId="77777777" w:rsidR="00F14BCD" w:rsidRPr="00B2573C" w:rsidRDefault="00C9674F" w:rsidP="00F14BCD">
      <w:pPr>
        <w:spacing w:after="0" w:line="240" w:lineRule="auto"/>
        <w:jc w:val="both"/>
        <w:rPr>
          <w:rFonts w:ascii="Times New Roman" w:hAnsi="Times New Roman"/>
          <w:sz w:val="28"/>
          <w:szCs w:val="28"/>
        </w:rPr>
      </w:pPr>
      <w:r w:rsidRPr="00B2573C">
        <w:rPr>
          <w:rFonts w:ascii="Times New Roman" w:hAnsi="Times New Roman"/>
          <w:sz w:val="28"/>
          <w:szCs w:val="28"/>
        </w:rPr>
        <w:t>Код АТХ Н02АВ04</w:t>
      </w:r>
    </w:p>
    <w:p w14:paraId="24D26715" w14:textId="77777777" w:rsidR="00F14BCD" w:rsidRPr="00B2573C" w:rsidRDefault="00F14BCD" w:rsidP="00F14BCD">
      <w:pPr>
        <w:spacing w:after="0" w:line="240" w:lineRule="auto"/>
        <w:jc w:val="both"/>
        <w:rPr>
          <w:rFonts w:ascii="Times New Roman" w:hAnsi="Times New Roman"/>
          <w:sz w:val="28"/>
          <w:szCs w:val="28"/>
        </w:rPr>
      </w:pPr>
    </w:p>
    <w:p w14:paraId="36C9586A" w14:textId="77777777" w:rsidR="002C76D7" w:rsidRPr="00B2573C" w:rsidRDefault="005444B2" w:rsidP="00F14BCD">
      <w:pPr>
        <w:spacing w:after="0" w:line="240" w:lineRule="auto"/>
        <w:jc w:val="both"/>
        <w:rPr>
          <w:rFonts w:ascii="Times New Roman" w:hAnsi="Times New Roman"/>
          <w:sz w:val="28"/>
          <w:szCs w:val="28"/>
        </w:rPr>
      </w:pPr>
      <w:r w:rsidRPr="00B2573C">
        <w:rPr>
          <w:rFonts w:ascii="Times New Roman" w:eastAsia="Times New Roman" w:hAnsi="Times New Roman"/>
          <w:b/>
          <w:bCs/>
          <w:sz w:val="28"/>
          <w:szCs w:val="28"/>
          <w:lang w:eastAsia="ru-RU"/>
        </w:rPr>
        <w:t>Показания к применению</w:t>
      </w:r>
      <w:r w:rsidR="002C76D7" w:rsidRPr="00B2573C">
        <w:rPr>
          <w:rFonts w:ascii="Times New Roman" w:hAnsi="Times New Roman"/>
          <w:color w:val="000000"/>
          <w:sz w:val="28"/>
          <w:szCs w:val="28"/>
        </w:rPr>
        <w:t xml:space="preserve"> </w:t>
      </w:r>
    </w:p>
    <w:p w14:paraId="655199EF"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Состояния, требующие системной или местной терапии глюкокортикоидами, особенно аутоиммунные заболевания:</w:t>
      </w:r>
    </w:p>
    <w:p w14:paraId="068B49A2"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воспалительные и системные ревматические заболевания (например, ревматоидный артрит, ювенильный ревматоидный артрит, анкилозирующий спондилоартрит)</w:t>
      </w:r>
    </w:p>
    <w:p w14:paraId="28947D3B"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коллагенозы (например, системная красная волчанка, системный дерматомиозит)</w:t>
      </w:r>
    </w:p>
    <w:p w14:paraId="63950ECF"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lastRenderedPageBreak/>
        <w:t>• аллергические состояния (например, реакции гиперчувствительности, сывороточная болезнь, аллергический контактный дерматит, анафилактический шок, астма)</w:t>
      </w:r>
    </w:p>
    <w:p w14:paraId="6865F4E3"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болезни легких (например, саркоидоз легких)</w:t>
      </w:r>
    </w:p>
    <w:p w14:paraId="2A709291"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для снижения внутричерепного давления (например, отек мозга на фоне новообразований)</w:t>
      </w:r>
    </w:p>
    <w:p w14:paraId="3BB37FF2"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реакции отторжения трансплантата</w:t>
      </w:r>
    </w:p>
    <w:p w14:paraId="70403463"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некоторые дерматологические заболевания (например, пузырчатка обыкновенная)</w:t>
      </w:r>
    </w:p>
    <w:p w14:paraId="6A26B31F"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гематологические заболевания (например, идиопатическая тромбоцитопеническая пурпура, аутоиммунная гемолитическая анемия)</w:t>
      </w:r>
    </w:p>
    <w:p w14:paraId="69B2A186"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опухолевые заболевания, в сочетании с цитостатической терапией (например, лейкемия, злокачественная лимфома)</w:t>
      </w:r>
    </w:p>
    <w:p w14:paraId="04EB75CA"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заболевания печени (например, аутоиммунные гепатиты)</w:t>
      </w:r>
    </w:p>
    <w:p w14:paraId="58126D45"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неврологические заболевания (например, рассеянный склероз, миастения)</w:t>
      </w:r>
    </w:p>
    <w:p w14:paraId="55F6D452"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заболевания глаз (например, увеит, неврит глазного нерва)</w:t>
      </w:r>
    </w:p>
    <w:p w14:paraId="793C28F9" w14:textId="77777777" w:rsidR="000027C1"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заболевания почек (например, гломерулонефрит)</w:t>
      </w:r>
    </w:p>
    <w:p w14:paraId="13FCDAD6" w14:textId="77777777" w:rsidR="00844CE8" w:rsidRPr="00B2573C" w:rsidRDefault="000027C1" w:rsidP="000027C1">
      <w:pPr>
        <w:spacing w:after="0" w:line="240" w:lineRule="auto"/>
        <w:jc w:val="both"/>
        <w:rPr>
          <w:rFonts w:ascii="Times New Roman" w:hAnsi="Times New Roman"/>
          <w:bCs/>
          <w:sz w:val="28"/>
          <w:szCs w:val="28"/>
        </w:rPr>
      </w:pPr>
      <w:r w:rsidRPr="00B2573C">
        <w:rPr>
          <w:rFonts w:ascii="Times New Roman" w:hAnsi="Times New Roman"/>
          <w:bCs/>
          <w:sz w:val="28"/>
          <w:szCs w:val="28"/>
        </w:rPr>
        <w:t>• желудочно-кишечные заболевания (например, неспецифический язвенный колит, болезнь Крона)</w:t>
      </w:r>
    </w:p>
    <w:p w14:paraId="6663F950" w14:textId="77777777" w:rsidR="000027C1" w:rsidRPr="00B2573C" w:rsidRDefault="000027C1" w:rsidP="000027C1">
      <w:pPr>
        <w:spacing w:after="0" w:line="240" w:lineRule="auto"/>
        <w:jc w:val="both"/>
        <w:rPr>
          <w:rFonts w:ascii="Times New Roman" w:eastAsia="Times New Roman" w:hAnsi="Times New Roman"/>
          <w:b/>
          <w:sz w:val="28"/>
          <w:szCs w:val="28"/>
          <w:lang w:eastAsia="ru-RU"/>
        </w:rPr>
      </w:pPr>
    </w:p>
    <w:p w14:paraId="24606D65" w14:textId="77777777" w:rsidR="00DB406A" w:rsidRPr="00B2573C" w:rsidRDefault="00DB406A" w:rsidP="00F14BCD">
      <w:pPr>
        <w:spacing w:after="0" w:line="240" w:lineRule="auto"/>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Перечень сведений, н</w:t>
      </w:r>
      <w:r w:rsidR="00844CE8" w:rsidRPr="00B2573C">
        <w:rPr>
          <w:rFonts w:ascii="Times New Roman" w:eastAsia="Times New Roman" w:hAnsi="Times New Roman"/>
          <w:b/>
          <w:sz w:val="28"/>
          <w:szCs w:val="28"/>
          <w:lang w:eastAsia="ru-RU"/>
        </w:rPr>
        <w:t>еобходимых до начала применения</w:t>
      </w:r>
    </w:p>
    <w:p w14:paraId="225194C9" w14:textId="77777777" w:rsidR="007D0E84" w:rsidRPr="00B2573C" w:rsidRDefault="007D0E84" w:rsidP="00F14BCD">
      <w:pPr>
        <w:spacing w:after="0" w:line="240" w:lineRule="auto"/>
        <w:jc w:val="both"/>
        <w:rPr>
          <w:rFonts w:ascii="Times New Roman" w:eastAsia="Times New Roman" w:hAnsi="Times New Roman"/>
          <w:b/>
          <w:i/>
          <w:sz w:val="28"/>
          <w:szCs w:val="28"/>
          <w:lang w:eastAsia="ru-RU"/>
        </w:rPr>
      </w:pPr>
      <w:r w:rsidRPr="00B2573C">
        <w:rPr>
          <w:rFonts w:ascii="Times New Roman" w:eastAsia="Times New Roman" w:hAnsi="Times New Roman"/>
          <w:b/>
          <w:i/>
          <w:sz w:val="28"/>
          <w:szCs w:val="28"/>
          <w:lang w:eastAsia="ru-RU"/>
        </w:rPr>
        <w:t>Противопоказания</w:t>
      </w:r>
    </w:p>
    <w:p w14:paraId="2EC5955F" w14:textId="77777777" w:rsidR="000027C1" w:rsidRPr="00B2573C" w:rsidRDefault="000027C1" w:rsidP="000027C1">
      <w:pPr>
        <w:spacing w:after="0" w:line="240" w:lineRule="auto"/>
        <w:jc w:val="both"/>
        <w:rPr>
          <w:rFonts w:ascii="Times New Roman" w:hAnsi="Times New Roman"/>
          <w:sz w:val="28"/>
          <w:szCs w:val="28"/>
        </w:rPr>
      </w:pPr>
      <w:r w:rsidRPr="00B2573C">
        <w:rPr>
          <w:rFonts w:ascii="Times New Roman" w:hAnsi="Times New Roman"/>
          <w:sz w:val="28"/>
          <w:szCs w:val="28"/>
        </w:rPr>
        <w:t>- повышенная чувствительность к метилпреднизолону или к вспомогательным веществам, перечисленным в разделе «Состав»</w:t>
      </w:r>
      <w:r w:rsidR="00D96CF9" w:rsidRPr="00B2573C">
        <w:rPr>
          <w:rFonts w:ascii="Times New Roman" w:hAnsi="Times New Roman"/>
          <w:sz w:val="28"/>
          <w:szCs w:val="28"/>
        </w:rPr>
        <w:t>;</w:t>
      </w:r>
    </w:p>
    <w:p w14:paraId="6D0039BF" w14:textId="77777777" w:rsidR="000027C1" w:rsidRPr="00B2573C" w:rsidRDefault="000027C1" w:rsidP="000027C1">
      <w:pPr>
        <w:spacing w:after="0" w:line="240" w:lineRule="auto"/>
        <w:jc w:val="both"/>
        <w:rPr>
          <w:rFonts w:ascii="Times New Roman" w:hAnsi="Times New Roman"/>
          <w:sz w:val="28"/>
          <w:szCs w:val="28"/>
        </w:rPr>
      </w:pPr>
      <w:r w:rsidRPr="00B2573C">
        <w:rPr>
          <w:rFonts w:ascii="Times New Roman" w:hAnsi="Times New Roman"/>
          <w:sz w:val="28"/>
          <w:szCs w:val="28"/>
        </w:rPr>
        <w:t>- системная грибковая инфекция</w:t>
      </w:r>
      <w:r w:rsidR="00D96CF9" w:rsidRPr="00B2573C">
        <w:rPr>
          <w:rFonts w:ascii="Times New Roman" w:hAnsi="Times New Roman"/>
          <w:sz w:val="28"/>
          <w:szCs w:val="28"/>
        </w:rPr>
        <w:t>.</w:t>
      </w:r>
    </w:p>
    <w:p w14:paraId="3CB4453B" w14:textId="77777777" w:rsidR="00FB552C" w:rsidRPr="00B2573C" w:rsidRDefault="000027C1" w:rsidP="000027C1">
      <w:pPr>
        <w:spacing w:after="0" w:line="240" w:lineRule="auto"/>
        <w:jc w:val="both"/>
        <w:rPr>
          <w:rFonts w:ascii="Times New Roman" w:hAnsi="Times New Roman"/>
          <w:sz w:val="28"/>
          <w:szCs w:val="28"/>
        </w:rPr>
      </w:pPr>
      <w:r w:rsidRPr="00B2573C">
        <w:rPr>
          <w:rFonts w:ascii="Times New Roman" w:hAnsi="Times New Roman"/>
          <w:sz w:val="28"/>
          <w:szCs w:val="28"/>
        </w:rPr>
        <w:t>Пациентам, получающим лечение ГКС в дозах, оказывающих иммунодепрессивное действие, не рекомендуется введение живых или живых аттенуированных вакцин</w:t>
      </w:r>
      <w:r w:rsidR="00D96CF9" w:rsidRPr="00B2573C">
        <w:rPr>
          <w:rFonts w:ascii="Times New Roman" w:hAnsi="Times New Roman"/>
          <w:sz w:val="28"/>
          <w:szCs w:val="28"/>
        </w:rPr>
        <w:t>.</w:t>
      </w:r>
    </w:p>
    <w:p w14:paraId="6AD0B130" w14:textId="77777777" w:rsidR="00FB552C" w:rsidRPr="00B2573C" w:rsidRDefault="00FB552C" w:rsidP="00FB552C">
      <w:pPr>
        <w:spacing w:after="0" w:line="240" w:lineRule="auto"/>
        <w:jc w:val="both"/>
        <w:rPr>
          <w:rFonts w:ascii="Times New Roman" w:eastAsia="Times New Roman" w:hAnsi="Times New Roman"/>
          <w:b/>
          <w:i/>
          <w:sz w:val="28"/>
          <w:szCs w:val="28"/>
          <w:lang w:eastAsia="ru-RU"/>
        </w:rPr>
      </w:pPr>
      <w:r w:rsidRPr="00B2573C">
        <w:rPr>
          <w:rFonts w:ascii="Times New Roman" w:eastAsia="Times New Roman" w:hAnsi="Times New Roman"/>
          <w:b/>
          <w:i/>
          <w:sz w:val="28"/>
          <w:szCs w:val="28"/>
          <w:lang w:eastAsia="ru-RU"/>
        </w:rPr>
        <w:t>Необходимые меры предосторожности при применении</w:t>
      </w:r>
    </w:p>
    <w:p w14:paraId="632A6696" w14:textId="77777777" w:rsidR="00FB552C" w:rsidRPr="00B2573C" w:rsidRDefault="00545FA8" w:rsidP="000027C1">
      <w:pPr>
        <w:spacing w:after="0" w:line="240" w:lineRule="auto"/>
        <w:jc w:val="both"/>
        <w:rPr>
          <w:rFonts w:ascii="Times New Roman" w:hAnsi="Times New Roman"/>
          <w:sz w:val="28"/>
          <w:szCs w:val="28"/>
        </w:rPr>
      </w:pPr>
      <w:r w:rsidRPr="00B2573C">
        <w:rPr>
          <w:rFonts w:ascii="Times New Roman" w:hAnsi="Times New Roman"/>
          <w:sz w:val="28"/>
          <w:szCs w:val="28"/>
        </w:rPr>
        <w:t>Метапреднилон содержит лактозу. Пациенты с редкими наследственными нарушениями переносимости галактозы, наследственным дефицитом Lapp-лактазы или синдромом мальабсорбции глюкозы-галактозы не должны принимать этот препарат.</w:t>
      </w:r>
    </w:p>
    <w:p w14:paraId="6CAE74E9" w14:textId="77777777" w:rsidR="007D0E84" w:rsidRPr="00B2573C" w:rsidRDefault="007D0E84" w:rsidP="000027C1">
      <w:pPr>
        <w:spacing w:after="0" w:line="240" w:lineRule="auto"/>
        <w:jc w:val="both"/>
        <w:rPr>
          <w:rFonts w:ascii="Times New Roman" w:eastAsia="Times New Roman" w:hAnsi="Times New Roman"/>
          <w:b/>
          <w:i/>
          <w:sz w:val="28"/>
          <w:szCs w:val="28"/>
          <w:lang w:eastAsia="ru-RU"/>
        </w:rPr>
      </w:pPr>
      <w:r w:rsidRPr="00B2573C">
        <w:rPr>
          <w:rFonts w:ascii="Times New Roman" w:eastAsia="Times New Roman" w:hAnsi="Times New Roman"/>
          <w:b/>
          <w:i/>
          <w:sz w:val="28"/>
          <w:szCs w:val="28"/>
          <w:lang w:eastAsia="ru-RU"/>
        </w:rPr>
        <w:t>Взаимодействия с другими лекарственными препаратами</w:t>
      </w:r>
    </w:p>
    <w:p w14:paraId="7BC8087A" w14:textId="77777777" w:rsidR="00D96CF9" w:rsidRPr="00B2573C" w:rsidRDefault="00D96CF9" w:rsidP="00D96CF9">
      <w:pPr>
        <w:pStyle w:val="afa"/>
        <w:suppressAutoHyphens/>
        <w:contextualSpacing/>
        <w:jc w:val="both"/>
        <w:rPr>
          <w:rFonts w:ascii="Times New Roman" w:hAnsi="Times New Roman"/>
          <w:sz w:val="28"/>
          <w:szCs w:val="28"/>
          <w:lang w:val="ru-RU"/>
        </w:rPr>
      </w:pPr>
      <w:bookmarkStart w:id="1" w:name="_Hlk170822758"/>
      <w:r w:rsidRPr="00B2573C">
        <w:rPr>
          <w:rFonts w:ascii="Times New Roman" w:hAnsi="Times New Roman"/>
          <w:sz w:val="28"/>
          <w:szCs w:val="28"/>
          <w:lang w:val="ru-RU"/>
        </w:rPr>
        <w:t xml:space="preserve">Метилпреднизолон является субстратом цитохрома </w:t>
      </w:r>
      <w:r w:rsidRPr="00B2573C">
        <w:rPr>
          <w:rFonts w:ascii="Times New Roman" w:hAnsi="Times New Roman"/>
          <w:sz w:val="28"/>
          <w:szCs w:val="28"/>
        </w:rPr>
        <w:t>P</w:t>
      </w:r>
      <w:r w:rsidRPr="00B2573C">
        <w:rPr>
          <w:rFonts w:ascii="Times New Roman" w:hAnsi="Times New Roman"/>
          <w:sz w:val="28"/>
          <w:szCs w:val="28"/>
          <w:lang w:val="ru-RU"/>
        </w:rPr>
        <w:t>450 (</w:t>
      </w:r>
      <w:r w:rsidRPr="00B2573C">
        <w:rPr>
          <w:rFonts w:ascii="Times New Roman" w:hAnsi="Times New Roman"/>
          <w:sz w:val="28"/>
          <w:szCs w:val="28"/>
        </w:rPr>
        <w:t>CYP</w:t>
      </w:r>
      <w:r w:rsidRPr="00B2573C">
        <w:rPr>
          <w:rFonts w:ascii="Times New Roman" w:hAnsi="Times New Roman"/>
          <w:sz w:val="28"/>
          <w:szCs w:val="28"/>
          <w:lang w:val="ru-RU"/>
        </w:rPr>
        <w:t xml:space="preserve">) и в основном метаболизируется изоферментом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 xml:space="preserve">4.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 xml:space="preserve">4 является доминирующим изоферментом наиболее распространенного подсемейства </w:t>
      </w:r>
      <w:r w:rsidRPr="00B2573C">
        <w:rPr>
          <w:rFonts w:ascii="Times New Roman" w:hAnsi="Times New Roman"/>
          <w:sz w:val="28"/>
          <w:szCs w:val="28"/>
        </w:rPr>
        <w:t>CYP</w:t>
      </w:r>
      <w:r w:rsidRPr="00B2573C">
        <w:rPr>
          <w:rFonts w:ascii="Times New Roman" w:hAnsi="Times New Roman"/>
          <w:sz w:val="28"/>
          <w:szCs w:val="28"/>
          <w:lang w:val="ru-RU"/>
        </w:rPr>
        <w:t xml:space="preserve"> в печени взрослых людей. Он катализирует 6</w:t>
      </w:r>
      <w:r w:rsidRPr="00B2573C">
        <w:rPr>
          <w:rFonts w:ascii="Times New Roman" w:hAnsi="Times New Roman"/>
          <w:sz w:val="28"/>
          <w:szCs w:val="28"/>
        </w:rPr>
        <w:t>β</w:t>
      </w:r>
      <w:r w:rsidRPr="00B2573C">
        <w:rPr>
          <w:rFonts w:ascii="Times New Roman" w:hAnsi="Times New Roman"/>
          <w:sz w:val="28"/>
          <w:szCs w:val="28"/>
          <w:lang w:val="ru-RU"/>
        </w:rPr>
        <w:t xml:space="preserve">-гидроксилирование стероидов, которое является важнейшей стадией метаболической фазы </w:t>
      </w:r>
      <w:r w:rsidRPr="00B2573C">
        <w:rPr>
          <w:rFonts w:ascii="Times New Roman" w:hAnsi="Times New Roman"/>
          <w:sz w:val="28"/>
          <w:szCs w:val="28"/>
        </w:rPr>
        <w:t>I</w:t>
      </w:r>
      <w:r w:rsidRPr="00B2573C">
        <w:rPr>
          <w:rFonts w:ascii="Times New Roman" w:hAnsi="Times New Roman"/>
          <w:sz w:val="28"/>
          <w:szCs w:val="28"/>
          <w:lang w:val="ru-RU"/>
        </w:rPr>
        <w:t xml:space="preserve"> для эндогенных и синтетических кортикостероидов. Многие другие соединения также являются субстратами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 xml:space="preserve">4, некоторые из которых (наряду с другими лекарственными средствами), как было показано, </w:t>
      </w:r>
      <w:r w:rsidRPr="00B2573C">
        <w:rPr>
          <w:rFonts w:ascii="Times New Roman" w:hAnsi="Times New Roman"/>
          <w:sz w:val="28"/>
          <w:szCs w:val="28"/>
          <w:lang w:val="ru-RU"/>
        </w:rPr>
        <w:lastRenderedPageBreak/>
        <w:t xml:space="preserve">изменяют метаболизм глюкокортикоидов за счет индукции (активации) или угнетения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4.</w:t>
      </w:r>
    </w:p>
    <w:p w14:paraId="43FA17A6"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i/>
          <w:sz w:val="28"/>
          <w:szCs w:val="28"/>
          <w:lang w:val="ru-RU"/>
        </w:rPr>
        <w:t xml:space="preserve">Ингибиторы изофермента </w:t>
      </w:r>
      <w:r w:rsidRPr="00B2573C">
        <w:rPr>
          <w:rFonts w:ascii="Times New Roman" w:hAnsi="Times New Roman"/>
          <w:i/>
          <w:sz w:val="28"/>
          <w:szCs w:val="28"/>
        </w:rPr>
        <w:t>CYP</w:t>
      </w:r>
      <w:r w:rsidRPr="00B2573C">
        <w:rPr>
          <w:rFonts w:ascii="Times New Roman" w:hAnsi="Times New Roman"/>
          <w:i/>
          <w:sz w:val="28"/>
          <w:szCs w:val="28"/>
          <w:lang w:val="ru-RU"/>
        </w:rPr>
        <w:t>3</w:t>
      </w:r>
      <w:r w:rsidRPr="00B2573C">
        <w:rPr>
          <w:rFonts w:ascii="Times New Roman" w:hAnsi="Times New Roman"/>
          <w:i/>
          <w:sz w:val="28"/>
          <w:szCs w:val="28"/>
        </w:rPr>
        <w:t>A</w:t>
      </w:r>
      <w:r w:rsidRPr="00B2573C">
        <w:rPr>
          <w:rFonts w:ascii="Times New Roman" w:hAnsi="Times New Roman"/>
          <w:i/>
          <w:sz w:val="28"/>
          <w:szCs w:val="28"/>
          <w:lang w:val="ru-RU"/>
        </w:rPr>
        <w:t>4</w:t>
      </w:r>
    </w:p>
    <w:p w14:paraId="6C6A015C"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xml:space="preserve">Лекарственные средства, которые угнетают активность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 xml:space="preserve">4, обычно снижают печеночный клиренс и повышают концентрацию в плазме крови лекарственных препаратов, которые являются субстратами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 xml:space="preserve">4, таких как метилпреднизолон. В случае присутствия ингибитора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4, следует титровать дозу метилпреднизолона, чтобы избежать явлений стероидной токсичности.</w:t>
      </w:r>
    </w:p>
    <w:p w14:paraId="39C32042" w14:textId="77777777" w:rsidR="00D96CF9" w:rsidRPr="00B2573C" w:rsidRDefault="00D96CF9" w:rsidP="00D96CF9">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Ожидается, что одновременный прием с ингибиторами CYP3A, такими как кобицистат, увеличивает риск побочных эффектов системных кортикостероидов. Следует избегать использования этой комбинации, если польза не превышает риска побочных эффектов системных кортикостероидов, в этом случае пациенты должны контролировать наличие побочных эффектов системных кортикостероидов.</w:t>
      </w:r>
    </w:p>
    <w:p w14:paraId="0DB944F1" w14:textId="77777777" w:rsidR="00D96CF9" w:rsidRPr="00B2573C" w:rsidRDefault="00D96CF9" w:rsidP="00D96CF9">
      <w:pPr>
        <w:spacing w:after="0" w:line="240" w:lineRule="auto"/>
        <w:jc w:val="both"/>
        <w:rPr>
          <w:rFonts w:ascii="Times New Roman" w:hAnsi="Times New Roman"/>
          <w:sz w:val="28"/>
          <w:szCs w:val="28"/>
        </w:rPr>
      </w:pPr>
      <w:r w:rsidRPr="00B2573C">
        <w:rPr>
          <w:rFonts w:ascii="Times New Roman" w:eastAsia="Times New Roman" w:hAnsi="Times New Roman"/>
          <w:sz w:val="28"/>
          <w:szCs w:val="28"/>
          <w:lang w:eastAsia="ru-RU"/>
        </w:rPr>
        <w:t xml:space="preserve">Эритромицин, кларитромицин, тролеандомицин, кетоконазол, итраконазол, изониазид, дилтиазем,мибефрадил, апрепитант, фозапрепитант, ингибиторы протеазы ВИЧ (индинавир, ритонавир), циклоспорин и этинилэстрадиол/норэтистерон являяются ингибиторами </w:t>
      </w:r>
      <w:r w:rsidRPr="00B2573C">
        <w:rPr>
          <w:rFonts w:ascii="Times New Roman" w:hAnsi="Times New Roman"/>
          <w:sz w:val="28"/>
          <w:szCs w:val="28"/>
        </w:rPr>
        <w:t>изофермента CYP3A4. Грейпфрутовый сок также является ингибитором изофермента CYP3A4.</w:t>
      </w:r>
    </w:p>
    <w:p w14:paraId="17969789"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i/>
          <w:sz w:val="28"/>
          <w:szCs w:val="28"/>
          <w:lang w:val="ru-RU"/>
        </w:rPr>
        <w:t xml:space="preserve">Индукторы изофермента </w:t>
      </w:r>
      <w:r w:rsidRPr="00B2573C">
        <w:rPr>
          <w:rFonts w:ascii="Times New Roman" w:hAnsi="Times New Roman"/>
          <w:i/>
          <w:sz w:val="28"/>
          <w:szCs w:val="28"/>
        </w:rPr>
        <w:t>CYP</w:t>
      </w:r>
      <w:r w:rsidRPr="00B2573C">
        <w:rPr>
          <w:rFonts w:ascii="Times New Roman" w:hAnsi="Times New Roman"/>
          <w:i/>
          <w:sz w:val="28"/>
          <w:szCs w:val="28"/>
          <w:lang w:val="ru-RU"/>
        </w:rPr>
        <w:t>3</w:t>
      </w:r>
      <w:r w:rsidRPr="00B2573C">
        <w:rPr>
          <w:rFonts w:ascii="Times New Roman" w:hAnsi="Times New Roman"/>
          <w:i/>
          <w:sz w:val="28"/>
          <w:szCs w:val="28"/>
        </w:rPr>
        <w:t>A</w:t>
      </w:r>
      <w:r w:rsidRPr="00B2573C">
        <w:rPr>
          <w:rFonts w:ascii="Times New Roman" w:hAnsi="Times New Roman"/>
          <w:i/>
          <w:sz w:val="28"/>
          <w:szCs w:val="28"/>
          <w:lang w:val="ru-RU"/>
        </w:rPr>
        <w:t>4</w:t>
      </w:r>
    </w:p>
    <w:p w14:paraId="07402F46"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xml:space="preserve">Лекарственные средства, которые индуцируют активность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 xml:space="preserve">4, обычно повышают печеночный клиренс и снижают концентрацию в плазме крови препаратов, которые являются субстратами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4. При совместном применении может потребоваться повышение дозы метилпреднизолона для получения желаемого эффекта.</w:t>
      </w:r>
    </w:p>
    <w:p w14:paraId="4462555D" w14:textId="77777777" w:rsidR="00D96CF9" w:rsidRPr="00B2573C" w:rsidRDefault="00D96CF9" w:rsidP="00D96CF9">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В данную группу входят такие препараты как рифампицин, карбамазепин, фенобарбитал, примидон и фенотоин.</w:t>
      </w:r>
    </w:p>
    <w:p w14:paraId="0B71AED3"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i/>
          <w:sz w:val="28"/>
          <w:szCs w:val="28"/>
          <w:lang w:val="ru-RU"/>
        </w:rPr>
        <w:t xml:space="preserve">Субстраты изофермента </w:t>
      </w:r>
      <w:r w:rsidRPr="00B2573C">
        <w:rPr>
          <w:rFonts w:ascii="Times New Roman" w:hAnsi="Times New Roman"/>
          <w:i/>
          <w:sz w:val="28"/>
          <w:szCs w:val="28"/>
        </w:rPr>
        <w:t>CYP</w:t>
      </w:r>
      <w:r w:rsidRPr="00B2573C">
        <w:rPr>
          <w:rFonts w:ascii="Times New Roman" w:hAnsi="Times New Roman"/>
          <w:i/>
          <w:sz w:val="28"/>
          <w:szCs w:val="28"/>
          <w:lang w:val="ru-RU"/>
        </w:rPr>
        <w:t>3</w:t>
      </w:r>
      <w:r w:rsidRPr="00B2573C">
        <w:rPr>
          <w:rFonts w:ascii="Times New Roman" w:hAnsi="Times New Roman"/>
          <w:i/>
          <w:sz w:val="28"/>
          <w:szCs w:val="28"/>
        </w:rPr>
        <w:t>A</w:t>
      </w:r>
      <w:r w:rsidRPr="00B2573C">
        <w:rPr>
          <w:rFonts w:ascii="Times New Roman" w:hAnsi="Times New Roman"/>
          <w:i/>
          <w:sz w:val="28"/>
          <w:szCs w:val="28"/>
          <w:lang w:val="ru-RU"/>
        </w:rPr>
        <w:t>4</w:t>
      </w:r>
    </w:p>
    <w:p w14:paraId="234C868F"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xml:space="preserve">В присутствии другого субстрата изофермента </w:t>
      </w:r>
      <w:r w:rsidRPr="00B2573C">
        <w:rPr>
          <w:rFonts w:ascii="Times New Roman" w:hAnsi="Times New Roman"/>
          <w:sz w:val="28"/>
          <w:szCs w:val="28"/>
        </w:rPr>
        <w:t>CYP</w:t>
      </w:r>
      <w:r w:rsidRPr="00B2573C">
        <w:rPr>
          <w:rFonts w:ascii="Times New Roman" w:hAnsi="Times New Roman"/>
          <w:sz w:val="28"/>
          <w:szCs w:val="28"/>
          <w:lang w:val="ru-RU"/>
        </w:rPr>
        <w:t>3</w:t>
      </w:r>
      <w:r w:rsidRPr="00B2573C">
        <w:rPr>
          <w:rFonts w:ascii="Times New Roman" w:hAnsi="Times New Roman"/>
          <w:sz w:val="28"/>
          <w:szCs w:val="28"/>
        </w:rPr>
        <w:t>A</w:t>
      </w:r>
      <w:r w:rsidRPr="00B2573C">
        <w:rPr>
          <w:rFonts w:ascii="Times New Roman" w:hAnsi="Times New Roman"/>
          <w:sz w:val="28"/>
          <w:szCs w:val="28"/>
          <w:lang w:val="ru-RU"/>
        </w:rPr>
        <w:t>4 печеночный клиренс метилпреднизолона может меняться, что может потребовать соответствующей коррекции дозы метилпреднизолона. Существует вероятность того, что побочные явления, проявляющиеся при применении препаратов в виде монотерапии, могут возникать чаще при одновременном применении препаратов.</w:t>
      </w:r>
    </w:p>
    <w:p w14:paraId="49D2CE60" w14:textId="77777777" w:rsidR="00D96CF9" w:rsidRPr="00B2573C" w:rsidRDefault="00D96CF9" w:rsidP="00D96CF9">
      <w:pPr>
        <w:spacing w:after="0" w:line="240" w:lineRule="auto"/>
        <w:jc w:val="both"/>
        <w:rPr>
          <w:rFonts w:ascii="Times New Roman" w:eastAsia="Times New Roman" w:hAnsi="Times New Roman"/>
          <w:color w:val="000000"/>
          <w:spacing w:val="-4"/>
          <w:sz w:val="28"/>
          <w:szCs w:val="28"/>
          <w:lang w:eastAsia="ru-RU"/>
        </w:rPr>
      </w:pPr>
      <w:bookmarkStart w:id="2" w:name="_Hlk95827001"/>
      <w:r w:rsidRPr="00B2573C">
        <w:rPr>
          <w:rFonts w:ascii="Times New Roman" w:eastAsia="Times New Roman" w:hAnsi="Times New Roman"/>
          <w:color w:val="000000"/>
          <w:spacing w:val="-4"/>
          <w:sz w:val="28"/>
          <w:szCs w:val="28"/>
          <w:lang w:eastAsia="ru-RU"/>
        </w:rPr>
        <w:t>Глюкокортикоиды, в том числе метилпреднизолон могут повышать концентрацию такролимуса в плазме при их совместном применении, при отмене кортикостероидов концентрация такролимуса в плазме повышается.</w:t>
      </w:r>
    </w:p>
    <w:bookmarkEnd w:id="2"/>
    <w:p w14:paraId="37441C15" w14:textId="77777777" w:rsidR="00D96CF9" w:rsidRPr="00B2573C" w:rsidRDefault="00D96CF9" w:rsidP="00D96CF9">
      <w:pPr>
        <w:spacing w:after="0" w:line="240" w:lineRule="auto"/>
        <w:jc w:val="both"/>
        <w:rPr>
          <w:rFonts w:ascii="Times New Roman" w:eastAsia="Times New Roman" w:hAnsi="Times New Roman"/>
          <w:color w:val="000000"/>
          <w:sz w:val="28"/>
          <w:szCs w:val="28"/>
          <w:lang w:eastAsia="ru-RU"/>
        </w:rPr>
      </w:pPr>
      <w:r w:rsidRPr="00B2573C">
        <w:rPr>
          <w:rFonts w:ascii="Times New Roman" w:eastAsia="Times New Roman" w:hAnsi="Times New Roman"/>
          <w:color w:val="000000"/>
          <w:sz w:val="28"/>
          <w:szCs w:val="28"/>
          <w:lang w:eastAsia="ru-RU"/>
        </w:rPr>
        <w:t xml:space="preserve">При одновременном применении метилпреднизолона и циклоспорина были отмечены случаи возникновения судорог. Поскольку одновременное введение этих препаратов вызывает взаимное торможение метаболизма, вероятно судороги и другие побочные эффекты связаны с применением </w:t>
      </w:r>
      <w:r w:rsidRPr="00B2573C">
        <w:rPr>
          <w:rFonts w:ascii="Times New Roman" w:eastAsia="Times New Roman" w:hAnsi="Times New Roman"/>
          <w:color w:val="000000"/>
          <w:sz w:val="28"/>
          <w:szCs w:val="28"/>
          <w:lang w:eastAsia="ru-RU"/>
        </w:rPr>
        <w:lastRenderedPageBreak/>
        <w:t>каждого из этих препаратов в качестве монотерапии, при их совместном применении могут возникать чаще.</w:t>
      </w:r>
    </w:p>
    <w:p w14:paraId="4AF617FC" w14:textId="77777777" w:rsidR="00D96CF9" w:rsidRPr="00B2573C" w:rsidRDefault="00D96CF9" w:rsidP="00D96CF9">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Метапреднилон обладает аддитивным иммуносупрессивным действием, что может повышать терапевтические эффекты или риск развития различных побочных реакций при приеме совместно с протеазами ВИЧ.</w:t>
      </w:r>
    </w:p>
    <w:p w14:paraId="5E030DE4" w14:textId="77777777" w:rsidR="00D96CF9" w:rsidRPr="00B2573C" w:rsidRDefault="00D96CF9" w:rsidP="00D96CF9">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Метилпреднизолон может влиять на скорость ацетилирования и клиренс изониазида.</w:t>
      </w:r>
    </w:p>
    <w:p w14:paraId="3638BA85" w14:textId="77777777" w:rsidR="00D96CF9" w:rsidRPr="00B2573C" w:rsidRDefault="00D96CF9" w:rsidP="00D96CF9">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8"/>
          <w:szCs w:val="28"/>
        </w:rPr>
      </w:pPr>
      <w:r w:rsidRPr="00B2573C">
        <w:rPr>
          <w:rFonts w:ascii="Times New Roman" w:hAnsi="Times New Roman"/>
          <w:i/>
          <w:sz w:val="28"/>
          <w:szCs w:val="28"/>
        </w:rPr>
        <w:t xml:space="preserve">Эффекты, не опосредованные изоферментом </w:t>
      </w:r>
      <w:r w:rsidRPr="00B2573C">
        <w:rPr>
          <w:rFonts w:ascii="Times New Roman" w:hAnsi="Times New Roman"/>
          <w:i/>
          <w:sz w:val="28"/>
          <w:szCs w:val="28"/>
          <w:lang w:val="en-GB"/>
        </w:rPr>
        <w:t>CYP</w:t>
      </w:r>
      <w:r w:rsidRPr="00B2573C">
        <w:rPr>
          <w:rFonts w:ascii="Times New Roman" w:hAnsi="Times New Roman"/>
          <w:i/>
          <w:sz w:val="28"/>
          <w:szCs w:val="28"/>
        </w:rPr>
        <w:t>3</w:t>
      </w:r>
      <w:r w:rsidRPr="00B2573C">
        <w:rPr>
          <w:rFonts w:ascii="Times New Roman" w:hAnsi="Times New Roman"/>
          <w:i/>
          <w:sz w:val="28"/>
          <w:szCs w:val="28"/>
          <w:lang w:val="en-GB"/>
        </w:rPr>
        <w:t>A</w:t>
      </w:r>
      <w:r w:rsidRPr="00B2573C">
        <w:rPr>
          <w:rFonts w:ascii="Times New Roman" w:hAnsi="Times New Roman"/>
          <w:i/>
          <w:sz w:val="28"/>
          <w:szCs w:val="28"/>
        </w:rPr>
        <w:t>4</w:t>
      </w:r>
      <w:r w:rsidRPr="00B2573C">
        <w:rPr>
          <w:rFonts w:ascii="Times New Roman" w:hAnsi="Times New Roman"/>
          <w:sz w:val="28"/>
          <w:szCs w:val="28"/>
        </w:rPr>
        <w:t xml:space="preserve"> </w:t>
      </w:r>
    </w:p>
    <w:p w14:paraId="3958603A" w14:textId="77777777" w:rsidR="00D96CF9" w:rsidRPr="00B2573C" w:rsidRDefault="00D96CF9" w:rsidP="00D96CF9">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color w:val="000000"/>
          <w:sz w:val="28"/>
          <w:szCs w:val="28"/>
        </w:rPr>
      </w:pPr>
      <w:r w:rsidRPr="00B2573C">
        <w:rPr>
          <w:rFonts w:ascii="Times New Roman" w:hAnsi="Times New Roman"/>
          <w:color w:val="000000"/>
          <w:sz w:val="28"/>
          <w:szCs w:val="28"/>
        </w:rPr>
        <w:t>Другие лекарственные взаимодействия и эффекты, связанные с применением метилпреднозолона описаны в таблице ниже.</w:t>
      </w:r>
    </w:p>
    <w:p w14:paraId="0E7057BB" w14:textId="77777777" w:rsidR="00D96CF9" w:rsidRPr="00B2573C" w:rsidRDefault="00D96CF9" w:rsidP="00D96CF9">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color w:val="000000" w:themeColor="text1"/>
          <w:sz w:val="28"/>
          <w:szCs w:val="28"/>
        </w:rPr>
      </w:pPr>
      <w:r w:rsidRPr="00B2573C">
        <w:rPr>
          <w:rFonts w:ascii="Times New Roman" w:hAnsi="Times New Roman"/>
          <w:bCs/>
          <w:color w:val="000000" w:themeColor="text1"/>
          <w:sz w:val="28"/>
          <w:szCs w:val="28"/>
        </w:rPr>
        <w:t>В таблице приведены перечень и описание наиболее распространенных и/или имеющих важное клиническое значение взаимодействий лекарственных средств и эффектов, связанных с применением метилпреднизолона.</w:t>
      </w:r>
    </w:p>
    <w:p w14:paraId="06E25F6D" w14:textId="77777777" w:rsidR="00D96CF9" w:rsidRPr="00B2573C" w:rsidRDefault="00D96CF9" w:rsidP="00D96CF9">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
          <w:bCs/>
          <w:iCs/>
          <w:sz w:val="28"/>
          <w:szCs w:val="28"/>
        </w:rPr>
      </w:pPr>
      <w:r w:rsidRPr="00B2573C">
        <w:rPr>
          <w:rFonts w:ascii="Times New Roman" w:hAnsi="Times New Roman"/>
          <w:b/>
          <w:bCs/>
          <w:iCs/>
          <w:sz w:val="28"/>
          <w:szCs w:val="28"/>
        </w:rPr>
        <w:t>Таблица 1. Важные взаимодействия/эффекты при совместном применении метилпреднизолона с другими лекарственными средствами или веществами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956"/>
      </w:tblGrid>
      <w:tr w:rsidR="00D96CF9" w:rsidRPr="00B2573C" w14:paraId="2DE7F776" w14:textId="77777777" w:rsidTr="005D59C7">
        <w:tc>
          <w:tcPr>
            <w:tcW w:w="4110" w:type="dxa"/>
          </w:tcPr>
          <w:p w14:paraId="35739ECE" w14:textId="77777777" w:rsidR="00D96CF9" w:rsidRPr="00B2573C" w:rsidRDefault="00D96CF9" w:rsidP="005D59C7">
            <w:pPr>
              <w:pStyle w:val="afa"/>
              <w:suppressAutoHyphens/>
              <w:contextualSpacing/>
              <w:jc w:val="both"/>
              <w:rPr>
                <w:rFonts w:ascii="Times New Roman" w:hAnsi="Times New Roman"/>
                <w:bCs/>
                <w:i/>
                <w:sz w:val="28"/>
                <w:szCs w:val="28"/>
                <w:lang w:val="ru-RU"/>
              </w:rPr>
            </w:pPr>
            <w:r w:rsidRPr="00B2573C">
              <w:rPr>
                <w:rFonts w:ascii="Times New Roman" w:hAnsi="Times New Roman"/>
                <w:b/>
                <w:bCs/>
                <w:sz w:val="28"/>
                <w:szCs w:val="28"/>
                <w:lang w:val="ru-RU"/>
              </w:rPr>
              <w:t>Класс или тип лекарственного средства - лекарственное средство или вещество</w:t>
            </w:r>
          </w:p>
        </w:tc>
        <w:tc>
          <w:tcPr>
            <w:tcW w:w="4956" w:type="dxa"/>
          </w:tcPr>
          <w:p w14:paraId="2FA0263E" w14:textId="77777777" w:rsidR="00D96CF9" w:rsidRPr="00B2573C" w:rsidRDefault="00D96CF9" w:rsidP="005D59C7">
            <w:pPr>
              <w:pStyle w:val="afa"/>
              <w:suppressAutoHyphens/>
              <w:contextualSpacing/>
              <w:jc w:val="both"/>
              <w:rPr>
                <w:rFonts w:ascii="Times New Roman" w:hAnsi="Times New Roman"/>
                <w:b/>
                <w:bCs/>
                <w:sz w:val="28"/>
                <w:szCs w:val="28"/>
                <w:lang w:val="ru-RU"/>
              </w:rPr>
            </w:pPr>
            <w:r w:rsidRPr="00B2573C">
              <w:rPr>
                <w:rFonts w:ascii="Times New Roman" w:hAnsi="Times New Roman"/>
                <w:b/>
                <w:bCs/>
                <w:sz w:val="28"/>
                <w:szCs w:val="28"/>
                <w:lang w:val="ru-RU"/>
              </w:rPr>
              <w:t>Взаимодействие</w:t>
            </w:r>
            <w:r w:rsidRPr="00B2573C">
              <w:rPr>
                <w:rFonts w:ascii="Times New Roman" w:hAnsi="Times New Roman"/>
                <w:b/>
                <w:bCs/>
                <w:sz w:val="28"/>
                <w:szCs w:val="28"/>
              </w:rPr>
              <w:t>/</w:t>
            </w:r>
            <w:r w:rsidRPr="00B2573C">
              <w:rPr>
                <w:rFonts w:ascii="Times New Roman" w:hAnsi="Times New Roman"/>
                <w:b/>
                <w:bCs/>
                <w:sz w:val="28"/>
                <w:szCs w:val="28"/>
                <w:lang w:val="ru-RU"/>
              </w:rPr>
              <w:t>эффект</w:t>
            </w:r>
          </w:p>
        </w:tc>
      </w:tr>
      <w:tr w:rsidR="00D96CF9" w:rsidRPr="00B2573C" w14:paraId="6FF9ED34" w14:textId="77777777" w:rsidTr="005D59C7">
        <w:tc>
          <w:tcPr>
            <w:tcW w:w="4110" w:type="dxa"/>
          </w:tcPr>
          <w:p w14:paraId="370D22AA"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Антибактериальные препараты - фторхинолоны</w:t>
            </w:r>
          </w:p>
        </w:tc>
        <w:tc>
          <w:tcPr>
            <w:tcW w:w="4956" w:type="dxa"/>
          </w:tcPr>
          <w:p w14:paraId="0DF7A176"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Совместное применение фторхинолона и глюкокортикостероидов повышает риск разрыв</w:t>
            </w:r>
            <w:r w:rsidRPr="00B2573C">
              <w:rPr>
                <w:rFonts w:ascii="Times New Roman" w:hAnsi="Times New Roman"/>
                <w:sz w:val="28"/>
                <w:szCs w:val="28"/>
              </w:rPr>
              <w:t>a</w:t>
            </w:r>
            <w:r w:rsidRPr="00B2573C">
              <w:rPr>
                <w:rFonts w:ascii="Times New Roman" w:hAnsi="Times New Roman"/>
                <w:sz w:val="28"/>
                <w:szCs w:val="28"/>
                <w:lang w:val="ru-RU"/>
              </w:rPr>
              <w:t xml:space="preserve"> сухожилия особенно у пожилых людей</w:t>
            </w:r>
          </w:p>
        </w:tc>
      </w:tr>
      <w:tr w:rsidR="00D96CF9" w:rsidRPr="00B2573C" w14:paraId="543C2DB3" w14:textId="77777777" w:rsidTr="005D59C7">
        <w:tc>
          <w:tcPr>
            <w:tcW w:w="4110" w:type="dxa"/>
          </w:tcPr>
          <w:p w14:paraId="620DCCB7"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xml:space="preserve">Пероральные антикоагулянты </w:t>
            </w:r>
          </w:p>
        </w:tc>
        <w:tc>
          <w:tcPr>
            <w:tcW w:w="4956" w:type="dxa"/>
          </w:tcPr>
          <w:p w14:paraId="467366D1"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Метилпреднизолон оказывает разнообразное влияние на действие пероральных антикоагулянтов. Сообщается как об усилении, так и об уменьшении эффекта антикоагулянтов при одновременном применении с кортикостероидами. Для поддержания необходимого антикоагулянтного эффекта необходим постоянный контроль коагулограммы.</w:t>
            </w:r>
          </w:p>
        </w:tc>
      </w:tr>
      <w:tr w:rsidR="00D96CF9" w:rsidRPr="00B2573C" w14:paraId="22DD8BD1" w14:textId="77777777" w:rsidTr="005D59C7">
        <w:tc>
          <w:tcPr>
            <w:tcW w:w="4110" w:type="dxa"/>
          </w:tcPr>
          <w:p w14:paraId="23B21AB3"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Н-холинолитики (миорелаксанты)</w:t>
            </w:r>
          </w:p>
          <w:p w14:paraId="02B7035F"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Блокаторы нейромышечной передачи</w:t>
            </w:r>
          </w:p>
        </w:tc>
        <w:tc>
          <w:tcPr>
            <w:tcW w:w="4956" w:type="dxa"/>
          </w:tcPr>
          <w:p w14:paraId="42090BC8"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Кортикостероиды могут влиять на действие холинолитических препаратов.</w:t>
            </w:r>
          </w:p>
          <w:p w14:paraId="7015E14E"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1. Сообщалось о случаях острой миопатии при одновременном применении высоких доз кортикостероидов и н-холинолитиков.</w:t>
            </w:r>
          </w:p>
          <w:p w14:paraId="12716287"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xml:space="preserve">2. Отмечался антагонизм эффекта блокады панкурония и векурония при </w:t>
            </w:r>
            <w:r w:rsidRPr="00B2573C">
              <w:rPr>
                <w:rFonts w:ascii="Times New Roman" w:hAnsi="Times New Roman"/>
                <w:sz w:val="28"/>
                <w:szCs w:val="28"/>
                <w:lang w:val="ru-RU"/>
              </w:rPr>
              <w:lastRenderedPageBreak/>
              <w:t>одновременном применении с кортикостероидами. Данный эффект можно ожидать при применении любых н-холинолитиков.</w:t>
            </w:r>
          </w:p>
        </w:tc>
      </w:tr>
      <w:tr w:rsidR="00D96CF9" w:rsidRPr="00B2573C" w14:paraId="69E5971E" w14:textId="77777777" w:rsidTr="005D59C7">
        <w:tc>
          <w:tcPr>
            <w:tcW w:w="4110" w:type="dxa"/>
          </w:tcPr>
          <w:p w14:paraId="2849A24D"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rPr>
              <w:lastRenderedPageBreak/>
              <w:t>Ингибиторы холинэстеразы</w:t>
            </w:r>
          </w:p>
        </w:tc>
        <w:tc>
          <w:tcPr>
            <w:tcW w:w="4956" w:type="dxa"/>
          </w:tcPr>
          <w:p w14:paraId="2BE4217E"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Стероиды могут снижать эффект ингибиторов холинэстеразы у пациентов с миастенией гравис.</w:t>
            </w:r>
          </w:p>
        </w:tc>
      </w:tr>
      <w:tr w:rsidR="00D96CF9" w:rsidRPr="00B2573C" w14:paraId="230B7408" w14:textId="77777777" w:rsidTr="005D59C7">
        <w:tc>
          <w:tcPr>
            <w:tcW w:w="4110" w:type="dxa"/>
          </w:tcPr>
          <w:p w14:paraId="27E34A84"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rPr>
            </w:pPr>
            <w:r w:rsidRPr="00B2573C">
              <w:rPr>
                <w:rFonts w:ascii="Times New Roman" w:hAnsi="Times New Roman"/>
                <w:sz w:val="28"/>
                <w:szCs w:val="28"/>
                <w:lang w:val="ru-RU"/>
              </w:rPr>
              <w:t>Гипогликемические препараты</w:t>
            </w:r>
          </w:p>
        </w:tc>
        <w:tc>
          <w:tcPr>
            <w:tcW w:w="4956" w:type="dxa"/>
          </w:tcPr>
          <w:p w14:paraId="55AE8404"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Так как кортикостероиды могут повышать концентрацию глюкозы в плазме крови, может потребоваться коррекция дозы гипогликемических препаратов.</w:t>
            </w:r>
          </w:p>
        </w:tc>
      </w:tr>
      <w:tr w:rsidR="00D96CF9" w:rsidRPr="00B2573C" w14:paraId="45971A89" w14:textId="77777777" w:rsidTr="005D59C7">
        <w:tc>
          <w:tcPr>
            <w:tcW w:w="4110" w:type="dxa"/>
          </w:tcPr>
          <w:p w14:paraId="096F23F0"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Ингибиторы ароматазы - аминоглутетимид</w:t>
            </w:r>
          </w:p>
        </w:tc>
        <w:tc>
          <w:tcPr>
            <w:tcW w:w="4956" w:type="dxa"/>
          </w:tcPr>
          <w:p w14:paraId="07C2572D"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Подавление функции надпочечников, индуцированное аминоглутетимидом, может усугублять эндокринные изменения, вызванные длительной терапией ГКС.</w:t>
            </w:r>
          </w:p>
        </w:tc>
      </w:tr>
      <w:tr w:rsidR="00D96CF9" w:rsidRPr="00B2573C" w14:paraId="3FA8A07D" w14:textId="77777777" w:rsidTr="005D59C7">
        <w:tc>
          <w:tcPr>
            <w:tcW w:w="4110" w:type="dxa"/>
          </w:tcPr>
          <w:p w14:paraId="50E1D4A8"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Иммунодепрессанты</w:t>
            </w:r>
          </w:p>
          <w:p w14:paraId="02A8178A"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p>
        </w:tc>
        <w:tc>
          <w:tcPr>
            <w:tcW w:w="4956" w:type="dxa"/>
          </w:tcPr>
          <w:p w14:paraId="059BA8D5"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Одновременное применение вызывает взаимное торможение метаболизма, что может привести к повышению концентрации в плазме крови одного или обоих препаратов. Поэтому вероятно, что побочные эффекты, связанные с применением каждого из этих препаратов в качестве монотерапии, при их совместном применении могут возникать чаще.</w:t>
            </w:r>
          </w:p>
        </w:tc>
      </w:tr>
      <w:tr w:rsidR="00D96CF9" w:rsidRPr="00B2573C" w14:paraId="0C5F5ECB" w14:textId="77777777" w:rsidTr="005D59C7">
        <w:tc>
          <w:tcPr>
            <w:tcW w:w="4110" w:type="dxa"/>
          </w:tcPr>
          <w:p w14:paraId="4321B338"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Нестероидные противовоспалительные препараты (НПВП) - высокие дозы ацетилсалициловой кислоты</w:t>
            </w:r>
          </w:p>
        </w:tc>
        <w:tc>
          <w:tcPr>
            <w:tcW w:w="4956" w:type="dxa"/>
          </w:tcPr>
          <w:p w14:paraId="7EE53166"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1. Вероятно повышение частоты случаев желудочно-кишечного кровотечения и образования язв при одновременном применении кортикостероидов и НПВП.</w:t>
            </w:r>
          </w:p>
          <w:p w14:paraId="39A50FE4"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2. Метилпреднизолон может увеличивать клиренс ацетилсалициловой кислоты, принимаемой в высоких дозах. Отмена терапии метилпреднизолоном может привести к повышению концентрации салицилатов в плазме крови, что может привести к увеличению риска токсичности салицилатов.</w:t>
            </w:r>
          </w:p>
        </w:tc>
      </w:tr>
      <w:tr w:rsidR="00D96CF9" w:rsidRPr="00B2573C" w14:paraId="5DB37FCC" w14:textId="77777777" w:rsidTr="005D59C7">
        <w:tc>
          <w:tcPr>
            <w:tcW w:w="4110" w:type="dxa"/>
          </w:tcPr>
          <w:p w14:paraId="41C457BB" w14:textId="77777777" w:rsidR="00D96CF9" w:rsidRPr="00B2573C" w:rsidRDefault="00D96CF9" w:rsidP="005D59C7">
            <w:pPr>
              <w:pStyle w:val="afa"/>
              <w:tabs>
                <w:tab w:val="center" w:pos="4320"/>
                <w:tab w:val="right" w:pos="8640"/>
              </w:tabs>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lastRenderedPageBreak/>
              <w:t>Препараты, снижающие концентрацию калия в плазме крови</w:t>
            </w:r>
          </w:p>
        </w:tc>
        <w:tc>
          <w:tcPr>
            <w:tcW w:w="4956" w:type="dxa"/>
          </w:tcPr>
          <w:p w14:paraId="24666D70"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 xml:space="preserve">При одновременном применении кортикостероидов и препаратов, снижающих концентрацию калия в плазме крови (например, диуретиков, амфотерицина В, слабительных), пациентов следует тщательно наблюдать на предмет развития гипокалиемии. </w:t>
            </w:r>
          </w:p>
          <w:p w14:paraId="088126A0" w14:textId="77777777" w:rsidR="00D96CF9" w:rsidRPr="00B2573C" w:rsidRDefault="00D96CF9" w:rsidP="005D59C7">
            <w:pPr>
              <w:pStyle w:val="afa"/>
              <w:suppressAutoHyphens/>
              <w:contextualSpacing/>
              <w:jc w:val="both"/>
              <w:rPr>
                <w:rFonts w:ascii="Times New Roman" w:hAnsi="Times New Roman"/>
                <w:sz w:val="28"/>
                <w:szCs w:val="28"/>
                <w:lang w:val="ru-RU"/>
              </w:rPr>
            </w:pPr>
            <w:r w:rsidRPr="00B2573C">
              <w:rPr>
                <w:rFonts w:ascii="Times New Roman" w:hAnsi="Times New Roman"/>
                <w:sz w:val="28"/>
                <w:szCs w:val="28"/>
                <w:lang w:val="ru-RU"/>
              </w:rPr>
              <w:t>Также следует учитывать, что существует повышенный риск развития гипокалиемии при одновременном применении кортикостероидов с ксантинами или β2-агонистами.</w:t>
            </w:r>
          </w:p>
        </w:tc>
      </w:tr>
    </w:tbl>
    <w:bookmarkEnd w:id="1"/>
    <w:p w14:paraId="4A3A8D60" w14:textId="77777777" w:rsidR="00D43297" w:rsidRPr="00B2573C" w:rsidRDefault="00D43297" w:rsidP="00F14BCD">
      <w:pPr>
        <w:spacing w:after="0" w:line="240" w:lineRule="auto"/>
        <w:jc w:val="both"/>
        <w:rPr>
          <w:rFonts w:ascii="Times New Roman" w:eastAsia="Times New Roman" w:hAnsi="Times New Roman"/>
          <w:b/>
          <w:i/>
          <w:sz w:val="28"/>
          <w:szCs w:val="28"/>
          <w:lang w:eastAsia="ru-RU"/>
        </w:rPr>
      </w:pPr>
      <w:r w:rsidRPr="00B2573C">
        <w:rPr>
          <w:rFonts w:ascii="Times New Roman" w:eastAsia="Times New Roman" w:hAnsi="Times New Roman"/>
          <w:b/>
          <w:i/>
          <w:sz w:val="28"/>
          <w:szCs w:val="28"/>
          <w:lang w:eastAsia="ru-RU"/>
        </w:rPr>
        <w:t>Специальные предупреждения</w:t>
      </w:r>
    </w:p>
    <w:p w14:paraId="434E74AA" w14:textId="77777777" w:rsidR="00CF4CC8" w:rsidRPr="00B2573C" w:rsidRDefault="00CF4CC8" w:rsidP="00CF4CC8">
      <w:pPr>
        <w:spacing w:after="0" w:line="240" w:lineRule="auto"/>
        <w:jc w:val="both"/>
        <w:rPr>
          <w:rFonts w:ascii="Times New Roman" w:eastAsia="Times New Roman" w:hAnsi="Times New Roman"/>
          <w:i/>
          <w:sz w:val="28"/>
          <w:szCs w:val="28"/>
          <w:lang w:eastAsia="ru-RU"/>
        </w:rPr>
      </w:pPr>
      <w:bookmarkStart w:id="3" w:name="_Hlk70410286"/>
      <w:r w:rsidRPr="00B2573C">
        <w:rPr>
          <w:rFonts w:ascii="Times New Roman" w:eastAsia="Times New Roman" w:hAnsi="Times New Roman"/>
          <w:i/>
          <w:sz w:val="28"/>
          <w:szCs w:val="28"/>
          <w:lang w:eastAsia="ru-RU"/>
        </w:rPr>
        <w:t>Иммунодепрессивные эффекты/повышенная восприимчивость к инфекциям</w:t>
      </w:r>
    </w:p>
    <w:p w14:paraId="33DE80F7"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Глюкокортикостероиды могут повышать восприимчивость к инфекциям, маскировать некоторые признаки инфекции. Кроме того, во время их приема возможно возникновение новых инфекций. Использование кортикостероидов может сопровождаться пониженной сопротивляемостью инфекции и невозможностью ее локализовать. Инфекции, вызванные бактериями, вирусами, грибками, простейшими или гельминтами, в каком-либо участке организма могут быть связаны с использованием только кортикостероидов или их комбинаций с другими иммунодепрессивными препаратами, влияющими на клеточный или гуморальный иммунитет, а также функцию нейтрофилов. Эти инфекции могут быть умеренными, тяжелыми и в некоторых случаях со смертельным исходом. По мере увеличения дозы кортикостероидов регистрируется большее число случаев инфицирования.</w:t>
      </w:r>
    </w:p>
    <w:p w14:paraId="7A064A16" w14:textId="77777777" w:rsidR="00CF4CC8" w:rsidRPr="00B2573C" w:rsidRDefault="00CF4CC8" w:rsidP="00CF4CC8">
      <w:pPr>
        <w:widowControl w:val="0"/>
        <w:spacing w:after="0" w:line="240" w:lineRule="auto"/>
        <w:ind w:right="56"/>
        <w:contextualSpacing/>
        <w:jc w:val="both"/>
        <w:rPr>
          <w:rFonts w:ascii="Times New Roman" w:hAnsi="Times New Roman"/>
          <w:sz w:val="28"/>
          <w:szCs w:val="28"/>
        </w:rPr>
      </w:pPr>
      <w:r w:rsidRPr="00B2573C">
        <w:rPr>
          <w:rFonts w:ascii="Times New Roman" w:hAnsi="Times New Roman"/>
          <w:sz w:val="28"/>
          <w:szCs w:val="28"/>
        </w:rPr>
        <w:t>Пациенты, получающие иммунодепрессивные препараты, более восприимчивы к инфекциям, чем здоровые люди. Ветряная оспа и корь, например, могут иметь более серьезное течение или даже смертельный исход у неиммунизированных детей или взрослых, получающих лечение кортикостероидами.</w:t>
      </w:r>
    </w:p>
    <w:p w14:paraId="5E551D56"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 xml:space="preserve">Возможно обострение сопутствующих заболеваний или активация скрыто протекающих заболеваний, вызванных возбудителями, такими как стронгилоидозом. Снижение иммунитета, вызванное кортикостероидами, может приводить к распространению заболевания (стронгилоидоза) и миграции личинок паразита. Также, возможно ухудшение заболевания с тяжелым воспалением тонкой и толстой кишки (энтероколитом) и смертельным септическим состоянием. </w:t>
      </w:r>
    </w:p>
    <w:p w14:paraId="02534317"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 xml:space="preserve">До конца не ясна роль кортикостероидов в развитии септического шока. В ранних исследованиях, были получены сообщения, как о полезных, так и о </w:t>
      </w:r>
      <w:r w:rsidRPr="00B2573C">
        <w:rPr>
          <w:rFonts w:ascii="Times New Roman" w:hAnsi="Times New Roman"/>
          <w:sz w:val="28"/>
          <w:szCs w:val="28"/>
        </w:rPr>
        <w:lastRenderedPageBreak/>
        <w:t>вредных эффектах. В последнее время было высказано предположение, что применение дополнительных кортикостероидов полезно для пациентов с установленным септическим шоком, у которых наблюдается надпочечниковая недостаточность. Однако их рутинное применение при септическом шоке не рекомендуется. Систематический обзор коротких курсов кортикостероидов с применением высоких доз не подтвердил их применение. Тем не менее, мета-анализы и один обзор литературных данных показывают, что более длительные курсы (5–11 дней) низких доз кортикостероидов могут снизить смертность, особенно у пациентов с вазопрессор-зависимым септическим шоком.</w:t>
      </w:r>
    </w:p>
    <w:p w14:paraId="4F416A79" w14:textId="77777777" w:rsidR="00CF4CC8" w:rsidRPr="00B2573C" w:rsidRDefault="00CF4CC8" w:rsidP="00CF4CC8">
      <w:pPr>
        <w:widowControl w:val="0"/>
        <w:spacing w:after="0" w:line="240" w:lineRule="auto"/>
        <w:contextualSpacing/>
        <w:jc w:val="both"/>
        <w:rPr>
          <w:rFonts w:ascii="Times New Roman" w:hAnsi="Times New Roman"/>
          <w:sz w:val="28"/>
          <w:szCs w:val="28"/>
        </w:rPr>
      </w:pPr>
      <w:r w:rsidRPr="00B2573C">
        <w:rPr>
          <w:rFonts w:ascii="Times New Roman" w:eastAsia="Times New Roman" w:hAnsi="Times New Roman"/>
          <w:sz w:val="28"/>
          <w:szCs w:val="28"/>
          <w:lang w:val="kk-KZ" w:eastAsia="ru-RU"/>
        </w:rPr>
        <w:t>Пациентам, получающим лечение ГКС в дозах, оказывающих иммунодепрессивное действие, не рекомендуется введение живых или живых аттенуированных вакцин.</w:t>
      </w:r>
      <w:r w:rsidRPr="00B2573C">
        <w:rPr>
          <w:rFonts w:ascii="Times New Roman" w:hAnsi="Times New Roman"/>
          <w:sz w:val="28"/>
          <w:szCs w:val="28"/>
        </w:rPr>
        <w:t xml:space="preserve"> Возможно введение неживых или инактивированных биогенетических вакцин, однако терапевтическая реакция на введение таких вакцин пациентам, получающим лечение ГКС в дозах, оказывающих иммунодепрессивное действие, может быть снижена или даже отсутствовать.</w:t>
      </w:r>
    </w:p>
    <w:p w14:paraId="1B9E88BE" w14:textId="77777777" w:rsidR="00CF4CC8" w:rsidRPr="00B2573C" w:rsidRDefault="00CF4CC8" w:rsidP="00CF4CC8">
      <w:pPr>
        <w:widowControl w:val="0"/>
        <w:spacing w:after="0" w:line="240" w:lineRule="auto"/>
        <w:contextualSpacing/>
        <w:jc w:val="both"/>
        <w:rPr>
          <w:rFonts w:ascii="Times New Roman" w:hAnsi="Times New Roman"/>
          <w:sz w:val="28"/>
          <w:szCs w:val="28"/>
        </w:rPr>
      </w:pPr>
      <w:r w:rsidRPr="00B2573C">
        <w:rPr>
          <w:rFonts w:ascii="Times New Roman" w:hAnsi="Times New Roman"/>
          <w:sz w:val="28"/>
          <w:szCs w:val="28"/>
        </w:rPr>
        <w:t>Использование кортикостероидов при активном туберкулезе должно быть ограничено</w:t>
      </w:r>
      <w:r w:rsidRPr="00B2573C">
        <w:rPr>
          <w:rFonts w:ascii="Times New Roman" w:hAnsi="Times New Roman"/>
          <w:sz w:val="28"/>
          <w:szCs w:val="28"/>
          <w:lang w:val="kk-KZ"/>
        </w:rPr>
        <w:t xml:space="preserve"> </w:t>
      </w:r>
      <w:r w:rsidRPr="00B2573C">
        <w:rPr>
          <w:rFonts w:ascii="Times New Roman" w:hAnsi="Times New Roman"/>
          <w:sz w:val="28"/>
          <w:szCs w:val="28"/>
        </w:rPr>
        <w:t>случаями фульминантного или диссеминированного туберкулеза, когда одновременно проводится соответствующая противотуберкулезная терапия.</w:t>
      </w:r>
    </w:p>
    <w:p w14:paraId="2BF090E7" w14:textId="77777777" w:rsidR="00CF4CC8" w:rsidRPr="00B2573C" w:rsidRDefault="00CF4CC8" w:rsidP="00CF4CC8">
      <w:pPr>
        <w:widowControl w:val="0"/>
        <w:spacing w:after="0" w:line="240" w:lineRule="auto"/>
        <w:contextualSpacing/>
        <w:jc w:val="both"/>
        <w:rPr>
          <w:rFonts w:ascii="Times New Roman" w:hAnsi="Times New Roman"/>
          <w:sz w:val="28"/>
          <w:szCs w:val="28"/>
        </w:rPr>
      </w:pPr>
      <w:r w:rsidRPr="00B2573C">
        <w:rPr>
          <w:rFonts w:ascii="Times New Roman" w:hAnsi="Times New Roman"/>
          <w:sz w:val="28"/>
          <w:szCs w:val="28"/>
        </w:rPr>
        <w:t>Если кортикостероиды показаны пациентам с латентным туберкулезом или реактивностью на туберкулин, необходимо тщательное наблюдение, так как возможно возобновление болезни. При длительной терапии кортикостероидами эти пациенты должны получать химиопрофилактику.</w:t>
      </w:r>
    </w:p>
    <w:p w14:paraId="46F3CA61" w14:textId="77777777" w:rsidR="00CF4CC8" w:rsidRPr="00B2573C" w:rsidRDefault="00CF4CC8" w:rsidP="00CF4CC8">
      <w:pPr>
        <w:widowControl w:val="0"/>
        <w:spacing w:after="0" w:line="240" w:lineRule="auto"/>
        <w:contextualSpacing/>
        <w:jc w:val="both"/>
        <w:rPr>
          <w:rFonts w:ascii="Times New Roman" w:hAnsi="Times New Roman"/>
          <w:sz w:val="28"/>
          <w:szCs w:val="28"/>
        </w:rPr>
      </w:pPr>
      <w:r w:rsidRPr="00B2573C">
        <w:rPr>
          <w:rFonts w:ascii="Times New Roman" w:hAnsi="Times New Roman"/>
          <w:sz w:val="28"/>
          <w:szCs w:val="28"/>
        </w:rPr>
        <w:t>Были получены сообщения о развитии саркомы Капоши у пациентов, получающих лечение кортикостероидами. Прекращение применения кортикостероидов может привести к клинической ремиссии.</w:t>
      </w:r>
    </w:p>
    <w:p w14:paraId="11A7CAA0" w14:textId="77777777" w:rsidR="00CF4CC8" w:rsidRPr="00B2573C" w:rsidRDefault="00CF4CC8" w:rsidP="00CF4CC8">
      <w:pPr>
        <w:widowControl w:val="0"/>
        <w:spacing w:after="0" w:line="240" w:lineRule="auto"/>
        <w:contextualSpacing/>
        <w:jc w:val="both"/>
        <w:rPr>
          <w:rFonts w:ascii="Times New Roman" w:hAnsi="Times New Roman"/>
          <w:i/>
          <w:sz w:val="28"/>
          <w:szCs w:val="28"/>
        </w:rPr>
      </w:pPr>
      <w:r w:rsidRPr="00B2573C">
        <w:rPr>
          <w:rFonts w:ascii="Times New Roman" w:hAnsi="Times New Roman"/>
          <w:i/>
          <w:sz w:val="28"/>
          <w:szCs w:val="28"/>
        </w:rPr>
        <w:t>Расстройства кровеносной и лимфатической систем</w:t>
      </w:r>
    </w:p>
    <w:p w14:paraId="6D15185D"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Ацетилсалициловую кислоту и нестероидные противовоспалительные средства следует применять с осторожностью в сочетании с кортикостероидами.</w:t>
      </w:r>
    </w:p>
    <w:p w14:paraId="5D54A97C" w14:textId="77777777" w:rsidR="00CF4CC8" w:rsidRPr="00B2573C" w:rsidRDefault="00CF4CC8" w:rsidP="00CF4CC8">
      <w:pPr>
        <w:widowControl w:val="0"/>
        <w:spacing w:after="0" w:line="240" w:lineRule="auto"/>
        <w:contextualSpacing/>
        <w:jc w:val="both"/>
        <w:rPr>
          <w:rFonts w:ascii="Times New Roman" w:hAnsi="Times New Roman"/>
          <w:i/>
          <w:sz w:val="28"/>
          <w:szCs w:val="28"/>
        </w:rPr>
      </w:pPr>
      <w:r w:rsidRPr="00B2573C">
        <w:rPr>
          <w:rFonts w:ascii="Times New Roman" w:hAnsi="Times New Roman"/>
          <w:i/>
          <w:sz w:val="28"/>
          <w:szCs w:val="28"/>
        </w:rPr>
        <w:t>Влияние на иммунную систему</w:t>
      </w:r>
    </w:p>
    <w:p w14:paraId="13F6E413" w14:textId="77777777" w:rsidR="00CF4CC8" w:rsidRPr="00B2573C" w:rsidRDefault="00CF4CC8" w:rsidP="00CF4CC8">
      <w:pPr>
        <w:widowControl w:val="0"/>
        <w:spacing w:after="0" w:line="240" w:lineRule="auto"/>
        <w:ind w:right="56"/>
        <w:contextualSpacing/>
        <w:jc w:val="both"/>
        <w:rPr>
          <w:rFonts w:ascii="Times New Roman" w:hAnsi="Times New Roman"/>
          <w:sz w:val="28"/>
          <w:szCs w:val="28"/>
          <w:lang w:val="kk-KZ"/>
        </w:rPr>
      </w:pPr>
      <w:r w:rsidRPr="00B2573C">
        <w:rPr>
          <w:rFonts w:ascii="Times New Roman" w:hAnsi="Times New Roman"/>
          <w:sz w:val="28"/>
          <w:szCs w:val="28"/>
          <w:lang w:val="kk-KZ"/>
        </w:rPr>
        <w:t>Могут развиваться аллергические реакции. Вследствие редких случаев возникновения кожных реакций и анафилактических/анафилактоидных реакций у пациентов, получающих лечение кортикостероидами, перед введением препарата необходимо принимать соответствующие меры профилактики, особенно если у пациента в анамнезе имеется аллергия на какой-либо лекарственный препарат.</w:t>
      </w:r>
    </w:p>
    <w:p w14:paraId="01986135" w14:textId="77777777" w:rsidR="00CF4CC8" w:rsidRPr="00B2573C" w:rsidRDefault="00CF4CC8" w:rsidP="00CF4CC8">
      <w:pPr>
        <w:widowControl w:val="0"/>
        <w:spacing w:after="0" w:line="240" w:lineRule="auto"/>
        <w:ind w:right="56"/>
        <w:contextualSpacing/>
        <w:jc w:val="both"/>
        <w:rPr>
          <w:rFonts w:ascii="Times New Roman" w:hAnsi="Times New Roman"/>
          <w:i/>
          <w:sz w:val="28"/>
          <w:szCs w:val="28"/>
          <w:lang w:val="kk-KZ"/>
        </w:rPr>
      </w:pPr>
      <w:r w:rsidRPr="00B2573C">
        <w:rPr>
          <w:rFonts w:ascii="Times New Roman" w:hAnsi="Times New Roman"/>
          <w:i/>
          <w:sz w:val="28"/>
          <w:szCs w:val="28"/>
          <w:lang w:val="kk-KZ"/>
        </w:rPr>
        <w:t>Влияние на эндокринную систему</w:t>
      </w:r>
    </w:p>
    <w:p w14:paraId="4DD5D97D" w14:textId="77777777" w:rsidR="00CF4CC8" w:rsidRPr="00B2573C" w:rsidRDefault="00CF4CC8" w:rsidP="00CF4CC8">
      <w:pPr>
        <w:widowControl w:val="0"/>
        <w:spacing w:after="0" w:line="240" w:lineRule="auto"/>
        <w:ind w:right="56"/>
        <w:contextualSpacing/>
        <w:jc w:val="both"/>
        <w:rPr>
          <w:rFonts w:ascii="Times New Roman" w:hAnsi="Times New Roman"/>
          <w:sz w:val="28"/>
          <w:szCs w:val="28"/>
          <w:lang w:val="kk-KZ"/>
        </w:rPr>
      </w:pPr>
      <w:r w:rsidRPr="00B2573C">
        <w:rPr>
          <w:rFonts w:ascii="Times New Roman" w:hAnsi="Times New Roman"/>
          <w:sz w:val="28"/>
          <w:szCs w:val="28"/>
          <w:lang w:val="kk-KZ"/>
        </w:rPr>
        <w:t>У пациентов, получающих кортикостероиды, подвергающихся необычному стрессу, может потребоваться повышенная доза быстро действующих кортикостероидов до, во время и после стрессовой ситуации.</w:t>
      </w:r>
    </w:p>
    <w:p w14:paraId="200562D6" w14:textId="77777777" w:rsidR="00CF4CC8" w:rsidRPr="00B2573C" w:rsidRDefault="00CF4CC8" w:rsidP="00CF4CC8">
      <w:pPr>
        <w:widowControl w:val="0"/>
        <w:spacing w:after="0" w:line="240" w:lineRule="auto"/>
        <w:ind w:right="56"/>
        <w:contextualSpacing/>
        <w:jc w:val="both"/>
        <w:rPr>
          <w:rFonts w:ascii="Times New Roman" w:hAnsi="Times New Roman"/>
          <w:sz w:val="28"/>
          <w:szCs w:val="28"/>
          <w:lang w:val="kk-KZ"/>
        </w:rPr>
      </w:pPr>
      <w:r w:rsidRPr="00B2573C">
        <w:rPr>
          <w:rFonts w:ascii="Times New Roman" w:hAnsi="Times New Roman"/>
          <w:sz w:val="28"/>
          <w:szCs w:val="28"/>
          <w:lang w:val="kk-KZ"/>
        </w:rPr>
        <w:lastRenderedPageBreak/>
        <w:t>Фармакологические дозы ГКС, применяемые в течение длительного периода, могут приводить к подавлению гипоталамо-гипофизарно-надпочечниковой (ГГН) системы (вторичная надпочечниковая недостаточность). Степень и продолжительность надпочечниковой недостаточности варьируют среди пациентов и зависят от дозы, частоты, времени введения и продолжительности терапии ГКС. Этот эффект может быть сведен к минимуму с помощью терапии «через день».</w:t>
      </w:r>
    </w:p>
    <w:p w14:paraId="09AD6331"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Кроме того, острая надпочечниковая недостаточность с летальным исходом может возникнуть при внезапном прекращении применения ГКС.</w:t>
      </w:r>
    </w:p>
    <w:p w14:paraId="5BC31229"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Вероятность возникновения медикаментозной вторичной недостаточности коры надпочечников можно уменьшить путем постепенного снижения дозы. Относительная недостаточность этого типа может длиться несколько месяцев после прекращения терапии; следовательно, при возникновении в ходе данного периода стресса гормональную терапию следует возобновить</w:t>
      </w:r>
      <w:bookmarkStart w:id="4" w:name="_Hlk95826654"/>
      <w:r w:rsidRPr="00B2573C">
        <w:rPr>
          <w:rFonts w:ascii="Times New Roman" w:eastAsia="Times New Roman" w:hAnsi="Times New Roman"/>
          <w:sz w:val="28"/>
          <w:szCs w:val="28"/>
          <w:lang w:eastAsia="ru-RU"/>
        </w:rPr>
        <w:t xml:space="preserve">. </w:t>
      </w:r>
      <w:bookmarkEnd w:id="4"/>
      <w:r w:rsidRPr="00B2573C">
        <w:rPr>
          <w:rFonts w:ascii="Times New Roman" w:hAnsi="Times New Roman"/>
          <w:sz w:val="28"/>
          <w:szCs w:val="28"/>
        </w:rPr>
        <w:t xml:space="preserve">При развитии медикаментозной недостаточности надпочечников может нарушаться выработка гормонов, контролирующих обмен солей и/или минералов. </w:t>
      </w:r>
    </w:p>
    <w:p w14:paraId="659C940C"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При сильном стрессе, врач может повысить дозу быстродействующих кортикостероидов пациентам, получавшим кортикостероиды до, во время и после стрессовой ситуации.</w:t>
      </w:r>
    </w:p>
    <w:p w14:paraId="42E87271"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Синдром отмены стероидов, по-видимому, не связанный с недостаточностью коры надпочечников, также может возникнуть после резкого прекращения приема ГКС. Этот синдром включает такие симптомы, как анорексия, тошнота, рвота, вялость, головная боль, лихорадка, боль в суставах, десквамация, миалгия, потеря веса и/или гипотензия. Считается, что эти эффекты обусловлены резким изменением концентрации ГКС, а не низким уровнем кортикостероидов.</w:t>
      </w:r>
    </w:p>
    <w:p w14:paraId="6A7B29F9"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Поскольку ГКС могут вызывать или обострять синдром Кушинга, следует избегать их применения у пациентов с данным синдромом.</w:t>
      </w:r>
    </w:p>
    <w:p w14:paraId="120615E5" w14:textId="77777777" w:rsidR="00CF4CC8"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Действие кортикостероидов усиливается у пациентов с гипотиреозом.</w:t>
      </w:r>
    </w:p>
    <w:p w14:paraId="0E829CE7" w14:textId="77777777" w:rsidR="00D02990" w:rsidRPr="00D02990" w:rsidRDefault="00D02990" w:rsidP="00D02990">
      <w:pPr>
        <w:spacing w:after="0" w:line="240" w:lineRule="auto"/>
        <w:contextualSpacing/>
        <w:jc w:val="both"/>
        <w:rPr>
          <w:rFonts w:ascii="Times New Roman" w:hAnsi="Times New Roman"/>
          <w:i/>
          <w:iCs/>
          <w:sz w:val="28"/>
          <w:szCs w:val="28"/>
        </w:rPr>
      </w:pPr>
      <w:r w:rsidRPr="00D02990">
        <w:rPr>
          <w:rFonts w:ascii="Times New Roman" w:hAnsi="Times New Roman"/>
          <w:i/>
          <w:iCs/>
          <w:sz w:val="28"/>
          <w:szCs w:val="28"/>
        </w:rPr>
        <w:t>Тиреотоксический периодический паралич (ТПП)</w:t>
      </w:r>
    </w:p>
    <w:p w14:paraId="43CA11ED" w14:textId="77777777" w:rsidR="00D02990" w:rsidRPr="002F7FAE" w:rsidRDefault="00D02990" w:rsidP="00D02990">
      <w:pPr>
        <w:spacing w:after="0" w:line="240" w:lineRule="auto"/>
        <w:contextualSpacing/>
        <w:jc w:val="both"/>
        <w:rPr>
          <w:rFonts w:ascii="Times New Roman" w:hAnsi="Times New Roman"/>
          <w:sz w:val="28"/>
          <w:szCs w:val="28"/>
        </w:rPr>
      </w:pPr>
      <w:r w:rsidRPr="002F7FAE">
        <w:rPr>
          <w:rFonts w:ascii="Times New Roman" w:hAnsi="Times New Roman"/>
          <w:sz w:val="28"/>
          <w:szCs w:val="28"/>
        </w:rPr>
        <w:t>Проконсультируйтесь со своим врачом или фармацевтом, прежде чем принимать Метапреднилон.</w:t>
      </w:r>
    </w:p>
    <w:p w14:paraId="3A1E79EE" w14:textId="77777777" w:rsidR="00D02990" w:rsidRPr="002F7FAE" w:rsidRDefault="00D02990" w:rsidP="00D02990">
      <w:pPr>
        <w:spacing w:after="0" w:line="240" w:lineRule="auto"/>
        <w:contextualSpacing/>
        <w:jc w:val="both"/>
        <w:rPr>
          <w:rFonts w:ascii="Times New Roman" w:hAnsi="Times New Roman"/>
          <w:sz w:val="28"/>
          <w:szCs w:val="28"/>
        </w:rPr>
      </w:pPr>
      <w:r w:rsidRPr="002F7FAE">
        <w:rPr>
          <w:rFonts w:ascii="Times New Roman" w:hAnsi="Times New Roman"/>
          <w:sz w:val="28"/>
          <w:szCs w:val="28"/>
        </w:rPr>
        <w:t>Тиреотоксический периодический паралич (ТПП) может возникать у пациентов с гипертиреозом и гипокалиемией, вызванной метилпреднизолоном.</w:t>
      </w:r>
    </w:p>
    <w:p w14:paraId="3E386837" w14:textId="77777777" w:rsidR="00D02990" w:rsidRPr="002F7FAE" w:rsidRDefault="00D02990" w:rsidP="00D02990">
      <w:pPr>
        <w:spacing w:after="0" w:line="240" w:lineRule="auto"/>
        <w:contextualSpacing/>
        <w:jc w:val="both"/>
        <w:rPr>
          <w:rFonts w:ascii="Times New Roman" w:hAnsi="Times New Roman"/>
          <w:sz w:val="28"/>
          <w:szCs w:val="28"/>
        </w:rPr>
      </w:pPr>
      <w:r w:rsidRPr="002F7FAE">
        <w:rPr>
          <w:rFonts w:ascii="Times New Roman" w:hAnsi="Times New Roman"/>
          <w:sz w:val="28"/>
          <w:szCs w:val="28"/>
        </w:rPr>
        <w:t>ТПП следует подозревать у пациентов, получающих лечение метилпреднизолон, у которых наблюдаются признаки или симптомы мышечной слабости, особенно у пациентов с гипертиреозом.</w:t>
      </w:r>
    </w:p>
    <w:p w14:paraId="1502EE22" w14:textId="77777777" w:rsidR="00D02990" w:rsidRPr="002F7FAE" w:rsidRDefault="00D02990" w:rsidP="00D02990">
      <w:pPr>
        <w:spacing w:after="0" w:line="240" w:lineRule="auto"/>
        <w:contextualSpacing/>
        <w:jc w:val="both"/>
        <w:rPr>
          <w:rFonts w:ascii="Times New Roman" w:hAnsi="Times New Roman"/>
          <w:sz w:val="28"/>
          <w:szCs w:val="28"/>
        </w:rPr>
      </w:pPr>
      <w:r w:rsidRPr="002F7FAE">
        <w:rPr>
          <w:rFonts w:ascii="Times New Roman" w:hAnsi="Times New Roman"/>
          <w:sz w:val="28"/>
          <w:szCs w:val="28"/>
        </w:rPr>
        <w:t>При подозрении на ТПП необходимо немедленно контролировать уровень калия в крови и принимать адекватные меры для обеспечения восстановления нормального уровня калия в крови.</w:t>
      </w:r>
    </w:p>
    <w:p w14:paraId="2C765443" w14:textId="77777777" w:rsidR="00D02990" w:rsidRDefault="00D02990" w:rsidP="00D02990">
      <w:pPr>
        <w:spacing w:after="0" w:line="240" w:lineRule="auto"/>
        <w:contextualSpacing/>
        <w:jc w:val="both"/>
        <w:rPr>
          <w:rFonts w:ascii="Times New Roman" w:hAnsi="Times New Roman"/>
          <w:sz w:val="28"/>
          <w:szCs w:val="28"/>
        </w:rPr>
      </w:pPr>
      <w:r w:rsidRPr="002F7FAE">
        <w:rPr>
          <w:rFonts w:ascii="Times New Roman" w:hAnsi="Times New Roman"/>
          <w:sz w:val="28"/>
          <w:szCs w:val="28"/>
        </w:rPr>
        <w:lastRenderedPageBreak/>
        <w:t>Если во время приема метилпреднизолона вы испытываете мышечную слабость, боли в мышцах, судороги и скованность, немедленно обратитесь к врачу. Это могут быть симптомы состояния, называемого тиреотоксическим периодическим параличом, которое может возникать у пациентов с гиперактивностью щитовидной железы (гипертиреозом), получающих лечение метилпреднизолоном. Возможно, вам потребуется дополнительное лечение для облегчения этого состояния.</w:t>
      </w:r>
    </w:p>
    <w:p w14:paraId="528B53DF" w14:textId="77777777" w:rsidR="00CF4CC8" w:rsidRPr="00B2573C" w:rsidRDefault="00CF4CC8" w:rsidP="00CF4CC8">
      <w:pPr>
        <w:spacing w:after="0" w:line="240" w:lineRule="auto"/>
        <w:contextualSpacing/>
        <w:jc w:val="both"/>
        <w:rPr>
          <w:rFonts w:ascii="Times New Roman" w:hAnsi="Times New Roman"/>
          <w:i/>
          <w:sz w:val="28"/>
          <w:szCs w:val="28"/>
        </w:rPr>
      </w:pPr>
      <w:r w:rsidRPr="00B2573C">
        <w:rPr>
          <w:rFonts w:ascii="Times New Roman" w:hAnsi="Times New Roman"/>
          <w:i/>
          <w:sz w:val="28"/>
          <w:szCs w:val="28"/>
        </w:rPr>
        <w:t>Метаболизм и питание</w:t>
      </w:r>
    </w:p>
    <w:p w14:paraId="461D816E"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 xml:space="preserve">Кортикостероиды, в том числе метилпреднизолон, могут повышать уровень глюкозы в крови, усугублять течение уже существующего диабета и предрасполагать к развитию сахарного диабета у пациентов, получающих длительную терапию кортикостероидами. </w:t>
      </w:r>
    </w:p>
    <w:p w14:paraId="74FB369E" w14:textId="77777777" w:rsidR="00CF4CC8" w:rsidRPr="00B2573C" w:rsidRDefault="00CF4CC8" w:rsidP="00CF4CC8">
      <w:pPr>
        <w:spacing w:after="0" w:line="240" w:lineRule="auto"/>
        <w:contextualSpacing/>
        <w:jc w:val="both"/>
        <w:rPr>
          <w:rFonts w:ascii="Times New Roman" w:hAnsi="Times New Roman"/>
          <w:i/>
          <w:sz w:val="28"/>
          <w:szCs w:val="28"/>
        </w:rPr>
      </w:pPr>
      <w:r w:rsidRPr="00B2573C">
        <w:rPr>
          <w:rFonts w:ascii="Times New Roman" w:hAnsi="Times New Roman"/>
          <w:i/>
          <w:sz w:val="28"/>
          <w:szCs w:val="28"/>
        </w:rPr>
        <w:t>Психиатрические эффекты</w:t>
      </w:r>
    </w:p>
    <w:p w14:paraId="646B4D8C"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Психические расстройства, начиная от эйфории, бессонницы, перепадов настроения, изменений личности и тяжелой депрессии до откровенных психотических проявлений, могут появляться во время лечения кортикостероидами. Существующая эмоциональная нестабильность или психотические тенденции могут также усугубляться кортикостероидами.</w:t>
      </w:r>
    </w:p>
    <w:p w14:paraId="038AE155"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Потенциально серьезные нежелательные психические реакции могут возникнуть при применении системных стероидов. Симптомы обычно появляются в течение нескольких дней или недель после начала лечения. Большинство реакций проходит после снижения дозы или отмены препарата, хотя может потребоваться специфическое лечение. Сообщалось о психологических эффектах после отмены кортикостероидов, частота которых неизвестна. Пациентам/лицам, осуществляющим уход, следует рекомендовать обратиться за медицинской помощью, если у пациента развиваются психологические симптомы, особенно при подозрении на наличие подавленного настроения или суицидальных мыслей. Пациенты/лица, осуществляющие уход, должны быть предупреждены о возможных психических расстройствах, которые могут возникнуть либо во время, либо сразу после снижения дозы/отмены системных стероидов.</w:t>
      </w:r>
    </w:p>
    <w:p w14:paraId="01F33BD2"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Особую осторожность следует проявлять при использовании системных кортикостероидов и мониторинге состояния пациента, если у пациента или его близкого родственника было тяжелое психическое расстройство (например, депрессия, биполярное расстройство или предшествующий кортикостероидный психоз).</w:t>
      </w:r>
    </w:p>
    <w:p w14:paraId="6B4A94C5"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Кортикостероиды следует применять с осторожностью у пациентов с эпилептическими расстройствами.</w:t>
      </w:r>
    </w:p>
    <w:p w14:paraId="273A2D3A"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 xml:space="preserve">Кортикостероиды следует применять с осторожностью у пациентов с миастенией </w:t>
      </w:r>
      <w:r w:rsidRPr="00B2573C">
        <w:rPr>
          <w:rFonts w:ascii="Times New Roman" w:hAnsi="Times New Roman"/>
          <w:sz w:val="28"/>
          <w:szCs w:val="28"/>
          <w:lang w:val="kk-KZ"/>
        </w:rPr>
        <w:t>Г</w:t>
      </w:r>
      <w:r w:rsidRPr="00B2573C">
        <w:rPr>
          <w:rFonts w:ascii="Times New Roman" w:hAnsi="Times New Roman"/>
          <w:sz w:val="28"/>
          <w:szCs w:val="28"/>
        </w:rPr>
        <w:t>равис (см. информацию по миопатии в разделе «Влияние на скелетно-мышечную систему» ниже).</w:t>
      </w:r>
    </w:p>
    <w:p w14:paraId="7DE5C496" w14:textId="77777777" w:rsidR="00CF4CC8" w:rsidRPr="00B2573C" w:rsidRDefault="00CF4CC8" w:rsidP="00CF4CC8">
      <w:pPr>
        <w:spacing w:after="0" w:line="240" w:lineRule="auto"/>
        <w:ind w:right="-1"/>
        <w:jc w:val="both"/>
        <w:rPr>
          <w:rFonts w:ascii="Times New Roman" w:eastAsia="Times New Roman" w:hAnsi="Times New Roman"/>
          <w:sz w:val="28"/>
          <w:szCs w:val="28"/>
        </w:rPr>
      </w:pPr>
      <w:r w:rsidRPr="00B2573C">
        <w:rPr>
          <w:rFonts w:ascii="Times New Roman" w:eastAsia="Times New Roman" w:hAnsi="Times New Roman"/>
          <w:sz w:val="28"/>
          <w:szCs w:val="28"/>
        </w:rPr>
        <w:lastRenderedPageBreak/>
        <w:t>Имеются сообщения об отложении жира в позвоночном канале после длительного приема больших доз кортикостероидов (эпидуральный липоматоз).</w:t>
      </w:r>
    </w:p>
    <w:p w14:paraId="72B3A95F" w14:textId="77777777" w:rsidR="00CF4CC8" w:rsidRPr="00B2573C" w:rsidRDefault="00CF4CC8" w:rsidP="00CF4CC8">
      <w:pPr>
        <w:spacing w:after="0" w:line="240" w:lineRule="auto"/>
        <w:jc w:val="both"/>
        <w:rPr>
          <w:rFonts w:ascii="Times New Roman" w:hAnsi="Times New Roman"/>
          <w:i/>
          <w:sz w:val="28"/>
          <w:szCs w:val="28"/>
        </w:rPr>
      </w:pPr>
      <w:r w:rsidRPr="00B2573C">
        <w:rPr>
          <w:rFonts w:ascii="Times New Roman" w:hAnsi="Times New Roman"/>
          <w:i/>
          <w:sz w:val="28"/>
          <w:szCs w:val="28"/>
        </w:rPr>
        <w:t>Влияние на зрение</w:t>
      </w:r>
    </w:p>
    <w:p w14:paraId="71759D84"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В связи с риском нарушения целостности роговицы следует соблюдать осторожность при использовании кортикостероидов при инфекции простого герпеса глаз. Тщательное наблюдение за пациентом также важно, если у пациента глаукома (в том числе у членов семьи).</w:t>
      </w:r>
    </w:p>
    <w:p w14:paraId="4828C278" w14:textId="77777777" w:rsidR="00CF4CC8" w:rsidRPr="00B2573C" w:rsidRDefault="00CF4CC8" w:rsidP="00CF4CC8">
      <w:pPr>
        <w:spacing w:after="0" w:line="240" w:lineRule="auto"/>
        <w:ind w:right="-1"/>
        <w:jc w:val="both"/>
        <w:rPr>
          <w:rFonts w:ascii="Times New Roman" w:hAnsi="Times New Roman"/>
          <w:sz w:val="28"/>
          <w:szCs w:val="28"/>
        </w:rPr>
      </w:pPr>
      <w:r w:rsidRPr="00B2573C">
        <w:rPr>
          <w:rFonts w:ascii="Times New Roman" w:hAnsi="Times New Roman"/>
          <w:sz w:val="28"/>
          <w:szCs w:val="28"/>
        </w:rPr>
        <w:t>При системном или местном применении кортикостероидов возможно нарушение зрения. Если пациент испытывает такие симптомы как нечеткость зрения или иные нарушения зрения, следует направить его к офтальмологу для оценки возможных причин, среди которых могут быть катаракта, глаукома или такие редкие заболевания как центральная серозная хориоретинопатия (ЦСХР), регистрируемые после применения системных и местных кортикостероидов.</w:t>
      </w:r>
    </w:p>
    <w:p w14:paraId="5EB956A0"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t>Длительное применение кортикостероидов может вызвать заднюю субкапсулярную катаракту и нуклеарную катаракту (особенно у детей), экзофтальм или повышение внутриглазного давления, что может привести к глаукоме с возможным повреждением зрительных нервов. Глюкокортикоиды также могут способствовать появлению вторичных грибковых или вирусных инфекций глаз.</w:t>
      </w:r>
    </w:p>
    <w:p w14:paraId="073D1A96" w14:textId="77777777" w:rsidR="00CF4CC8" w:rsidRPr="00B2573C" w:rsidRDefault="00CF4CC8" w:rsidP="00CF4CC8">
      <w:pPr>
        <w:spacing w:after="0" w:line="240" w:lineRule="auto"/>
        <w:ind w:right="-1"/>
        <w:jc w:val="both"/>
        <w:rPr>
          <w:rFonts w:ascii="Times New Roman" w:hAnsi="Times New Roman"/>
          <w:sz w:val="28"/>
          <w:szCs w:val="28"/>
        </w:rPr>
      </w:pPr>
      <w:r w:rsidRPr="00B2573C">
        <w:rPr>
          <w:rFonts w:ascii="Times New Roman" w:hAnsi="Times New Roman"/>
          <w:sz w:val="28"/>
          <w:szCs w:val="28"/>
        </w:rPr>
        <w:t>Терапия кортикостероидами была связана с центральной серозной хориоретинопатией, которая может привести к отслойке сетчатки.</w:t>
      </w:r>
    </w:p>
    <w:p w14:paraId="4E319387" w14:textId="77777777" w:rsidR="00CF4CC8" w:rsidRPr="00B2573C" w:rsidRDefault="00CF4CC8" w:rsidP="00CF4CC8">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i/>
          <w:sz w:val="28"/>
          <w:szCs w:val="28"/>
        </w:rPr>
      </w:pPr>
      <w:r w:rsidRPr="00B2573C">
        <w:rPr>
          <w:rFonts w:ascii="Times New Roman" w:hAnsi="Times New Roman"/>
          <w:i/>
          <w:sz w:val="28"/>
          <w:szCs w:val="28"/>
        </w:rPr>
        <w:t>Влияние на сердце</w:t>
      </w:r>
    </w:p>
    <w:p w14:paraId="5EF5943B" w14:textId="77777777" w:rsidR="00CF4CC8" w:rsidRPr="00B2573C" w:rsidRDefault="00CF4CC8" w:rsidP="00CF4CC8">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8"/>
          <w:szCs w:val="28"/>
        </w:rPr>
      </w:pPr>
      <w:r w:rsidRPr="00B2573C">
        <w:rPr>
          <w:rFonts w:ascii="Times New Roman" w:hAnsi="Times New Roman"/>
          <w:sz w:val="28"/>
          <w:szCs w:val="28"/>
        </w:rPr>
        <w:t>Побочные эффекты глюкокортикоидов на сердечно-сосудистую систему, такие как дислипидемия и артериальная гипертензия, могут повышать предрасположенность находящихся на лечении пациентов с другими существующими сердечно-сосудистыми факторами риска к дополнительным сердечно-сосудистым эффектам в случае длительного лечения высокими дозами. Таким образом, кортикостероиды следует применять с осторожностью у данных пациентов. Следует обращать внимание на изменения в степени риска и при необходимости проводить дополнительный кардиомониторинг. Низкая доза и применение через день могут снизить частоту осложнений.</w:t>
      </w:r>
    </w:p>
    <w:p w14:paraId="0E4494BF"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При застойной сердечной недостаточности и после недавнего инфаркта миокарда (риска разрыва миокарда), системные кортикостероиды применяют только в случае крайней необходимости. Пациенты должны находиться под пристальным наблюдением.</w:t>
      </w:r>
    </w:p>
    <w:p w14:paraId="780B19C8"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 xml:space="preserve">Стероиды следует применять с осторожностью у пациентов с артериальной гипертензией, так как риск развития повышенной артериальной гипертензии в дальнейшем повышается. Следует соблюдать осторожность при лечении пациентов, получающих кардиоактивные препараты, такие как </w:t>
      </w:r>
      <w:r w:rsidRPr="00B2573C">
        <w:rPr>
          <w:rFonts w:ascii="Times New Roman" w:hAnsi="Times New Roman"/>
          <w:sz w:val="28"/>
          <w:szCs w:val="28"/>
        </w:rPr>
        <w:lastRenderedPageBreak/>
        <w:t>дигоксин, так как при применении кортикостероидов возможны нарушения электролитного баланса и гипокалиемия.</w:t>
      </w:r>
    </w:p>
    <w:p w14:paraId="5CE908E9" w14:textId="77777777" w:rsidR="00CF4CC8" w:rsidRPr="00B2573C" w:rsidRDefault="00CF4CC8" w:rsidP="00CF4CC8">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8"/>
          <w:szCs w:val="28"/>
        </w:rPr>
      </w:pPr>
      <w:r w:rsidRPr="00B2573C">
        <w:rPr>
          <w:rFonts w:ascii="Times New Roman" w:hAnsi="Times New Roman"/>
          <w:sz w:val="28"/>
          <w:szCs w:val="28"/>
        </w:rPr>
        <w:t>Сообщалось о случаях тромбозов, включая венозную тромбоэмболию, при применении кортикостероидов. Поэтому кортикостероиды следует применять с осторожностью у пациентов, страдающих или имеющих предрасположенность к тромбоэмболическим осложнениям.</w:t>
      </w:r>
    </w:p>
    <w:p w14:paraId="7307CB34" w14:textId="77777777" w:rsidR="00CF4CC8" w:rsidRPr="00B2573C" w:rsidRDefault="00CF4CC8" w:rsidP="00CF4CC8">
      <w:pPr>
        <w:spacing w:after="0" w:line="240" w:lineRule="auto"/>
        <w:jc w:val="both"/>
        <w:rPr>
          <w:rFonts w:ascii="Times New Roman" w:hAnsi="Times New Roman"/>
          <w:i/>
          <w:sz w:val="28"/>
          <w:szCs w:val="28"/>
        </w:rPr>
      </w:pPr>
      <w:r w:rsidRPr="00B2573C">
        <w:rPr>
          <w:rFonts w:ascii="Times New Roman" w:hAnsi="Times New Roman"/>
          <w:i/>
          <w:sz w:val="28"/>
          <w:szCs w:val="28"/>
        </w:rPr>
        <w:t xml:space="preserve">Желудочно-кишечные эффекты </w:t>
      </w:r>
    </w:p>
    <w:p w14:paraId="0D0B6DB3"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 xml:space="preserve">Не существует единого мнения относительно того, связано ли развитие язвы желудка, которые развиваются во время лечения, с кортикостероидами. Однако лечение глюкокортикостероидами может маскировать симптомы пептической язвы, вследствие чего перфорация или кровотечение могут развиваться без значительной боли. Лечение глюкокортикостероидами может также маскировать признаки и симптомы перитонита или других желудочно-кишечных расстройств, таких как перфорация желудочно-кишечного тракта, непроходимости кишечника или воспаление поджелудочной железы. </w:t>
      </w:r>
    </w:p>
    <w:p w14:paraId="0A7C1D69" w14:textId="77777777" w:rsidR="00CF4CC8" w:rsidRPr="00B2573C" w:rsidRDefault="00CF4CC8" w:rsidP="00CF4CC8">
      <w:pPr>
        <w:spacing w:after="0" w:line="240" w:lineRule="auto"/>
        <w:ind w:right="-1"/>
        <w:jc w:val="both"/>
        <w:rPr>
          <w:rFonts w:ascii="Times New Roman" w:hAnsi="Times New Roman"/>
          <w:color w:val="000000"/>
          <w:spacing w:val="-3"/>
          <w:sz w:val="28"/>
          <w:szCs w:val="28"/>
        </w:rPr>
      </w:pPr>
      <w:r w:rsidRPr="00B2573C">
        <w:rPr>
          <w:rFonts w:ascii="Times New Roman" w:hAnsi="Times New Roman"/>
          <w:sz w:val="28"/>
          <w:szCs w:val="28"/>
        </w:rPr>
        <w:t>При комбинации с нестероидными противовоспалительными препаратами (НПВП)</w:t>
      </w:r>
      <w:r w:rsidRPr="00B2573C">
        <w:rPr>
          <w:rFonts w:ascii="Times New Roman" w:hAnsi="Times New Roman"/>
          <w:b/>
          <w:sz w:val="28"/>
          <w:szCs w:val="28"/>
        </w:rPr>
        <w:t>,</w:t>
      </w:r>
      <w:r w:rsidRPr="00B2573C">
        <w:rPr>
          <w:rFonts w:ascii="Times New Roman" w:hAnsi="Times New Roman"/>
          <w:sz w:val="28"/>
          <w:szCs w:val="28"/>
        </w:rPr>
        <w:t xml:space="preserve"> повышается риск развития язв ЖКТ.</w:t>
      </w:r>
      <w:r w:rsidRPr="00B2573C">
        <w:rPr>
          <w:rFonts w:ascii="Times New Roman" w:hAnsi="Times New Roman"/>
          <w:color w:val="000000"/>
          <w:spacing w:val="-3"/>
          <w:sz w:val="28"/>
          <w:szCs w:val="28"/>
        </w:rPr>
        <w:t xml:space="preserve"> </w:t>
      </w:r>
    </w:p>
    <w:p w14:paraId="5680ED28"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Кортикостероиды следует использовать с осторожностью у пациентов с риском перфорации, абсцесса или других гнойных инфекций у пациентов с неспецифическим язвенным колитом, плевральным выпотом, недавним кишечным анастомозом, активной или латентной язвенной болезнью.</w:t>
      </w:r>
    </w:p>
    <w:p w14:paraId="2B16F139"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Высокие дозы кортикостероидов могут вызвать острое воспаление поджелудочной железы.</w:t>
      </w:r>
    </w:p>
    <w:p w14:paraId="2A30DB72" w14:textId="77777777" w:rsidR="00CF4CC8" w:rsidRPr="00B2573C" w:rsidRDefault="00CF4CC8" w:rsidP="00CF4CC8">
      <w:pPr>
        <w:spacing w:after="0" w:line="240" w:lineRule="auto"/>
        <w:jc w:val="both"/>
        <w:rPr>
          <w:rFonts w:ascii="Times New Roman" w:hAnsi="Times New Roman"/>
          <w:i/>
          <w:sz w:val="28"/>
          <w:szCs w:val="28"/>
        </w:rPr>
      </w:pPr>
      <w:r w:rsidRPr="00B2573C">
        <w:rPr>
          <w:rFonts w:ascii="Times New Roman" w:hAnsi="Times New Roman"/>
          <w:i/>
          <w:sz w:val="28"/>
          <w:szCs w:val="28"/>
        </w:rPr>
        <w:t>Влияние на гепатобилиарную систему</w:t>
      </w:r>
    </w:p>
    <w:p w14:paraId="2F5F5FAF" w14:textId="77777777" w:rsidR="00CF4CC8" w:rsidRPr="00B2573C" w:rsidRDefault="00CF4CC8" w:rsidP="00CF4CC8">
      <w:pPr>
        <w:spacing w:after="0" w:line="240" w:lineRule="auto"/>
        <w:jc w:val="both"/>
        <w:rPr>
          <w:rFonts w:ascii="Times New Roman" w:hAnsi="Times New Roman"/>
          <w:sz w:val="32"/>
          <w:szCs w:val="32"/>
          <w:lang w:val="kk-KZ"/>
        </w:rPr>
      </w:pPr>
      <w:bookmarkStart w:id="5" w:name="_Hlk95826824"/>
      <w:r w:rsidRPr="00B2573C">
        <w:rPr>
          <w:rFonts w:ascii="Times New Roman" w:hAnsi="Times New Roman"/>
          <w:sz w:val="28"/>
          <w:szCs w:val="28"/>
        </w:rPr>
        <w:t>Высокие дозы кортикостероидов могут вызвать развитие заболеваний печени и желчевыводящих путей, которые обычно обратимы (после прекращения лечения). Следовательно, необходим надлежащий мониторинг</w:t>
      </w:r>
      <w:r w:rsidRPr="00B2573C">
        <w:rPr>
          <w:rFonts w:ascii="Times New Roman" w:hAnsi="Times New Roman"/>
          <w:sz w:val="32"/>
          <w:szCs w:val="32"/>
        </w:rPr>
        <w:t>.</w:t>
      </w:r>
      <w:r w:rsidRPr="00B2573C">
        <w:rPr>
          <w:rFonts w:ascii="Times New Roman" w:hAnsi="Times New Roman"/>
          <w:sz w:val="32"/>
          <w:szCs w:val="32"/>
          <w:lang w:val="kk-KZ"/>
        </w:rPr>
        <w:t xml:space="preserve"> </w:t>
      </w:r>
      <w:r w:rsidRPr="00B2573C">
        <w:rPr>
          <w:rFonts w:ascii="Times New Roman" w:hAnsi="Times New Roman"/>
          <w:sz w:val="28"/>
          <w:szCs w:val="28"/>
          <w:lang w:val="kk-KZ"/>
        </w:rPr>
        <w:t>Отмечается усиление эффектов кортикостероидов у пациентов с циррозом печени.</w:t>
      </w:r>
    </w:p>
    <w:bookmarkEnd w:id="5"/>
    <w:p w14:paraId="78E68A0C" w14:textId="77777777" w:rsidR="00CF4CC8" w:rsidRPr="00B2573C" w:rsidRDefault="00CF4CC8" w:rsidP="00CF4CC8">
      <w:pPr>
        <w:widowControl w:val="0"/>
        <w:spacing w:after="0" w:line="240" w:lineRule="auto"/>
        <w:contextualSpacing/>
        <w:jc w:val="both"/>
        <w:rPr>
          <w:rStyle w:val="TableText9"/>
          <w:bCs/>
          <w:i/>
          <w:sz w:val="28"/>
          <w:szCs w:val="28"/>
        </w:rPr>
      </w:pPr>
      <w:r w:rsidRPr="00B2573C">
        <w:rPr>
          <w:rStyle w:val="TableText9"/>
          <w:bCs/>
          <w:i/>
          <w:sz w:val="28"/>
          <w:szCs w:val="28"/>
        </w:rPr>
        <w:t>Влияние на скелетно-мышечную систему</w:t>
      </w:r>
    </w:p>
    <w:p w14:paraId="3F4AE785"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t>Сообщалось о случаях острой миопатии при использовании высоких доз кортикостероидов, как правило, у пациентов с нарушениями нервно-мышечной передачи (например, миастенией) или у пациентов, получающих одновременно лечение антихолинергическими препаратами, такими как нервно-мышечные блокаторы (например, панкуронием). Острая миопатия носит генерализованный характер, может воздействовать на глазные мышцы и дыхательные мышцы и привести к тетрапарезу. Возможно повышение уровней креатинкиназы. После прекращения лечения кортикостероидами возникновение клинического улучшения или восстановление может занять от нескольких недель до нескольких лет.</w:t>
      </w:r>
    </w:p>
    <w:p w14:paraId="37A0A837"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lastRenderedPageBreak/>
        <w:t>Остеопороз является частым, но редко распознаваемым побочным эффектом, связанный с длительным применением высоких доз глюкокортикоидов.</w:t>
      </w:r>
    </w:p>
    <w:p w14:paraId="29622A16" w14:textId="77777777" w:rsidR="00CF4CC8" w:rsidRPr="00B2573C" w:rsidRDefault="00CF4CC8" w:rsidP="00CF4CC8">
      <w:pPr>
        <w:spacing w:after="0" w:line="240" w:lineRule="auto"/>
        <w:contextualSpacing/>
        <w:jc w:val="both"/>
        <w:rPr>
          <w:rFonts w:ascii="Times New Roman" w:hAnsi="Times New Roman"/>
          <w:bCs/>
          <w:i/>
          <w:sz w:val="28"/>
          <w:szCs w:val="28"/>
        </w:rPr>
      </w:pPr>
      <w:r w:rsidRPr="00B2573C">
        <w:rPr>
          <w:rFonts w:ascii="Times New Roman" w:hAnsi="Times New Roman"/>
          <w:bCs/>
          <w:i/>
          <w:sz w:val="28"/>
          <w:szCs w:val="28"/>
        </w:rPr>
        <w:t>Влияние на почечную и мочевыделительную систему</w:t>
      </w:r>
    </w:p>
    <w:p w14:paraId="35F55B3F"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bCs/>
          <w:sz w:val="28"/>
          <w:szCs w:val="28"/>
        </w:rPr>
        <w:t>У пациентов с системной склеродермией при приеме метилпреднизолона необходимо соблюдать осторожность, вследствие наблюдения увеличения частоты случаев развития склеродермического почечного криза (возможно с летальным исходом) с артериальной гипертензией и сниженным диурезом</w:t>
      </w:r>
      <w:bookmarkStart w:id="6" w:name="_Hlk95826875"/>
      <w:r w:rsidRPr="00B2573C">
        <w:rPr>
          <w:rFonts w:ascii="Times New Roman" w:hAnsi="Times New Roman"/>
          <w:bCs/>
          <w:sz w:val="28"/>
          <w:szCs w:val="28"/>
        </w:rPr>
        <w:t xml:space="preserve">. </w:t>
      </w:r>
      <w:bookmarkEnd w:id="6"/>
      <w:r w:rsidRPr="00B2573C">
        <w:rPr>
          <w:rFonts w:ascii="Times New Roman" w:hAnsi="Times New Roman"/>
          <w:bCs/>
          <w:sz w:val="28"/>
          <w:szCs w:val="28"/>
        </w:rPr>
        <w:t>Следует в установленном порядке контролировать артериальное давление и функцию почек (концентрацию креатинина плазмы крови). При подозрении на почечный криз необходимо более тщательно контролировать артериальное давление.</w:t>
      </w:r>
    </w:p>
    <w:p w14:paraId="20BA3DC8"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Необходимо с осторожностью применять кортикостероиды при почечной недостаточности.</w:t>
      </w:r>
    </w:p>
    <w:p w14:paraId="23E0D67C" w14:textId="77777777" w:rsidR="00CF4CC8" w:rsidRPr="00B2573C" w:rsidRDefault="00CF4CC8" w:rsidP="00CF4CC8">
      <w:pPr>
        <w:spacing w:after="0" w:line="240" w:lineRule="auto"/>
        <w:jc w:val="both"/>
        <w:rPr>
          <w:rFonts w:ascii="Times New Roman" w:hAnsi="Times New Roman"/>
          <w:i/>
          <w:sz w:val="28"/>
          <w:szCs w:val="28"/>
        </w:rPr>
      </w:pPr>
      <w:r w:rsidRPr="00B2573C">
        <w:rPr>
          <w:rFonts w:ascii="Times New Roman" w:hAnsi="Times New Roman"/>
          <w:i/>
          <w:sz w:val="28"/>
          <w:szCs w:val="28"/>
        </w:rPr>
        <w:t>Исследования</w:t>
      </w:r>
    </w:p>
    <w:p w14:paraId="039108B3"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t>Средние и высокие дозы гидрокортизона или кортизона могут вызвать повышение артериального давления, задержку соли и воды, а также повышенную экскрецию калия. Данные эффекты менее вероятны при использовании синтетических производных, за исключением тех случаев, когда они используются в высоких дозах. Диетическое ограничение соли и дополнительный прием калия могут быть необходимы. Все кортикостероиды увеличивают экскрецию кальция.</w:t>
      </w:r>
    </w:p>
    <w:p w14:paraId="6E077099" w14:textId="77777777" w:rsidR="00CF4CC8" w:rsidRPr="00B2573C" w:rsidRDefault="00CF4CC8" w:rsidP="00CF4CC8">
      <w:pPr>
        <w:spacing w:after="0" w:line="240" w:lineRule="auto"/>
        <w:contextualSpacing/>
        <w:jc w:val="both"/>
        <w:rPr>
          <w:rFonts w:ascii="Times New Roman" w:hAnsi="Times New Roman"/>
          <w:bCs/>
          <w:i/>
          <w:sz w:val="28"/>
          <w:szCs w:val="28"/>
        </w:rPr>
      </w:pPr>
      <w:r w:rsidRPr="00B2573C">
        <w:rPr>
          <w:rFonts w:ascii="Times New Roman" w:hAnsi="Times New Roman"/>
          <w:bCs/>
          <w:i/>
          <w:sz w:val="28"/>
          <w:szCs w:val="28"/>
        </w:rPr>
        <w:t>Травмы, отравления и осложнения, связанные с процедурами</w:t>
      </w:r>
    </w:p>
    <w:p w14:paraId="2E7798EA"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t>Метилпреднизолон не показан и не должен применяться для стандартной терапии травм головы. Результаты многоцентрового исследования показали повышенную смертность в течение 2 недель и 6 месяцев после травмы у пациентов, получавших метилпреднизолон, по сравнению с пациентами, получавшими плацебо. Причинная связь с лечением метилпреднизолоном не установлена.</w:t>
      </w:r>
    </w:p>
    <w:p w14:paraId="3D32223F" w14:textId="77777777" w:rsidR="00CF4CC8" w:rsidRPr="00B2573C" w:rsidRDefault="00CF4CC8" w:rsidP="00CF4CC8">
      <w:pPr>
        <w:spacing w:after="0" w:line="240" w:lineRule="auto"/>
        <w:ind w:right="-1"/>
        <w:jc w:val="both"/>
        <w:rPr>
          <w:rFonts w:ascii="Times New Roman" w:eastAsia="Times New Roman" w:hAnsi="Times New Roman"/>
          <w:i/>
          <w:spacing w:val="10"/>
          <w:sz w:val="28"/>
          <w:szCs w:val="28"/>
        </w:rPr>
      </w:pPr>
      <w:r w:rsidRPr="00B2573C">
        <w:rPr>
          <w:rFonts w:ascii="Times New Roman" w:eastAsia="Times New Roman" w:hAnsi="Times New Roman"/>
          <w:i/>
          <w:spacing w:val="10"/>
          <w:sz w:val="28"/>
          <w:szCs w:val="28"/>
        </w:rPr>
        <w:t>Другие предостережения</w:t>
      </w:r>
      <w:r w:rsidRPr="00B2573C">
        <w:rPr>
          <w:rFonts w:ascii="Times New Roman" w:eastAsia="Times New Roman" w:hAnsi="Times New Roman"/>
          <w:spacing w:val="10"/>
          <w:sz w:val="28"/>
          <w:szCs w:val="28"/>
        </w:rPr>
        <w:t xml:space="preserve"> </w:t>
      </w:r>
    </w:p>
    <w:p w14:paraId="4758B18A" w14:textId="77777777" w:rsidR="00CF4CC8" w:rsidRPr="00B2573C" w:rsidRDefault="00CF4CC8" w:rsidP="00CF4CC8">
      <w:pPr>
        <w:spacing w:after="0" w:line="259" w:lineRule="auto"/>
        <w:jc w:val="both"/>
        <w:rPr>
          <w:rFonts w:ascii="Times New Roman" w:hAnsi="Times New Roman"/>
          <w:sz w:val="28"/>
          <w:szCs w:val="28"/>
        </w:rPr>
      </w:pPr>
      <w:r w:rsidRPr="00B2573C">
        <w:rPr>
          <w:rFonts w:ascii="Times New Roman" w:hAnsi="Times New Roman"/>
          <w:sz w:val="28"/>
          <w:szCs w:val="28"/>
        </w:rPr>
        <w:t>С осторожностью следует проводить длительное лечение кортикостероидами у пожилых пациентов, поскольку существует повышенный риск развития остеопороза и задержки жидкости с возможной гипертензией.</w:t>
      </w:r>
    </w:p>
    <w:p w14:paraId="309FCF21"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Осложнения лечения глюкокортикостероидами зависят от дозы и продолжительности лечения. Польза-риск должны оцениваться индивидуально для каждого пациента. Это необходимо для подбора дозы, продолжительности лечения и характера лечения.</w:t>
      </w:r>
    </w:p>
    <w:p w14:paraId="7DD9F036" w14:textId="77777777" w:rsidR="00CF4CC8" w:rsidRPr="00B2573C" w:rsidRDefault="00CF4CC8" w:rsidP="00CF4CC8">
      <w:pPr>
        <w:spacing w:after="0" w:line="240" w:lineRule="auto"/>
        <w:jc w:val="both"/>
        <w:rPr>
          <w:rFonts w:ascii="Times New Roman" w:hAnsi="Times New Roman"/>
          <w:sz w:val="28"/>
          <w:szCs w:val="28"/>
        </w:rPr>
      </w:pPr>
      <w:r w:rsidRPr="00B2573C">
        <w:rPr>
          <w:rFonts w:ascii="Times New Roman" w:hAnsi="Times New Roman"/>
          <w:sz w:val="28"/>
          <w:szCs w:val="28"/>
        </w:rPr>
        <w:t>Одновременный прием метилпреднизолона и фторхинолонов повышает риск разрыва сухожилия, особенно у пожилых пациентов.</w:t>
      </w:r>
    </w:p>
    <w:p w14:paraId="2CE155E8"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t>Для контроля состояния следует использовать наименьшую возможную дозу кортикостероидов, а при возможном снижении дозы снижение должно быть постепенным.</w:t>
      </w:r>
    </w:p>
    <w:p w14:paraId="5BA97CB9" w14:textId="77777777" w:rsidR="00CF4CC8" w:rsidRPr="00B2573C" w:rsidRDefault="00CF4CC8" w:rsidP="00CF4CC8">
      <w:pPr>
        <w:spacing w:after="0" w:line="240" w:lineRule="auto"/>
        <w:contextualSpacing/>
        <w:jc w:val="both"/>
        <w:rPr>
          <w:rFonts w:ascii="Times New Roman" w:hAnsi="Times New Roman"/>
          <w:bCs/>
          <w:sz w:val="28"/>
          <w:szCs w:val="28"/>
        </w:rPr>
      </w:pPr>
      <w:r w:rsidRPr="00B2573C">
        <w:rPr>
          <w:rFonts w:ascii="Times New Roman" w:hAnsi="Times New Roman"/>
          <w:bCs/>
          <w:sz w:val="28"/>
          <w:szCs w:val="28"/>
        </w:rPr>
        <w:lastRenderedPageBreak/>
        <w:t xml:space="preserve">После применения системных кортикостероидов сообщалось о случаях феохромоцитомного криза с вероятностью смертельного исхода. Кортикостероиды следует применять у пациентов с предполагаемой или выявленной феохромоцитомой только после надлежащей оценки соотношения пользы и риска. </w:t>
      </w:r>
    </w:p>
    <w:p w14:paraId="10229E13" w14:textId="77777777" w:rsidR="00CF4CC8" w:rsidRPr="00B2573C" w:rsidRDefault="00CF4CC8" w:rsidP="00CF4CC8">
      <w:pPr>
        <w:widowControl w:val="0"/>
        <w:autoSpaceDE w:val="0"/>
        <w:autoSpaceDN w:val="0"/>
        <w:adjustRightInd w:val="0"/>
        <w:spacing w:after="0" w:line="240" w:lineRule="auto"/>
        <w:contextualSpacing/>
        <w:jc w:val="both"/>
        <w:rPr>
          <w:rFonts w:ascii="Times New Roman" w:hAnsi="Times New Roman"/>
          <w:bCs/>
          <w:i/>
          <w:sz w:val="28"/>
          <w:szCs w:val="28"/>
        </w:rPr>
      </w:pPr>
      <w:r w:rsidRPr="00B2573C">
        <w:rPr>
          <w:rFonts w:ascii="Times New Roman" w:hAnsi="Times New Roman"/>
          <w:bCs/>
          <w:i/>
          <w:sz w:val="28"/>
          <w:szCs w:val="28"/>
        </w:rPr>
        <w:t>Пациенты детского возраста</w:t>
      </w:r>
    </w:p>
    <w:p w14:paraId="1B1702B7"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 xml:space="preserve">При продолжительном лечении кортикостероидами детей и подростков необходимо осуществлять тщательный контроль за их ростом и развитием. У детей, получающих длительную, ежедневную, разделенную на две дозы глюкокортикоидную терапию, рост может подавляться, и этот режим должен быть ограничен самыми неотложными показаниями. Альтернативная глюкокортикоидная терапия обычно позволяет избежать или свести к минимуму этот побочный эффект. </w:t>
      </w:r>
    </w:p>
    <w:p w14:paraId="5CCFE8B7"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Младенцы и дети, получающие кортикостероиды в течение длительного времени, подвергаются особому риску повышения внутричерепного давления.</w:t>
      </w:r>
    </w:p>
    <w:p w14:paraId="2F1FA433" w14:textId="77777777" w:rsidR="00CF4CC8" w:rsidRPr="00B2573C" w:rsidRDefault="00CF4CC8" w:rsidP="00CF4CC8">
      <w:pPr>
        <w:spacing w:after="0" w:line="240" w:lineRule="auto"/>
        <w:contextualSpacing/>
        <w:jc w:val="both"/>
        <w:rPr>
          <w:rFonts w:ascii="Times New Roman" w:hAnsi="Times New Roman"/>
          <w:sz w:val="28"/>
          <w:szCs w:val="28"/>
        </w:rPr>
      </w:pPr>
      <w:r w:rsidRPr="00B2573C">
        <w:rPr>
          <w:rFonts w:ascii="Times New Roman" w:hAnsi="Times New Roman"/>
          <w:sz w:val="28"/>
          <w:szCs w:val="28"/>
        </w:rPr>
        <w:t>Высокие дозы кортикостероидов могут вызвать панкреатит у детей.</w:t>
      </w:r>
    </w:p>
    <w:p w14:paraId="6BEB0BB2" w14:textId="77777777" w:rsidR="00CF4CC8" w:rsidRPr="00B2573C" w:rsidRDefault="00CF4CC8" w:rsidP="00CF4CC8">
      <w:pPr>
        <w:spacing w:after="0" w:line="240" w:lineRule="auto"/>
        <w:contextualSpacing/>
        <w:jc w:val="both"/>
        <w:rPr>
          <w:rFonts w:ascii="Times New Roman" w:hAnsi="Times New Roman"/>
          <w:sz w:val="28"/>
          <w:szCs w:val="28"/>
          <w:lang w:val="kk-KZ"/>
        </w:rPr>
      </w:pPr>
      <w:bookmarkStart w:id="7" w:name="_Hlk132115299"/>
      <w:r w:rsidRPr="00B2573C">
        <w:rPr>
          <w:rFonts w:ascii="Times New Roman" w:hAnsi="Times New Roman"/>
          <w:sz w:val="28"/>
          <w:szCs w:val="28"/>
          <w:lang w:val="kk-KZ"/>
        </w:rPr>
        <w:t>Возможно развитие гипертрофической кардиомиопатии у детей, в связи с этим следует провести соответствующую диагностику.</w:t>
      </w:r>
      <w:bookmarkEnd w:id="7"/>
    </w:p>
    <w:bookmarkEnd w:id="3"/>
    <w:p w14:paraId="332C9D55" w14:textId="77777777" w:rsidR="00A652CA" w:rsidRPr="00B2573C" w:rsidRDefault="00A652CA" w:rsidP="00A652CA">
      <w:pPr>
        <w:spacing w:after="0" w:line="240" w:lineRule="auto"/>
        <w:jc w:val="both"/>
        <w:rPr>
          <w:rFonts w:ascii="Times New Roman" w:eastAsia="Times New Roman" w:hAnsi="Times New Roman"/>
          <w:i/>
          <w:iCs/>
          <w:sz w:val="28"/>
          <w:szCs w:val="28"/>
          <w:lang w:eastAsia="ru-RU"/>
        </w:rPr>
      </w:pPr>
      <w:r w:rsidRPr="00B2573C">
        <w:rPr>
          <w:rFonts w:ascii="Times New Roman" w:eastAsia="Times New Roman" w:hAnsi="Times New Roman"/>
          <w:i/>
          <w:iCs/>
          <w:sz w:val="28"/>
          <w:szCs w:val="28"/>
          <w:lang w:eastAsia="ru-RU"/>
        </w:rPr>
        <w:t>Во время беременности или лактации</w:t>
      </w:r>
    </w:p>
    <w:p w14:paraId="519C8E7C"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Перед назначением данного лекарственного средства беременным, кормящим грудью, или женщинам репродуктивного возраста, необходимо соизмерить ожидаемую пользу применения кортикостероидов с возможными побочными действиями в отношении матери и эмбриона или плода.</w:t>
      </w:r>
    </w:p>
    <w:p w14:paraId="7E130542"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bookmarkStart w:id="8" w:name="_Hlk95827308"/>
      <w:r w:rsidRPr="00B2573C">
        <w:rPr>
          <w:rFonts w:ascii="Times New Roman" w:eastAsia="Times New Roman" w:hAnsi="Times New Roman"/>
          <w:sz w:val="28"/>
          <w:szCs w:val="28"/>
          <w:lang w:eastAsia="ru-RU"/>
        </w:rPr>
        <w:t>Введение кортикостероидов беременным животным приводило к нарушениям развития плода, включая расщепление неба, внутриутробную задержку роста, и влияло на рост и развитие мозга. Ввиду отсутствия адекватных исследований влияния метилпреднизолона на репродуктивную функцию у человека, во время беременности этот лекарственный препарат следует использовать только после тщательной оценки соотношения пользы и риска для матери и плода.</w:t>
      </w:r>
    </w:p>
    <w:p w14:paraId="3ABDA97E"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 xml:space="preserve">Некоторые кортикостероиды легко проникают через плаценту. Одно ретроспективное исследование показало повышение частоты случаев рождения детей с низкой массой тела у матерей, получающих лечение кортикостероидами. У людей риск рождения детей с низкой массой тела, по всей видимости, имеет дозозависимый характер и может быть снижен благодаря применению более низких доз кортикостероидов. Новорожденных, родившихся у матерей, получавших значительные дозы кортикостероидов во время беременности, необходимо тщательно наблюдать и оценивать их состояние на предмет признаков недостаточности функции надпочечников несмотря на то, что у новорожденных, подвергавшихся воздействию больших доз кортикостероидов в утробе </w:t>
      </w:r>
      <w:r w:rsidRPr="00B2573C">
        <w:rPr>
          <w:rFonts w:ascii="Times New Roman" w:eastAsia="Times New Roman" w:hAnsi="Times New Roman"/>
          <w:sz w:val="28"/>
          <w:szCs w:val="28"/>
          <w:lang w:eastAsia="ru-RU"/>
        </w:rPr>
        <w:lastRenderedPageBreak/>
        <w:t>матери, недостаточность функции надпочечников встречается довольно редко.</w:t>
      </w:r>
    </w:p>
    <w:p w14:paraId="191C0BA3"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Влияние кортикостероидов на течение и исход родов неизвестно.</w:t>
      </w:r>
    </w:p>
    <w:p w14:paraId="63F71CEB"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Отмечались случаи развития катаракты у новорожденных, матери которых получали продолжительное лечение кортикостероидами во время беременности.</w:t>
      </w:r>
    </w:p>
    <w:p w14:paraId="1A1D3FC3" w14:textId="77777777" w:rsidR="00CF4CC8" w:rsidRPr="00B2573C" w:rsidRDefault="00CF4CC8" w:rsidP="00CF4CC8">
      <w:pPr>
        <w:spacing w:after="0" w:line="240" w:lineRule="auto"/>
        <w:jc w:val="both"/>
        <w:rPr>
          <w:rFonts w:ascii="Times New Roman" w:eastAsia="Times New Roman" w:hAnsi="Times New Roman"/>
          <w:sz w:val="28"/>
          <w:szCs w:val="28"/>
          <w:lang w:eastAsia="ru-RU"/>
        </w:rPr>
      </w:pPr>
      <w:bookmarkStart w:id="9" w:name="_Hlk95827318"/>
      <w:bookmarkEnd w:id="8"/>
      <w:r w:rsidRPr="00B2573C">
        <w:rPr>
          <w:rFonts w:ascii="Times New Roman" w:eastAsia="Times New Roman" w:hAnsi="Times New Roman"/>
          <w:sz w:val="28"/>
          <w:szCs w:val="28"/>
          <w:lang w:eastAsia="ru-RU"/>
        </w:rPr>
        <w:t xml:space="preserve">Кортикостероиды проникают в грудное молоко. Кортикостероиды в грудном молоке могут подавлять рост и препятствовать выработке эндогенного ГКС у младенцев, находящихся на грудном вскармливании. Этот лекарственный препарат следует назначать кормящим матерям только в том случае, если преимущества терапии перевешивают потенциальные риски для младенцев. </w:t>
      </w:r>
      <w:bookmarkEnd w:id="9"/>
    </w:p>
    <w:p w14:paraId="6F23CDE4" w14:textId="77777777" w:rsidR="00CF4CC8" w:rsidRPr="00B2573C" w:rsidRDefault="00CF4CC8" w:rsidP="00A652CA">
      <w:pPr>
        <w:spacing w:after="0" w:line="240" w:lineRule="auto"/>
        <w:jc w:val="both"/>
        <w:rPr>
          <w:rFonts w:ascii="Times New Roman" w:eastAsia="Times New Roman" w:hAnsi="Times New Roman"/>
          <w:i/>
          <w:iCs/>
          <w:sz w:val="28"/>
          <w:szCs w:val="28"/>
          <w:lang w:eastAsia="ru-RU"/>
        </w:rPr>
      </w:pPr>
      <w:r w:rsidRPr="00B2573C">
        <w:rPr>
          <w:rFonts w:ascii="Times New Roman" w:eastAsia="Times New Roman" w:hAnsi="Times New Roman"/>
          <w:sz w:val="28"/>
          <w:szCs w:val="28"/>
          <w:lang w:val="kk-KZ" w:eastAsia="ru-RU"/>
        </w:rPr>
        <w:t xml:space="preserve">Результаты исследований на животных показали, что кортикостероиды снижают фертильность. </w:t>
      </w:r>
    </w:p>
    <w:p w14:paraId="4B9E8A8E" w14:textId="77777777" w:rsidR="007D0E84" w:rsidRPr="00B2573C" w:rsidRDefault="00A652CA" w:rsidP="00A652CA">
      <w:pPr>
        <w:spacing w:after="0" w:line="240" w:lineRule="auto"/>
        <w:jc w:val="both"/>
        <w:rPr>
          <w:rFonts w:ascii="Times New Roman" w:eastAsia="Times New Roman" w:hAnsi="Times New Roman"/>
          <w:i/>
          <w:iCs/>
          <w:sz w:val="28"/>
          <w:szCs w:val="28"/>
          <w:lang w:eastAsia="ru-RU"/>
        </w:rPr>
      </w:pPr>
      <w:r w:rsidRPr="00B2573C">
        <w:rPr>
          <w:rFonts w:ascii="Times New Roman" w:eastAsia="Times New Roman" w:hAnsi="Times New Roman"/>
          <w:i/>
          <w:iCs/>
          <w:sz w:val="28"/>
          <w:szCs w:val="28"/>
          <w:lang w:eastAsia="ru-RU"/>
        </w:rPr>
        <w:t>Особенности влияния препарата на способность управлять транспортным средством или потенциально опасными механизмами</w:t>
      </w:r>
    </w:p>
    <w:p w14:paraId="1C3644A0" w14:textId="77777777" w:rsidR="00CF4CC8" w:rsidRPr="00B2573C" w:rsidRDefault="00CF4CC8" w:rsidP="00CF4CC8">
      <w:pPr>
        <w:spacing w:after="0" w:line="240" w:lineRule="auto"/>
        <w:jc w:val="both"/>
        <w:rPr>
          <w:rFonts w:ascii="Times New Roman" w:hAnsi="Times New Roman"/>
          <w:sz w:val="28"/>
          <w:szCs w:val="28"/>
        </w:rPr>
      </w:pPr>
      <w:bookmarkStart w:id="10" w:name="_Hlk95827336"/>
      <w:r w:rsidRPr="00B2573C">
        <w:rPr>
          <w:rFonts w:ascii="Times New Roman" w:hAnsi="Times New Roman"/>
          <w:sz w:val="28"/>
          <w:szCs w:val="28"/>
        </w:rPr>
        <w:t>Влияние кортикостероидов на способность управлять транспортным средством или проводить работы на оборудовании не изучали. Учитывая возможные побочные реакции препарата (головокружение, нарушения зрения, усталость), при их появлении следует воздерживаться от управления автотранспортом или проведения работ с потенциально опасными механизмами.</w:t>
      </w:r>
    </w:p>
    <w:bookmarkEnd w:id="10"/>
    <w:p w14:paraId="68F37C33" w14:textId="77777777" w:rsidR="00A652CA" w:rsidRPr="00B2573C" w:rsidRDefault="00A652CA" w:rsidP="00F14BCD">
      <w:pPr>
        <w:spacing w:after="0" w:line="240" w:lineRule="auto"/>
        <w:jc w:val="both"/>
        <w:rPr>
          <w:rFonts w:ascii="Times New Roman" w:eastAsia="Times New Roman" w:hAnsi="Times New Roman"/>
          <w:sz w:val="28"/>
          <w:szCs w:val="28"/>
          <w:lang w:eastAsia="ru-RU"/>
        </w:rPr>
      </w:pPr>
    </w:p>
    <w:p w14:paraId="5FF094B4" w14:textId="77777777" w:rsidR="00DB406A" w:rsidRPr="00B2573C" w:rsidRDefault="00DB406A" w:rsidP="00F14BCD">
      <w:pPr>
        <w:spacing w:after="0" w:line="240" w:lineRule="auto"/>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Рекомендации по применению</w:t>
      </w:r>
    </w:p>
    <w:p w14:paraId="2B85B7FA" w14:textId="77777777" w:rsidR="005C4B12" w:rsidRPr="00B2573C" w:rsidRDefault="00DB406A" w:rsidP="00F14BCD">
      <w:pPr>
        <w:spacing w:after="0" w:line="240" w:lineRule="auto"/>
        <w:jc w:val="both"/>
        <w:rPr>
          <w:rFonts w:ascii="Times New Roman" w:eastAsia="Times New Roman" w:hAnsi="Times New Roman"/>
          <w:b/>
          <w:i/>
          <w:sz w:val="28"/>
          <w:szCs w:val="28"/>
          <w:lang w:eastAsia="ru-RU"/>
        </w:rPr>
      </w:pPr>
      <w:bookmarkStart w:id="11" w:name="2175220274"/>
      <w:r w:rsidRPr="00B2573C">
        <w:rPr>
          <w:rFonts w:ascii="Times New Roman" w:eastAsia="Times New Roman" w:hAnsi="Times New Roman"/>
          <w:b/>
          <w:i/>
          <w:sz w:val="28"/>
          <w:szCs w:val="28"/>
          <w:lang w:eastAsia="ru-RU"/>
        </w:rPr>
        <w:t>Режим дозирования</w:t>
      </w:r>
      <w:r w:rsidR="00617843" w:rsidRPr="00B2573C">
        <w:rPr>
          <w:rFonts w:ascii="Times New Roman" w:eastAsia="Times New Roman" w:hAnsi="Times New Roman"/>
          <w:b/>
          <w:i/>
          <w:sz w:val="28"/>
          <w:szCs w:val="28"/>
          <w:lang w:eastAsia="ru-RU"/>
        </w:rPr>
        <w:t xml:space="preserve"> </w:t>
      </w:r>
    </w:p>
    <w:p w14:paraId="43EFAB97" w14:textId="77777777" w:rsidR="00D01DFB" w:rsidRPr="00B2573C" w:rsidRDefault="00D01DFB" w:rsidP="00F14BCD">
      <w:pPr>
        <w:spacing w:after="0" w:line="240" w:lineRule="auto"/>
        <w:jc w:val="both"/>
        <w:rPr>
          <w:rFonts w:ascii="Times New Roman" w:hAnsi="Times New Roman"/>
          <w:sz w:val="28"/>
          <w:szCs w:val="28"/>
        </w:rPr>
      </w:pPr>
      <w:bookmarkStart w:id="12" w:name="2175220275"/>
      <w:bookmarkEnd w:id="11"/>
      <w:r w:rsidRPr="00B2573C">
        <w:rPr>
          <w:rFonts w:ascii="Times New Roman" w:hAnsi="Times New Roman"/>
          <w:sz w:val="28"/>
          <w:szCs w:val="28"/>
        </w:rPr>
        <w:t xml:space="preserve">Начальная доза зависит от заболевания и степени его тяжести. Начальная доза для взрослых составляет 4-48 мг в сутки, она может быть увеличена в случаях более тяжелого заболевания. Пероральная поддерживающая доза рекомендуется один раз в сутки в утренние часы. При приеме суточной дозы препарата, превышающей примерно 6 мг, риск побочных эффектов, очевидно увеличивается. </w:t>
      </w:r>
      <w:r w:rsidR="00A33639" w:rsidRPr="00B2573C">
        <w:rPr>
          <w:rFonts w:ascii="Times New Roman" w:hAnsi="Times New Roman"/>
          <w:sz w:val="28"/>
          <w:szCs w:val="28"/>
        </w:rPr>
        <w:t>Детям рекомендуется более низкая дозировка.</w:t>
      </w:r>
    </w:p>
    <w:p w14:paraId="5C969B6B" w14:textId="77777777" w:rsidR="00D01DFB" w:rsidRPr="00B2573C" w:rsidRDefault="00D01DFB" w:rsidP="00F14BCD">
      <w:pPr>
        <w:spacing w:after="0" w:line="240" w:lineRule="auto"/>
        <w:contextualSpacing/>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 xml:space="preserve">Данные по рекомендуемым дозировкам </w:t>
      </w:r>
      <w:r w:rsidR="00A33639" w:rsidRPr="00B2573C">
        <w:rPr>
          <w:rFonts w:ascii="Times New Roman" w:eastAsia="Times New Roman" w:hAnsi="Times New Roman"/>
          <w:sz w:val="28"/>
          <w:szCs w:val="28"/>
          <w:lang w:eastAsia="ru-RU"/>
        </w:rPr>
        <w:t xml:space="preserve">в начале терапии </w:t>
      </w:r>
      <w:r w:rsidRPr="00B2573C">
        <w:rPr>
          <w:rFonts w:ascii="Times New Roman" w:eastAsia="Times New Roman" w:hAnsi="Times New Roman"/>
          <w:sz w:val="28"/>
          <w:szCs w:val="28"/>
          <w:lang w:eastAsia="ru-RU"/>
        </w:rPr>
        <w:t>указаны в таблице ниже.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677"/>
      </w:tblGrid>
      <w:tr w:rsidR="00D01DFB" w:rsidRPr="00B2573C" w14:paraId="1EC280BE" w14:textId="77777777" w:rsidTr="00CF4CC8">
        <w:trPr>
          <w:trHeight w:val="159"/>
        </w:trPr>
        <w:tc>
          <w:tcPr>
            <w:tcW w:w="4395" w:type="dxa"/>
          </w:tcPr>
          <w:p w14:paraId="18D5305D"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b/>
                <w:bCs/>
                <w:color w:val="000000"/>
                <w:sz w:val="28"/>
                <w:szCs w:val="28"/>
              </w:rPr>
              <w:t xml:space="preserve">Показания к применению </w:t>
            </w:r>
          </w:p>
        </w:tc>
        <w:tc>
          <w:tcPr>
            <w:tcW w:w="4677" w:type="dxa"/>
          </w:tcPr>
          <w:p w14:paraId="45AD271E"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b/>
                <w:bCs/>
                <w:color w:val="000000"/>
                <w:sz w:val="28"/>
                <w:szCs w:val="28"/>
              </w:rPr>
              <w:t xml:space="preserve">Рекомендованная начальная суточная доза </w:t>
            </w:r>
          </w:p>
        </w:tc>
      </w:tr>
      <w:tr w:rsidR="00D01DFB" w:rsidRPr="00B2573C" w14:paraId="53BFEE2E" w14:textId="77777777" w:rsidTr="00CF4CC8">
        <w:trPr>
          <w:trHeight w:val="295"/>
        </w:trPr>
        <w:tc>
          <w:tcPr>
            <w:tcW w:w="4395" w:type="dxa"/>
          </w:tcPr>
          <w:p w14:paraId="26D1C082"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Системные ревматические заболевания </w:t>
            </w:r>
          </w:p>
        </w:tc>
        <w:tc>
          <w:tcPr>
            <w:tcW w:w="4677" w:type="dxa"/>
          </w:tcPr>
          <w:p w14:paraId="57D2F9A4"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4-16 мг </w:t>
            </w:r>
          </w:p>
        </w:tc>
      </w:tr>
      <w:tr w:rsidR="00D01DFB" w:rsidRPr="00B2573C" w14:paraId="09CE6F87" w14:textId="77777777" w:rsidTr="00CF4CC8">
        <w:trPr>
          <w:trHeight w:val="157"/>
        </w:trPr>
        <w:tc>
          <w:tcPr>
            <w:tcW w:w="4395" w:type="dxa"/>
          </w:tcPr>
          <w:p w14:paraId="0521403E"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Коллагенозы </w:t>
            </w:r>
          </w:p>
        </w:tc>
        <w:tc>
          <w:tcPr>
            <w:tcW w:w="4677" w:type="dxa"/>
          </w:tcPr>
          <w:p w14:paraId="67AA42B8"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20-100 мг </w:t>
            </w:r>
          </w:p>
        </w:tc>
      </w:tr>
      <w:tr w:rsidR="00D01DFB" w:rsidRPr="00B2573C" w14:paraId="22D7ECF2" w14:textId="77777777" w:rsidTr="00CF4CC8">
        <w:trPr>
          <w:trHeight w:val="157"/>
        </w:trPr>
        <w:tc>
          <w:tcPr>
            <w:tcW w:w="4395" w:type="dxa"/>
          </w:tcPr>
          <w:p w14:paraId="4F9949FC"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Аллергические состояния </w:t>
            </w:r>
          </w:p>
        </w:tc>
        <w:tc>
          <w:tcPr>
            <w:tcW w:w="4677" w:type="dxa"/>
          </w:tcPr>
          <w:p w14:paraId="46B82E60"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12-48 мг </w:t>
            </w:r>
          </w:p>
        </w:tc>
      </w:tr>
      <w:tr w:rsidR="00D01DFB" w:rsidRPr="00B2573C" w14:paraId="5CE4D18F" w14:textId="77777777" w:rsidTr="00CF4CC8">
        <w:trPr>
          <w:trHeight w:val="157"/>
        </w:trPr>
        <w:tc>
          <w:tcPr>
            <w:tcW w:w="4395" w:type="dxa"/>
          </w:tcPr>
          <w:p w14:paraId="50A9D21C"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Болезни легких </w:t>
            </w:r>
          </w:p>
        </w:tc>
        <w:tc>
          <w:tcPr>
            <w:tcW w:w="4677" w:type="dxa"/>
          </w:tcPr>
          <w:p w14:paraId="1DEE5FFB"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Не больше 64 мг </w:t>
            </w:r>
          </w:p>
        </w:tc>
      </w:tr>
      <w:tr w:rsidR="00D01DFB" w:rsidRPr="00B2573C" w14:paraId="6FF3A039" w14:textId="77777777" w:rsidTr="00CF4CC8">
        <w:trPr>
          <w:trHeight w:val="157"/>
        </w:trPr>
        <w:tc>
          <w:tcPr>
            <w:tcW w:w="4395" w:type="dxa"/>
          </w:tcPr>
          <w:p w14:paraId="51484FB0"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Реакции отторжения трансплантата </w:t>
            </w:r>
          </w:p>
        </w:tc>
        <w:tc>
          <w:tcPr>
            <w:tcW w:w="4677" w:type="dxa"/>
          </w:tcPr>
          <w:p w14:paraId="5E25ECA0"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Не больше 7 мг/кг/день</w:t>
            </w:r>
          </w:p>
        </w:tc>
      </w:tr>
      <w:tr w:rsidR="00D01DFB" w:rsidRPr="00B2573C" w14:paraId="56AFDF5F" w14:textId="77777777" w:rsidTr="00CF4CC8">
        <w:trPr>
          <w:trHeight w:val="157"/>
        </w:trPr>
        <w:tc>
          <w:tcPr>
            <w:tcW w:w="4395" w:type="dxa"/>
          </w:tcPr>
          <w:p w14:paraId="70568C56"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Заболевания печени </w:t>
            </w:r>
          </w:p>
        </w:tc>
        <w:tc>
          <w:tcPr>
            <w:tcW w:w="4677" w:type="dxa"/>
          </w:tcPr>
          <w:p w14:paraId="4352B328"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16-48 мг </w:t>
            </w:r>
          </w:p>
        </w:tc>
      </w:tr>
      <w:tr w:rsidR="00D01DFB" w:rsidRPr="00B2573C" w14:paraId="7D6BD074" w14:textId="77777777" w:rsidTr="00CF4CC8">
        <w:trPr>
          <w:trHeight w:val="157"/>
        </w:trPr>
        <w:tc>
          <w:tcPr>
            <w:tcW w:w="4395" w:type="dxa"/>
          </w:tcPr>
          <w:p w14:paraId="3419112F"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lastRenderedPageBreak/>
              <w:t xml:space="preserve">Дерматологические заболевания </w:t>
            </w:r>
          </w:p>
        </w:tc>
        <w:tc>
          <w:tcPr>
            <w:tcW w:w="4677" w:type="dxa"/>
          </w:tcPr>
          <w:p w14:paraId="40B51177"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80-360 мг </w:t>
            </w:r>
          </w:p>
        </w:tc>
      </w:tr>
      <w:tr w:rsidR="00D01DFB" w:rsidRPr="00B2573C" w14:paraId="48DAE865" w14:textId="77777777" w:rsidTr="00CF4CC8">
        <w:trPr>
          <w:trHeight w:val="157"/>
        </w:trPr>
        <w:tc>
          <w:tcPr>
            <w:tcW w:w="4395" w:type="dxa"/>
          </w:tcPr>
          <w:p w14:paraId="2C28E442"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Гематологические заболевания </w:t>
            </w:r>
          </w:p>
        </w:tc>
        <w:tc>
          <w:tcPr>
            <w:tcW w:w="4677" w:type="dxa"/>
          </w:tcPr>
          <w:p w14:paraId="37C98408"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16-100 мг </w:t>
            </w:r>
          </w:p>
        </w:tc>
      </w:tr>
      <w:tr w:rsidR="00D01DFB" w:rsidRPr="00B2573C" w14:paraId="3C94A56F" w14:textId="77777777" w:rsidTr="00CF4CC8">
        <w:trPr>
          <w:trHeight w:val="157"/>
        </w:trPr>
        <w:tc>
          <w:tcPr>
            <w:tcW w:w="4395" w:type="dxa"/>
          </w:tcPr>
          <w:p w14:paraId="11123B18"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Неврологические заболевания </w:t>
            </w:r>
          </w:p>
        </w:tc>
        <w:tc>
          <w:tcPr>
            <w:tcW w:w="4677" w:type="dxa"/>
          </w:tcPr>
          <w:p w14:paraId="0371B761"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Не больше 200 мг </w:t>
            </w:r>
          </w:p>
        </w:tc>
      </w:tr>
      <w:tr w:rsidR="00D01DFB" w:rsidRPr="00B2573C" w14:paraId="0FB458B4" w14:textId="77777777" w:rsidTr="00CF4CC8">
        <w:trPr>
          <w:trHeight w:val="295"/>
        </w:trPr>
        <w:tc>
          <w:tcPr>
            <w:tcW w:w="4395" w:type="dxa"/>
          </w:tcPr>
          <w:p w14:paraId="2D9B58B6"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Отек мозга на фоне новообразований </w:t>
            </w:r>
          </w:p>
        </w:tc>
        <w:tc>
          <w:tcPr>
            <w:tcW w:w="4677" w:type="dxa"/>
          </w:tcPr>
          <w:p w14:paraId="3BA6F93C" w14:textId="77777777" w:rsidR="00D01DFB" w:rsidRPr="00B2573C" w:rsidRDefault="00CF4CC8"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200-1000 мг</w:t>
            </w:r>
          </w:p>
        </w:tc>
      </w:tr>
      <w:tr w:rsidR="00D01DFB" w:rsidRPr="00B2573C" w14:paraId="61E9836D" w14:textId="77777777" w:rsidTr="00CF4CC8">
        <w:trPr>
          <w:trHeight w:val="157"/>
        </w:trPr>
        <w:tc>
          <w:tcPr>
            <w:tcW w:w="4395" w:type="dxa"/>
          </w:tcPr>
          <w:p w14:paraId="14BBA611"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Заболевания глаз </w:t>
            </w:r>
          </w:p>
        </w:tc>
        <w:tc>
          <w:tcPr>
            <w:tcW w:w="4677" w:type="dxa"/>
          </w:tcPr>
          <w:p w14:paraId="7DDEA83F"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12-40 мг </w:t>
            </w:r>
          </w:p>
        </w:tc>
      </w:tr>
      <w:tr w:rsidR="00D01DFB" w:rsidRPr="00B2573C" w14:paraId="3DB536EC" w14:textId="77777777" w:rsidTr="00CF4CC8">
        <w:trPr>
          <w:trHeight w:val="157"/>
        </w:trPr>
        <w:tc>
          <w:tcPr>
            <w:tcW w:w="4395" w:type="dxa"/>
          </w:tcPr>
          <w:p w14:paraId="5663E741"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Опухолевые заболевания </w:t>
            </w:r>
          </w:p>
        </w:tc>
        <w:tc>
          <w:tcPr>
            <w:tcW w:w="4677" w:type="dxa"/>
          </w:tcPr>
          <w:p w14:paraId="51AB8FB7"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16-100 мг </w:t>
            </w:r>
          </w:p>
        </w:tc>
      </w:tr>
      <w:tr w:rsidR="00D01DFB" w:rsidRPr="00B2573C" w14:paraId="4C8B63CA" w14:textId="77777777" w:rsidTr="00CF4CC8">
        <w:trPr>
          <w:trHeight w:val="157"/>
        </w:trPr>
        <w:tc>
          <w:tcPr>
            <w:tcW w:w="4395" w:type="dxa"/>
          </w:tcPr>
          <w:p w14:paraId="6C08D499"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Заболевания почек </w:t>
            </w:r>
          </w:p>
        </w:tc>
        <w:tc>
          <w:tcPr>
            <w:tcW w:w="4677" w:type="dxa"/>
          </w:tcPr>
          <w:p w14:paraId="29D0DBC2"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32-48 мг </w:t>
            </w:r>
          </w:p>
        </w:tc>
      </w:tr>
      <w:tr w:rsidR="00D01DFB" w:rsidRPr="00B2573C" w14:paraId="31668C84" w14:textId="77777777" w:rsidTr="00CF4CC8">
        <w:trPr>
          <w:trHeight w:val="157"/>
        </w:trPr>
        <w:tc>
          <w:tcPr>
            <w:tcW w:w="4395" w:type="dxa"/>
          </w:tcPr>
          <w:p w14:paraId="1A800CB5"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Желудочно-кишечные заболевания </w:t>
            </w:r>
          </w:p>
        </w:tc>
        <w:tc>
          <w:tcPr>
            <w:tcW w:w="4677" w:type="dxa"/>
          </w:tcPr>
          <w:p w14:paraId="3D744ACE" w14:textId="77777777" w:rsidR="00D01DFB" w:rsidRPr="00B2573C" w:rsidRDefault="00D01DFB" w:rsidP="00F14BCD">
            <w:pPr>
              <w:autoSpaceDE w:val="0"/>
              <w:autoSpaceDN w:val="0"/>
              <w:adjustRightInd w:val="0"/>
              <w:spacing w:after="0" w:line="240" w:lineRule="auto"/>
              <w:rPr>
                <w:rFonts w:ascii="Times New Roman" w:hAnsi="Times New Roman"/>
                <w:color w:val="000000"/>
                <w:sz w:val="28"/>
                <w:szCs w:val="28"/>
              </w:rPr>
            </w:pPr>
            <w:r w:rsidRPr="00B2573C">
              <w:rPr>
                <w:rFonts w:ascii="Times New Roman" w:hAnsi="Times New Roman"/>
                <w:color w:val="000000"/>
                <w:sz w:val="28"/>
                <w:szCs w:val="28"/>
              </w:rPr>
              <w:t xml:space="preserve">Не больше 60 мг </w:t>
            </w:r>
          </w:p>
        </w:tc>
      </w:tr>
    </w:tbl>
    <w:p w14:paraId="462968F6" w14:textId="77777777" w:rsidR="00D01DFB" w:rsidRPr="00B2573C" w:rsidRDefault="00D01DFB" w:rsidP="00F14BCD">
      <w:pPr>
        <w:spacing w:after="0" w:line="240" w:lineRule="auto"/>
        <w:jc w:val="both"/>
        <w:rPr>
          <w:rFonts w:ascii="Times New Roman" w:eastAsia="Times New Roman" w:hAnsi="Times New Roman"/>
          <w:b/>
          <w:sz w:val="28"/>
          <w:szCs w:val="28"/>
          <w:lang w:eastAsia="ru-RU"/>
        </w:rPr>
      </w:pPr>
      <w:r w:rsidRPr="00B2573C">
        <w:rPr>
          <w:rFonts w:ascii="Times New Roman" w:hAnsi="Times New Roman"/>
          <w:color w:val="000000"/>
          <w:sz w:val="28"/>
          <w:szCs w:val="28"/>
        </w:rPr>
        <w:t>Длительный прием глюкокортикоидов вызывает адренокортикальную недостаточность,</w:t>
      </w:r>
      <w:r w:rsidR="00A33639" w:rsidRPr="00B2573C">
        <w:rPr>
          <w:rFonts w:ascii="Times New Roman" w:hAnsi="Times New Roman"/>
          <w:color w:val="000000"/>
          <w:sz w:val="28"/>
          <w:szCs w:val="28"/>
        </w:rPr>
        <w:t xml:space="preserve"> которая может сохраняться в течение нескольких месяцев после прекращения терапии. П</w:t>
      </w:r>
      <w:r w:rsidRPr="00B2573C">
        <w:rPr>
          <w:rFonts w:ascii="Times New Roman" w:hAnsi="Times New Roman"/>
          <w:color w:val="000000"/>
          <w:sz w:val="28"/>
          <w:szCs w:val="28"/>
        </w:rPr>
        <w:t>оэтому при острых травмах, заболеваниях или хирургическом вмешательстве дозу препарата необходимо увеличить или допускается прием других глюкокортикоидов.</w:t>
      </w:r>
    </w:p>
    <w:p w14:paraId="3DAC8A5F" w14:textId="77777777" w:rsidR="00700B7B" w:rsidRPr="00B2573C" w:rsidRDefault="00700B7B" w:rsidP="00F14BCD">
      <w:pPr>
        <w:spacing w:after="0" w:line="240" w:lineRule="auto"/>
        <w:jc w:val="both"/>
        <w:rPr>
          <w:rFonts w:ascii="Times New Roman" w:hAnsi="Times New Roman"/>
          <w:b/>
          <w:sz w:val="28"/>
          <w:szCs w:val="28"/>
        </w:rPr>
      </w:pPr>
      <w:r w:rsidRPr="00B2573C">
        <w:rPr>
          <w:rFonts w:ascii="Times New Roman" w:hAnsi="Times New Roman"/>
          <w:b/>
          <w:sz w:val="28"/>
          <w:szCs w:val="28"/>
        </w:rPr>
        <w:t>Особые группы пациентов</w:t>
      </w:r>
    </w:p>
    <w:p w14:paraId="1F4532A9" w14:textId="77777777" w:rsidR="00D01DFB" w:rsidRPr="00B2573C" w:rsidRDefault="00D01DFB" w:rsidP="00F14BCD">
      <w:pPr>
        <w:spacing w:after="0" w:line="240" w:lineRule="auto"/>
        <w:contextualSpacing/>
        <w:jc w:val="both"/>
        <w:rPr>
          <w:rFonts w:ascii="Times New Roman" w:eastAsia="Times New Roman" w:hAnsi="Times New Roman"/>
          <w:i/>
          <w:sz w:val="28"/>
          <w:szCs w:val="28"/>
          <w:lang w:eastAsia="ru-RU"/>
        </w:rPr>
      </w:pPr>
      <w:r w:rsidRPr="00B2573C">
        <w:rPr>
          <w:rFonts w:ascii="Times New Roman" w:eastAsia="Times New Roman" w:hAnsi="Times New Roman"/>
          <w:i/>
          <w:sz w:val="28"/>
          <w:szCs w:val="28"/>
          <w:lang w:eastAsia="ru-RU"/>
        </w:rPr>
        <w:t>Пациенты детского возраста</w:t>
      </w:r>
    </w:p>
    <w:p w14:paraId="3CB53032" w14:textId="77777777" w:rsidR="00D01DFB" w:rsidRPr="00B2573C" w:rsidRDefault="00D01DFB" w:rsidP="00F14BCD">
      <w:pPr>
        <w:spacing w:after="0" w:line="240" w:lineRule="auto"/>
        <w:jc w:val="both"/>
        <w:rPr>
          <w:rFonts w:ascii="Times New Roman" w:hAnsi="Times New Roman"/>
          <w:sz w:val="28"/>
          <w:szCs w:val="28"/>
        </w:rPr>
      </w:pPr>
      <w:r w:rsidRPr="00B2573C">
        <w:rPr>
          <w:rFonts w:ascii="Times New Roman" w:hAnsi="Times New Roman"/>
          <w:sz w:val="28"/>
          <w:szCs w:val="28"/>
        </w:rPr>
        <w:t>Для детей рекомендуются более низкие дозы.</w:t>
      </w:r>
    </w:p>
    <w:p w14:paraId="0E06CDDA" w14:textId="77777777" w:rsidR="005C4B12" w:rsidRPr="00B2573C" w:rsidRDefault="00DB406A" w:rsidP="00F14BCD">
      <w:pPr>
        <w:spacing w:after="0" w:line="240" w:lineRule="auto"/>
        <w:jc w:val="both"/>
        <w:rPr>
          <w:rFonts w:ascii="Times New Roman" w:hAnsi="Times New Roman"/>
          <w:i/>
          <w:color w:val="000000"/>
          <w:sz w:val="28"/>
          <w:szCs w:val="28"/>
        </w:rPr>
      </w:pPr>
      <w:r w:rsidRPr="00B2573C">
        <w:rPr>
          <w:rFonts w:ascii="Times New Roman" w:eastAsia="Times New Roman" w:hAnsi="Times New Roman"/>
          <w:b/>
          <w:i/>
          <w:sz w:val="28"/>
          <w:szCs w:val="28"/>
          <w:lang w:eastAsia="ru-RU"/>
        </w:rPr>
        <w:t>Метод и путь введения</w:t>
      </w:r>
      <w:r w:rsidRPr="00B2573C">
        <w:rPr>
          <w:rFonts w:ascii="Times New Roman" w:hAnsi="Times New Roman"/>
          <w:i/>
          <w:color w:val="000000"/>
          <w:sz w:val="28"/>
          <w:szCs w:val="28"/>
        </w:rPr>
        <w:t xml:space="preserve"> </w:t>
      </w:r>
    </w:p>
    <w:bookmarkEnd w:id="12"/>
    <w:p w14:paraId="3613D5F3" w14:textId="77777777" w:rsidR="00D01DFB" w:rsidRPr="00B2573C" w:rsidRDefault="00D01DFB" w:rsidP="00F14BCD">
      <w:pPr>
        <w:spacing w:after="0" w:line="240" w:lineRule="auto"/>
        <w:jc w:val="both"/>
        <w:rPr>
          <w:rFonts w:ascii="Times New Roman" w:hAnsi="Times New Roman"/>
          <w:iCs/>
          <w:sz w:val="28"/>
          <w:szCs w:val="28"/>
          <w:lang w:val="uk-UA"/>
        </w:rPr>
      </w:pPr>
      <w:r w:rsidRPr="00B2573C">
        <w:rPr>
          <w:rFonts w:ascii="Times New Roman" w:hAnsi="Times New Roman"/>
          <w:iCs/>
          <w:sz w:val="28"/>
          <w:szCs w:val="28"/>
          <w:lang w:val="uk-UA"/>
        </w:rPr>
        <w:t>Для приема внутрь.</w:t>
      </w:r>
    </w:p>
    <w:p w14:paraId="32039622" w14:textId="77777777" w:rsidR="00700B7B" w:rsidRPr="00B2573C" w:rsidRDefault="00700B7B" w:rsidP="00F14BCD">
      <w:pPr>
        <w:spacing w:after="0" w:line="240" w:lineRule="auto"/>
        <w:jc w:val="both"/>
        <w:rPr>
          <w:rFonts w:ascii="Times New Roman" w:hAnsi="Times New Roman"/>
          <w:i/>
          <w:sz w:val="28"/>
          <w:szCs w:val="28"/>
        </w:rPr>
      </w:pPr>
      <w:r w:rsidRPr="00B2573C">
        <w:rPr>
          <w:rFonts w:ascii="Times New Roman" w:eastAsia="Times New Roman" w:hAnsi="Times New Roman"/>
          <w:b/>
          <w:i/>
          <w:sz w:val="28"/>
          <w:szCs w:val="28"/>
          <w:lang w:eastAsia="ru-RU"/>
        </w:rPr>
        <w:t>Меры, которые необходимо принять в случае передозировки</w:t>
      </w:r>
      <w:r w:rsidRPr="00B2573C">
        <w:rPr>
          <w:rFonts w:ascii="Times New Roman" w:hAnsi="Times New Roman"/>
          <w:i/>
          <w:sz w:val="28"/>
          <w:szCs w:val="28"/>
        </w:rPr>
        <w:t xml:space="preserve"> </w:t>
      </w:r>
    </w:p>
    <w:p w14:paraId="4EA35B6F" w14:textId="77777777" w:rsidR="00D01DFB" w:rsidRPr="00B2573C" w:rsidRDefault="00D01DFB" w:rsidP="00F14BCD">
      <w:pPr>
        <w:spacing w:after="0" w:line="240" w:lineRule="auto"/>
        <w:jc w:val="both"/>
        <w:rPr>
          <w:rFonts w:ascii="Times New Roman" w:hAnsi="Times New Roman"/>
          <w:i/>
          <w:iCs/>
          <w:sz w:val="28"/>
          <w:szCs w:val="28"/>
          <w:lang w:val="uk-UA"/>
        </w:rPr>
      </w:pPr>
      <w:r w:rsidRPr="00B2573C">
        <w:rPr>
          <w:rFonts w:ascii="Times New Roman" w:hAnsi="Times New Roman"/>
          <w:i/>
          <w:iCs/>
          <w:sz w:val="28"/>
          <w:szCs w:val="28"/>
          <w:lang w:val="uk-UA"/>
        </w:rPr>
        <w:t>Симптомы</w:t>
      </w:r>
    </w:p>
    <w:p w14:paraId="6BF79D4B" w14:textId="77777777" w:rsidR="00D01DFB" w:rsidRPr="00B2573C" w:rsidRDefault="00D01DFB" w:rsidP="00F14BCD">
      <w:pPr>
        <w:spacing w:after="0" w:line="240" w:lineRule="auto"/>
        <w:jc w:val="both"/>
        <w:rPr>
          <w:rFonts w:ascii="Times New Roman" w:hAnsi="Times New Roman"/>
          <w:sz w:val="28"/>
          <w:szCs w:val="28"/>
          <w:lang w:val="uk-UA"/>
        </w:rPr>
      </w:pPr>
      <w:r w:rsidRPr="00B2573C">
        <w:rPr>
          <w:rFonts w:ascii="Times New Roman" w:hAnsi="Times New Roman"/>
          <w:sz w:val="28"/>
          <w:szCs w:val="28"/>
          <w:lang w:val="uk-UA"/>
        </w:rPr>
        <w:t xml:space="preserve">Клинических синдромов тяжёлой передозировки при применении кортикостероидов выявлено не было. Случаи острой токсичности и/или летального исхода после передозировки кортикостероидов редки. </w:t>
      </w:r>
    </w:p>
    <w:p w14:paraId="155A3CA3" w14:textId="77777777" w:rsidR="00D01DFB" w:rsidRPr="00B2573C" w:rsidRDefault="00D01DFB" w:rsidP="00F14BCD">
      <w:pPr>
        <w:spacing w:after="0" w:line="240" w:lineRule="auto"/>
        <w:jc w:val="both"/>
        <w:rPr>
          <w:rFonts w:ascii="Times New Roman" w:hAnsi="Times New Roman"/>
          <w:i/>
          <w:iCs/>
          <w:sz w:val="28"/>
          <w:szCs w:val="28"/>
          <w:lang w:val="uk-UA"/>
        </w:rPr>
      </w:pPr>
      <w:r w:rsidRPr="00B2573C">
        <w:rPr>
          <w:rFonts w:ascii="Times New Roman" w:hAnsi="Times New Roman"/>
          <w:i/>
          <w:iCs/>
          <w:sz w:val="28"/>
          <w:szCs w:val="28"/>
          <w:lang w:val="uk-UA"/>
        </w:rPr>
        <w:t>Лечение</w:t>
      </w:r>
    </w:p>
    <w:p w14:paraId="41D4EC64" w14:textId="77777777" w:rsidR="00D01DFB" w:rsidRPr="00B2573C" w:rsidRDefault="00D01DFB" w:rsidP="00F14BCD">
      <w:pPr>
        <w:spacing w:after="0" w:line="240" w:lineRule="auto"/>
        <w:jc w:val="both"/>
        <w:rPr>
          <w:rFonts w:ascii="Times New Roman" w:hAnsi="Times New Roman"/>
          <w:sz w:val="28"/>
          <w:szCs w:val="28"/>
          <w:lang w:val="uk-UA"/>
        </w:rPr>
      </w:pPr>
      <w:r w:rsidRPr="00B2573C">
        <w:rPr>
          <w:rFonts w:ascii="Times New Roman" w:hAnsi="Times New Roman"/>
          <w:sz w:val="28"/>
          <w:szCs w:val="28"/>
          <w:lang w:val="uk-UA"/>
        </w:rPr>
        <w:t>Не существует специфического антидота в случае передозировки, следует начать поддерживающее и симптоматическое лечение.</w:t>
      </w:r>
      <w:r w:rsidR="004D6F29" w:rsidRPr="00B2573C">
        <w:rPr>
          <w:rFonts w:ascii="Times New Roman" w:hAnsi="Times New Roman"/>
          <w:sz w:val="28"/>
          <w:szCs w:val="28"/>
          <w:lang w:val="uk-UA"/>
        </w:rPr>
        <w:t xml:space="preserve"> </w:t>
      </w:r>
      <w:r w:rsidRPr="00B2573C">
        <w:rPr>
          <w:rFonts w:ascii="Times New Roman" w:hAnsi="Times New Roman"/>
          <w:sz w:val="28"/>
          <w:szCs w:val="28"/>
          <w:lang w:val="uk-UA"/>
        </w:rPr>
        <w:t>Метилпреднизолон подвергается диализу.</w:t>
      </w:r>
      <w:r w:rsidR="004D6F29" w:rsidRPr="00B2573C">
        <w:rPr>
          <w:rFonts w:ascii="Times New Roman" w:hAnsi="Times New Roman"/>
          <w:sz w:val="28"/>
          <w:szCs w:val="28"/>
          <w:lang w:val="uk-UA"/>
        </w:rPr>
        <w:t xml:space="preserve"> При частой передозировке следует учитывать возможность развития недостаточности надпочечников.</w:t>
      </w:r>
    </w:p>
    <w:p w14:paraId="207D947E" w14:textId="77777777" w:rsidR="00396C40" w:rsidRPr="00B2573C" w:rsidRDefault="00396C40" w:rsidP="00F14BCD">
      <w:pPr>
        <w:spacing w:after="0" w:line="240" w:lineRule="auto"/>
        <w:jc w:val="both"/>
        <w:rPr>
          <w:rFonts w:ascii="Times New Roman" w:eastAsia="Times New Roman" w:hAnsi="Times New Roman"/>
          <w:b/>
          <w:i/>
          <w:sz w:val="28"/>
          <w:szCs w:val="28"/>
          <w:lang w:eastAsia="ru-RU"/>
        </w:rPr>
      </w:pPr>
      <w:r w:rsidRPr="00B2573C">
        <w:rPr>
          <w:rFonts w:ascii="Times New Roman" w:eastAsia="Times New Roman" w:hAnsi="Times New Roman"/>
          <w:b/>
          <w:i/>
          <w:sz w:val="28"/>
          <w:szCs w:val="28"/>
          <w:lang w:eastAsia="ru-RU"/>
        </w:rPr>
        <w:t xml:space="preserve">Указание на наличие риска симптомов отмены </w:t>
      </w:r>
    </w:p>
    <w:p w14:paraId="0CB6694A" w14:textId="77777777" w:rsidR="00396C40" w:rsidRPr="00B2573C" w:rsidRDefault="00396C40" w:rsidP="00F14BCD">
      <w:pPr>
        <w:spacing w:after="0" w:line="240" w:lineRule="auto"/>
        <w:jc w:val="both"/>
        <w:rPr>
          <w:rFonts w:ascii="Times New Roman" w:hAnsi="Times New Roman"/>
          <w:sz w:val="28"/>
          <w:szCs w:val="28"/>
        </w:rPr>
      </w:pPr>
      <w:r w:rsidRPr="00B2573C">
        <w:rPr>
          <w:rFonts w:ascii="Times New Roman" w:hAnsi="Times New Roman"/>
          <w:sz w:val="28"/>
          <w:szCs w:val="28"/>
        </w:rPr>
        <w:t>Для предотвращения синдрома отмены при длительном приеме препарата, терапия кортикостероидами должна уменьшаться постепенно в течение нескольких недель. Прием препарата через день снижает риск надпочечниковой недостаточности и симптомов отмены в конце лечения.</w:t>
      </w:r>
    </w:p>
    <w:p w14:paraId="4CF1E23F" w14:textId="77777777" w:rsidR="00C106A0" w:rsidRPr="00B2573C" w:rsidRDefault="00C106A0" w:rsidP="00F14BCD">
      <w:pPr>
        <w:spacing w:after="0" w:line="240" w:lineRule="auto"/>
        <w:jc w:val="both"/>
        <w:rPr>
          <w:rFonts w:ascii="Times New Roman" w:eastAsia="Times New Roman" w:hAnsi="Times New Roman"/>
          <w:bCs/>
          <w:sz w:val="28"/>
          <w:szCs w:val="28"/>
          <w:lang w:eastAsia="ru-RU"/>
        </w:rPr>
      </w:pPr>
    </w:p>
    <w:p w14:paraId="768164B9" w14:textId="77777777" w:rsidR="001937AD" w:rsidRPr="00B2573C" w:rsidRDefault="001937AD" w:rsidP="00F14BCD">
      <w:pPr>
        <w:spacing w:after="0" w:line="240" w:lineRule="auto"/>
        <w:jc w:val="both"/>
        <w:rPr>
          <w:rFonts w:ascii="Times New Roman" w:hAnsi="Times New Roman"/>
          <w:b/>
          <w:sz w:val="28"/>
          <w:szCs w:val="28"/>
        </w:rPr>
      </w:pPr>
      <w:bookmarkStart w:id="13" w:name="2175220282"/>
      <w:r w:rsidRPr="00B2573C">
        <w:rPr>
          <w:rFonts w:ascii="Times New Roman" w:eastAsia="Times New Roman" w:hAnsi="Times New Roman"/>
          <w:b/>
          <w:sz w:val="28"/>
          <w:szCs w:val="28"/>
          <w:lang w:eastAsia="ru-RU"/>
        </w:rPr>
        <w:t>Описание нежелательных реакций</w:t>
      </w:r>
      <w:r w:rsidR="005C4B12" w:rsidRPr="00B2573C">
        <w:rPr>
          <w:rFonts w:ascii="Times New Roman" w:eastAsia="Times New Roman" w:hAnsi="Times New Roman"/>
          <w:b/>
          <w:sz w:val="28"/>
          <w:szCs w:val="28"/>
          <w:lang w:eastAsia="ru-RU"/>
        </w:rPr>
        <w:t xml:space="preserve">, </w:t>
      </w:r>
      <w:r w:rsidRPr="00B2573C">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13"/>
    <w:p w14:paraId="5D02053E" w14:textId="77777777" w:rsidR="00D01DFB" w:rsidRPr="00B2573C" w:rsidRDefault="00D01DFB" w:rsidP="00F14BCD">
      <w:pPr>
        <w:widowControl w:val="0"/>
        <w:spacing w:after="0" w:line="240" w:lineRule="auto"/>
        <w:jc w:val="both"/>
        <w:rPr>
          <w:rFonts w:ascii="Times New Roman" w:hAnsi="Times New Roman"/>
          <w:i/>
          <w:iCs/>
          <w:sz w:val="28"/>
          <w:szCs w:val="28"/>
          <w:lang w:val="kk-KZ"/>
        </w:rPr>
      </w:pPr>
      <w:r w:rsidRPr="00B2573C">
        <w:rPr>
          <w:rFonts w:ascii="Times New Roman" w:hAnsi="Times New Roman"/>
          <w:sz w:val="28"/>
          <w:szCs w:val="28"/>
        </w:rPr>
        <w:t xml:space="preserve">Ниже по системам органов и частоте развития приведены нежелательные реакции. Частота определяется по следующей шкале: </w:t>
      </w:r>
      <w:r w:rsidR="00E86C6A" w:rsidRPr="00B2573C">
        <w:rPr>
          <w:rFonts w:ascii="Times New Roman" w:hAnsi="Times New Roman"/>
          <w:i/>
          <w:iCs/>
          <w:sz w:val="28"/>
          <w:szCs w:val="28"/>
        </w:rPr>
        <w:t>очень часто (&gt;1/10), часто (&gt;1/100 до &lt;1/10), нечасто (&gt;1/1000 дo &lt;1/100), редко (&gt;1/10000 дo &lt;1/</w:t>
      </w:r>
      <w:r w:rsidRPr="00B2573C">
        <w:rPr>
          <w:rFonts w:ascii="Times New Roman" w:hAnsi="Times New Roman"/>
          <w:i/>
          <w:iCs/>
          <w:sz w:val="28"/>
          <w:szCs w:val="28"/>
        </w:rPr>
        <w:t>1000), очень редко (&lt;1/10000)</w:t>
      </w:r>
      <w:r w:rsidRPr="00B2573C">
        <w:rPr>
          <w:rFonts w:ascii="Times New Roman" w:hAnsi="Times New Roman"/>
          <w:i/>
          <w:iCs/>
          <w:sz w:val="28"/>
          <w:szCs w:val="28"/>
          <w:lang w:val="kk-KZ"/>
        </w:rPr>
        <w:t xml:space="preserve">, </w:t>
      </w:r>
      <w:r w:rsidR="0021796F" w:rsidRPr="00B2573C">
        <w:rPr>
          <w:rFonts w:ascii="Times New Roman" w:hAnsi="Times New Roman"/>
          <w:i/>
          <w:iCs/>
          <w:sz w:val="28"/>
          <w:szCs w:val="28"/>
          <w:lang w:val="kk-KZ"/>
        </w:rPr>
        <w:t>неизвестно</w:t>
      </w:r>
      <w:r w:rsidRPr="00B2573C">
        <w:rPr>
          <w:rFonts w:ascii="Times New Roman" w:hAnsi="Times New Roman"/>
          <w:i/>
          <w:iCs/>
          <w:sz w:val="28"/>
          <w:szCs w:val="28"/>
          <w:lang w:val="kk-KZ"/>
        </w:rPr>
        <w:t xml:space="preserve"> (невозможно оценить на </w:t>
      </w:r>
      <w:r w:rsidRPr="00B2573C">
        <w:rPr>
          <w:rFonts w:ascii="Times New Roman" w:hAnsi="Times New Roman"/>
          <w:i/>
          <w:iCs/>
          <w:sz w:val="28"/>
          <w:szCs w:val="28"/>
          <w:lang w:val="kk-KZ"/>
        </w:rPr>
        <w:lastRenderedPageBreak/>
        <w:t>основании имеющихся данных).</w:t>
      </w:r>
    </w:p>
    <w:p w14:paraId="318FF510" w14:textId="77777777" w:rsidR="00D01DFB" w:rsidRPr="00B2573C" w:rsidRDefault="00D01DFB" w:rsidP="00396D23">
      <w:pPr>
        <w:widowControl w:val="0"/>
        <w:spacing w:after="0" w:line="240" w:lineRule="auto"/>
        <w:ind w:left="567" w:hanging="567"/>
        <w:jc w:val="both"/>
        <w:rPr>
          <w:rFonts w:ascii="Times New Roman" w:hAnsi="Times New Roman"/>
          <w:i/>
          <w:sz w:val="28"/>
          <w:szCs w:val="28"/>
          <w:u w:val="single"/>
        </w:rPr>
      </w:pPr>
      <w:r w:rsidRPr="00B2573C">
        <w:rPr>
          <w:rFonts w:ascii="Times New Roman" w:hAnsi="Times New Roman"/>
          <w:i/>
          <w:sz w:val="28"/>
          <w:szCs w:val="28"/>
        </w:rPr>
        <w:t>Часто</w:t>
      </w:r>
    </w:p>
    <w:p w14:paraId="7AB942F9" w14:textId="77777777" w:rsidR="00CF4CC8" w:rsidRPr="00B2573C" w:rsidRDefault="00CF4CC8" w:rsidP="00F76127">
      <w:pPr>
        <w:widowControl w:val="0"/>
        <w:spacing w:after="0" w:line="240" w:lineRule="auto"/>
        <w:ind w:left="567" w:hanging="567"/>
        <w:jc w:val="both"/>
        <w:rPr>
          <w:rFonts w:ascii="Times New Roman" w:hAnsi="Times New Roman"/>
          <w:sz w:val="28"/>
          <w:szCs w:val="28"/>
        </w:rPr>
      </w:pPr>
      <w:r w:rsidRPr="00B2573C">
        <w:rPr>
          <w:rFonts w:ascii="Times New Roman" w:hAnsi="Times New Roman"/>
          <w:sz w:val="28"/>
          <w:szCs w:val="28"/>
        </w:rPr>
        <w:t>- Инфекции</w:t>
      </w:r>
    </w:p>
    <w:p w14:paraId="304B3455"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Развитие синдрома Кушинга, подавление гипофизарно-надпочечниковой системы</w:t>
      </w:r>
    </w:p>
    <w:p w14:paraId="50236DAE"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Задержка натрия и воды</w:t>
      </w:r>
    </w:p>
    <w:p w14:paraId="7A338D04"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Депрессия, эйфория</w:t>
      </w:r>
    </w:p>
    <w:p w14:paraId="26B5C65E"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Катаракта</w:t>
      </w:r>
    </w:p>
    <w:p w14:paraId="2687DDFD"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Артериальная гипертензия</w:t>
      </w:r>
    </w:p>
    <w:p w14:paraId="455C0495"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Пептическая язва (с возможным риском прободения и кровотечения)</w:t>
      </w:r>
    </w:p>
    <w:p w14:paraId="7628A184"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Периферические отеки, синяки, атрофия кожи, акне</w:t>
      </w:r>
    </w:p>
    <w:p w14:paraId="0FC9398B"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Задержка роста у детей, остеопороз, мышечная слабость</w:t>
      </w:r>
    </w:p>
    <w:p w14:paraId="35B15540"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Ухудшение заживления ран</w:t>
      </w:r>
    </w:p>
    <w:p w14:paraId="6F20443A"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Пониженный уровень калия в плазме крови</w:t>
      </w:r>
    </w:p>
    <w:p w14:paraId="43E645F4" w14:textId="77777777" w:rsidR="00D01DFB" w:rsidRPr="00B2573C" w:rsidRDefault="0021796F" w:rsidP="00F76127">
      <w:pPr>
        <w:widowControl w:val="0"/>
        <w:spacing w:after="0" w:line="240" w:lineRule="auto"/>
        <w:ind w:left="567" w:hanging="567"/>
        <w:jc w:val="both"/>
        <w:rPr>
          <w:rFonts w:ascii="Times New Roman" w:hAnsi="Times New Roman"/>
          <w:i/>
          <w:sz w:val="28"/>
          <w:szCs w:val="28"/>
        </w:rPr>
      </w:pPr>
      <w:r w:rsidRPr="00B2573C">
        <w:rPr>
          <w:rFonts w:ascii="Times New Roman" w:hAnsi="Times New Roman"/>
          <w:i/>
          <w:sz w:val="28"/>
          <w:szCs w:val="28"/>
        </w:rPr>
        <w:t>Неизвестно</w:t>
      </w:r>
    </w:p>
    <w:p w14:paraId="7416763B" w14:textId="77777777" w:rsidR="001E070C" w:rsidRPr="00B2573C" w:rsidRDefault="00CF4CC8" w:rsidP="00F14BCD">
      <w:pPr>
        <w:widowControl w:val="0"/>
        <w:spacing w:after="0" w:line="240" w:lineRule="auto"/>
        <w:ind w:left="567" w:hanging="567"/>
        <w:jc w:val="both"/>
        <w:rPr>
          <w:rFonts w:ascii="Times New Roman" w:hAnsi="Times New Roman"/>
          <w:sz w:val="28"/>
          <w:szCs w:val="28"/>
        </w:rPr>
      </w:pPr>
      <w:r w:rsidRPr="00B2573C">
        <w:rPr>
          <w:rFonts w:ascii="Times New Roman" w:hAnsi="Times New Roman"/>
          <w:sz w:val="28"/>
          <w:szCs w:val="28"/>
        </w:rPr>
        <w:t>- Синдром лизиса опухоли, саркома Капоши</w:t>
      </w:r>
    </w:p>
    <w:p w14:paraId="1CC2B869" w14:textId="77777777" w:rsidR="00CF4CC8" w:rsidRPr="00B2573C" w:rsidRDefault="00CF4CC8" w:rsidP="00F14BCD">
      <w:pPr>
        <w:widowControl w:val="0"/>
        <w:spacing w:after="0" w:line="240" w:lineRule="auto"/>
        <w:ind w:left="567" w:hanging="567"/>
        <w:jc w:val="both"/>
        <w:rPr>
          <w:rFonts w:ascii="Times New Roman" w:hAnsi="Times New Roman"/>
          <w:sz w:val="28"/>
          <w:szCs w:val="28"/>
        </w:rPr>
      </w:pPr>
      <w:r w:rsidRPr="00B2573C">
        <w:rPr>
          <w:rFonts w:ascii="Times New Roman" w:hAnsi="Times New Roman"/>
          <w:sz w:val="28"/>
          <w:szCs w:val="28"/>
        </w:rPr>
        <w:t>- Оппортунистические инфекции</w:t>
      </w:r>
    </w:p>
    <w:p w14:paraId="75295B19"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Реакции повышенной чувствительности (включая анафилактические и анафилактоидные реакции)</w:t>
      </w:r>
    </w:p>
    <w:p w14:paraId="4E98CECF"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Лейкоцитоз</w:t>
      </w:r>
    </w:p>
    <w:p w14:paraId="5742B76F"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Гипопитуитаризм, синдром отмены стероидов</w:t>
      </w:r>
    </w:p>
    <w:p w14:paraId="35840E2B"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Метаболический ацидоз, липоматоз, эпидуральный липоматоз, гипокалиемический алкалоз, дислипидемия, нарушение переносимости глюкозы, повышение потребности в инсулине (или оральных гипогликемических препаратах при диабете), повышение аппетита (что может привести к увеличению веса)</w:t>
      </w:r>
    </w:p>
    <w:p w14:paraId="2620503A"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Перепады настроения, психологическая зависимость, суицидальные мысли, психoтические нарушения (включая манию, бред, галлюцинацию и шизофрению), аффективные нарушения, психические нарушения, изменение личности, спутанное состояние, возбуждение, ненормальное поведение, бессонница, раздражительность</w:t>
      </w:r>
    </w:p>
    <w:p w14:paraId="40B29B49"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Эпидуральный липоматоз, повышение внутричерепного давления (с отеком диска зрительного нерва) [идиопатическая внутричерепная гипертензия], судороги, амнезия, когнитивные нарушения, головокружение, головная боль</w:t>
      </w:r>
    </w:p>
    <w:p w14:paraId="1EFC0DAC"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Хориоретинопатия, глаукома (с возможным повреждением зрительного нерва), экзофтальм, нечеткость зрения</w:t>
      </w:r>
    </w:p>
    <w:p w14:paraId="46A54445"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Вертиго</w:t>
      </w:r>
    </w:p>
    <w:p w14:paraId="4D38DB2A"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Хроническая сердечная недостаточность (у восприимчивых пациентов), нарушение ритма сердца, разрыв миокарда в результате инфаркта миокарда</w:t>
      </w:r>
    </w:p>
    <w:p w14:paraId="193CBAC5"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Тромботические нарушения, артериальная эмболия, гипотензия</w:t>
      </w:r>
    </w:p>
    <w:p w14:paraId="49D5C93E"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Легочная эмболия, икота</w:t>
      </w:r>
    </w:p>
    <w:p w14:paraId="299639C6"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lastRenderedPageBreak/>
        <w:t>- Геморрагии, перфорация кишки, желудочное кровотечение, панкреатит, перитонит, язвенный эзофагит, эзофагит, вздутие живота, боль в животе, диарея, диспепсия, тошнота</w:t>
      </w:r>
    </w:p>
    <w:p w14:paraId="03332A23"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Гепатит, повышение активности печеночных ферментов</w:t>
      </w:r>
    </w:p>
    <w:p w14:paraId="5CE445F2"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Отек Квинке, телеангиэктазии, гирсутизм, петехии, эритема, образование стрий, сыпь, зуд, крапивница, гипо-/гиперпигментация кожи, гипергидроз</w:t>
      </w:r>
    </w:p>
    <w:p w14:paraId="3C5C4ED3"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Остеонекроз, миалгия, патологические переломы, миопатия, атрофия мышц, нейропатическая артропатия, артралгия, миалгия</w:t>
      </w:r>
    </w:p>
    <w:p w14:paraId="3C48D370"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Нерегулярный менструальный цикл</w:t>
      </w:r>
    </w:p>
    <w:p w14:paraId="50E440E9"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Почечный криз, связанный со склеродермией*</w:t>
      </w:r>
    </w:p>
    <w:p w14:paraId="5F9B0096"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Утомляемость, недомогание</w:t>
      </w:r>
    </w:p>
    <w:p w14:paraId="58726171"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Повышение активности аланинаминотрансферазы, аспартатаминотрансферазы, щелочной фосфатазы, повышение внутриглазного давления, снижение толерантности к углеводам, повышение уровня кальция в моче, подавление реакций при проведении кожных проб</w:t>
      </w:r>
    </w:p>
    <w:p w14:paraId="37111BEB" w14:textId="77777777" w:rsidR="00CF4CC8" w:rsidRPr="00B2573C" w:rsidRDefault="00CF4CC8" w:rsidP="00CF4CC8">
      <w:pPr>
        <w:widowControl w:val="0"/>
        <w:spacing w:after="0" w:line="240" w:lineRule="auto"/>
        <w:ind w:left="142" w:hanging="142"/>
        <w:jc w:val="both"/>
        <w:rPr>
          <w:rFonts w:ascii="Times New Roman" w:hAnsi="Times New Roman"/>
          <w:sz w:val="28"/>
          <w:szCs w:val="28"/>
        </w:rPr>
      </w:pPr>
      <w:r w:rsidRPr="00B2573C">
        <w:rPr>
          <w:rFonts w:ascii="Times New Roman" w:hAnsi="Times New Roman"/>
          <w:sz w:val="28"/>
          <w:szCs w:val="28"/>
        </w:rPr>
        <w:t>- Компрессионные переломы позвонков, разрывы сухожилий (чаще всего Ахиллесово сухожилие)</w:t>
      </w:r>
    </w:p>
    <w:p w14:paraId="2668E77B" w14:textId="77777777" w:rsidR="00D96CF9" w:rsidRPr="00B2573C" w:rsidRDefault="00D96CF9" w:rsidP="00CF4CC8">
      <w:pPr>
        <w:widowControl w:val="0"/>
        <w:spacing w:after="0" w:line="240" w:lineRule="auto"/>
        <w:ind w:left="142" w:hanging="142"/>
        <w:jc w:val="both"/>
        <w:rPr>
          <w:rFonts w:ascii="Times New Roman" w:hAnsi="Times New Roman"/>
        </w:rPr>
      </w:pPr>
      <w:r w:rsidRPr="00B2573C">
        <w:rPr>
          <w:rFonts w:ascii="Times New Roman" w:hAnsi="Times New Roman"/>
        </w:rPr>
        <w:t>* Частота склеродермического почечного криза варьирует среди разных подгрупп населения. Самый высокий риск отмечен у пациентов с диффузной системной склеродермией. Самый низкий риск отмечен у пациентов с ограниченной склеродермией (2%) и ювенильной склеродермией (1%).</w:t>
      </w:r>
    </w:p>
    <w:p w14:paraId="21851CBF" w14:textId="77777777" w:rsidR="00CF4CC8" w:rsidRPr="00B2573C" w:rsidRDefault="00CF4CC8" w:rsidP="00F14BCD">
      <w:pPr>
        <w:widowControl w:val="0"/>
        <w:spacing w:after="0" w:line="240" w:lineRule="auto"/>
        <w:ind w:left="567" w:hanging="567"/>
        <w:jc w:val="both"/>
        <w:rPr>
          <w:rFonts w:ascii="Times New Roman" w:hAnsi="Times New Roman"/>
          <w:sz w:val="28"/>
          <w:szCs w:val="28"/>
        </w:rPr>
      </w:pPr>
    </w:p>
    <w:p w14:paraId="0AAC94AC" w14:textId="77777777" w:rsidR="00827BB2" w:rsidRPr="00B2573C" w:rsidRDefault="00827BB2" w:rsidP="00F14BCD">
      <w:pPr>
        <w:pStyle w:val="ac"/>
        <w:jc w:val="both"/>
        <w:rPr>
          <w:rFonts w:ascii="Times New Roman" w:hAnsi="Times New Roman"/>
          <w:i/>
          <w:color w:val="000000"/>
          <w:sz w:val="28"/>
          <w:szCs w:val="28"/>
        </w:rPr>
      </w:pPr>
      <w:r w:rsidRPr="00B2573C">
        <w:rPr>
          <w:rFonts w:ascii="Times New Roman" w:hAnsi="Times New Roman"/>
          <w:b/>
          <w:color w:val="000000"/>
          <w:sz w:val="28"/>
          <w:szCs w:val="28"/>
        </w:rPr>
        <w:t>П</w:t>
      </w:r>
      <w:r w:rsidR="00D93C80" w:rsidRPr="00B2573C">
        <w:rPr>
          <w:rFonts w:ascii="Times New Roman" w:hAnsi="Times New Roman"/>
          <w:b/>
          <w:color w:val="000000"/>
          <w:sz w:val="28"/>
          <w:szCs w:val="28"/>
        </w:rPr>
        <w:t xml:space="preserve">ри возникновении </w:t>
      </w:r>
      <w:r w:rsidR="006703A5" w:rsidRPr="00B2573C">
        <w:rPr>
          <w:rFonts w:ascii="Times New Roman" w:hAnsi="Times New Roman"/>
          <w:b/>
          <w:color w:val="000000"/>
          <w:sz w:val="28"/>
          <w:szCs w:val="28"/>
        </w:rPr>
        <w:t>нежелательных</w:t>
      </w:r>
      <w:r w:rsidR="00D93C80" w:rsidRPr="00B2573C">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B2573C">
        <w:rPr>
          <w:rFonts w:ascii="Times New Roman" w:hAnsi="Times New Roman"/>
          <w:b/>
          <w:color w:val="000000"/>
          <w:sz w:val="28"/>
          <w:szCs w:val="28"/>
        </w:rPr>
        <w:t xml:space="preserve"> </w:t>
      </w:r>
    </w:p>
    <w:p w14:paraId="19D03053" w14:textId="77777777" w:rsidR="000E13E5" w:rsidRPr="00B2573C" w:rsidRDefault="006703A5" w:rsidP="00F14BCD">
      <w:pPr>
        <w:spacing w:after="0" w:line="240" w:lineRule="auto"/>
        <w:jc w:val="both"/>
        <w:rPr>
          <w:rFonts w:ascii="Times New Roman" w:hAnsi="Times New Roman"/>
          <w:sz w:val="28"/>
          <w:szCs w:val="28"/>
        </w:rPr>
      </w:pPr>
      <w:r w:rsidRPr="00B2573C">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0E13E5" w:rsidRPr="00B2573C">
        <w:rPr>
          <w:rFonts w:ascii="Times New Roman" w:eastAsia="Times New Roman" w:hAnsi="Times New Roman"/>
          <w:sz w:val="28"/>
          <w:szCs w:val="28"/>
        </w:rPr>
        <w:t>Комитета медицинского и фармацевтического контроля МЗ РК</w:t>
      </w:r>
      <w:r w:rsidR="000E13E5" w:rsidRPr="00B2573C">
        <w:rPr>
          <w:rFonts w:ascii="Times New Roman" w:hAnsi="Times New Roman"/>
          <w:sz w:val="28"/>
          <w:szCs w:val="28"/>
        </w:rPr>
        <w:t xml:space="preserve"> </w:t>
      </w:r>
    </w:p>
    <w:p w14:paraId="62DAAF93" w14:textId="77777777" w:rsidR="006703A5" w:rsidRPr="00B2573C" w:rsidRDefault="001F1C92" w:rsidP="00F14BCD">
      <w:pPr>
        <w:spacing w:after="0" w:line="240" w:lineRule="auto"/>
        <w:jc w:val="both"/>
        <w:rPr>
          <w:rFonts w:ascii="Times New Roman" w:eastAsia="Times New Roman" w:hAnsi="Times New Roman"/>
          <w:sz w:val="28"/>
          <w:szCs w:val="28"/>
        </w:rPr>
      </w:pPr>
      <w:hyperlink r:id="rId8" w:history="1">
        <w:r w:rsidR="000E13E5" w:rsidRPr="00B2573C">
          <w:rPr>
            <w:rStyle w:val="af"/>
            <w:rFonts w:ascii="Times New Roman" w:hAnsi="Times New Roman"/>
            <w:sz w:val="28"/>
            <w:szCs w:val="28"/>
            <w:lang w:val="en-US"/>
          </w:rPr>
          <w:t>http</w:t>
        </w:r>
        <w:r w:rsidR="000E13E5" w:rsidRPr="00B2573C">
          <w:rPr>
            <w:rStyle w:val="af"/>
            <w:rFonts w:ascii="Times New Roman" w:hAnsi="Times New Roman"/>
            <w:sz w:val="28"/>
            <w:szCs w:val="28"/>
          </w:rPr>
          <w:t>://</w:t>
        </w:r>
        <w:r w:rsidR="000E13E5" w:rsidRPr="00B2573C">
          <w:rPr>
            <w:rStyle w:val="af"/>
            <w:rFonts w:ascii="Times New Roman" w:hAnsi="Times New Roman"/>
            <w:sz w:val="28"/>
            <w:szCs w:val="28"/>
            <w:lang w:val="en-US"/>
          </w:rPr>
          <w:t>www</w:t>
        </w:r>
        <w:r w:rsidR="000E13E5" w:rsidRPr="00B2573C">
          <w:rPr>
            <w:rStyle w:val="af"/>
            <w:rFonts w:ascii="Times New Roman" w:hAnsi="Times New Roman"/>
            <w:sz w:val="28"/>
            <w:szCs w:val="28"/>
          </w:rPr>
          <w:t>.</w:t>
        </w:r>
        <w:r w:rsidR="000E13E5" w:rsidRPr="00B2573C">
          <w:rPr>
            <w:rStyle w:val="af"/>
            <w:rFonts w:ascii="Times New Roman" w:hAnsi="Times New Roman"/>
            <w:sz w:val="28"/>
            <w:szCs w:val="28"/>
            <w:lang w:val="en-US"/>
          </w:rPr>
          <w:t>ndda</w:t>
        </w:r>
        <w:r w:rsidR="000E13E5" w:rsidRPr="00B2573C">
          <w:rPr>
            <w:rStyle w:val="af"/>
            <w:rFonts w:ascii="Times New Roman" w:hAnsi="Times New Roman"/>
            <w:sz w:val="28"/>
            <w:szCs w:val="28"/>
          </w:rPr>
          <w:t>.</w:t>
        </w:r>
        <w:r w:rsidR="000E13E5" w:rsidRPr="00B2573C">
          <w:rPr>
            <w:rStyle w:val="af"/>
            <w:rFonts w:ascii="Times New Roman" w:hAnsi="Times New Roman"/>
            <w:sz w:val="28"/>
            <w:szCs w:val="28"/>
            <w:lang w:val="en-US"/>
          </w:rPr>
          <w:t>kz</w:t>
        </w:r>
      </w:hyperlink>
    </w:p>
    <w:p w14:paraId="7A8E88EB" w14:textId="77777777" w:rsidR="006703A5" w:rsidRPr="00B2573C" w:rsidRDefault="006703A5" w:rsidP="00F14BCD">
      <w:pPr>
        <w:pStyle w:val="ac"/>
        <w:jc w:val="both"/>
        <w:rPr>
          <w:rFonts w:ascii="Times New Roman" w:hAnsi="Times New Roman"/>
          <w:color w:val="000000"/>
          <w:sz w:val="28"/>
          <w:szCs w:val="28"/>
        </w:rPr>
      </w:pPr>
    </w:p>
    <w:p w14:paraId="49279C80" w14:textId="77777777" w:rsidR="000C2C4B" w:rsidRPr="00B2573C" w:rsidRDefault="000C2C4B" w:rsidP="00F14BCD">
      <w:pPr>
        <w:pStyle w:val="ac"/>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Дополнительные сведения</w:t>
      </w:r>
    </w:p>
    <w:p w14:paraId="0FABC188" w14:textId="77777777" w:rsidR="006B7A90" w:rsidRPr="00B2573C" w:rsidRDefault="00844CE8" w:rsidP="00F14BCD">
      <w:pPr>
        <w:spacing w:after="0" w:line="240" w:lineRule="auto"/>
        <w:jc w:val="both"/>
        <w:rPr>
          <w:rFonts w:ascii="Times New Roman" w:hAnsi="Times New Roman"/>
          <w:i/>
          <w:sz w:val="28"/>
          <w:szCs w:val="28"/>
        </w:rPr>
      </w:pPr>
      <w:bookmarkStart w:id="14" w:name="2175220285"/>
      <w:r w:rsidRPr="00B2573C">
        <w:rPr>
          <w:rFonts w:ascii="Times New Roman" w:eastAsia="Times New Roman" w:hAnsi="Times New Roman"/>
          <w:b/>
          <w:i/>
          <w:sz w:val="28"/>
          <w:szCs w:val="28"/>
          <w:lang w:eastAsia="ru-RU"/>
        </w:rPr>
        <w:t>Состав лекарственного препарата</w:t>
      </w:r>
      <w:r w:rsidR="00C379C9" w:rsidRPr="00B2573C">
        <w:rPr>
          <w:rFonts w:ascii="Times New Roman" w:eastAsia="Times New Roman" w:hAnsi="Times New Roman"/>
          <w:b/>
          <w:i/>
          <w:sz w:val="28"/>
          <w:szCs w:val="28"/>
          <w:lang w:eastAsia="ru-RU"/>
        </w:rPr>
        <w:t xml:space="preserve"> </w:t>
      </w:r>
    </w:p>
    <w:p w14:paraId="4B2C2884" w14:textId="77777777" w:rsidR="006B7A90" w:rsidRPr="00B2573C" w:rsidRDefault="006B7A90" w:rsidP="00F14BCD">
      <w:pPr>
        <w:widowControl w:val="0"/>
        <w:autoSpaceDE w:val="0"/>
        <w:autoSpaceDN w:val="0"/>
        <w:spacing w:after="0" w:line="240" w:lineRule="auto"/>
        <w:jc w:val="both"/>
        <w:rPr>
          <w:rFonts w:ascii="Times New Roman" w:eastAsia="Times New Roman" w:hAnsi="Times New Roman"/>
          <w:bCs/>
          <w:sz w:val="28"/>
          <w:szCs w:val="28"/>
          <w:lang w:eastAsia="ru-RU"/>
        </w:rPr>
      </w:pPr>
      <w:bookmarkStart w:id="15" w:name="2175220286"/>
      <w:bookmarkEnd w:id="14"/>
      <w:r w:rsidRPr="00B2573C">
        <w:rPr>
          <w:rFonts w:ascii="Times New Roman" w:eastAsia="Times New Roman" w:hAnsi="Times New Roman"/>
          <w:bCs/>
          <w:sz w:val="28"/>
          <w:szCs w:val="28"/>
          <w:lang w:eastAsia="ru-RU"/>
        </w:rPr>
        <w:t xml:space="preserve">Одна таблетка содержит </w:t>
      </w:r>
    </w:p>
    <w:p w14:paraId="781B2CF0" w14:textId="77777777" w:rsidR="006B7A90" w:rsidRPr="00B2573C" w:rsidRDefault="00844CE8" w:rsidP="00F14BCD">
      <w:pPr>
        <w:widowControl w:val="0"/>
        <w:autoSpaceDE w:val="0"/>
        <w:autoSpaceDN w:val="0"/>
        <w:spacing w:after="0" w:line="240" w:lineRule="auto"/>
        <w:jc w:val="both"/>
        <w:rPr>
          <w:rFonts w:ascii="Times New Roman" w:eastAsia="Times New Roman" w:hAnsi="Times New Roman"/>
          <w:bCs/>
          <w:sz w:val="28"/>
          <w:szCs w:val="28"/>
          <w:lang w:eastAsia="ru-RU"/>
        </w:rPr>
      </w:pPr>
      <w:r w:rsidRPr="00B2573C">
        <w:rPr>
          <w:rFonts w:ascii="Times New Roman" w:eastAsia="Times New Roman" w:hAnsi="Times New Roman"/>
          <w:bCs/>
          <w:i/>
          <w:sz w:val="28"/>
          <w:szCs w:val="28"/>
          <w:lang w:eastAsia="ru-RU"/>
        </w:rPr>
        <w:t xml:space="preserve">активное вещество </w:t>
      </w:r>
      <w:r w:rsidR="002A22B3" w:rsidRPr="00B2573C">
        <w:rPr>
          <w:rFonts w:ascii="Times New Roman" w:eastAsia="Times New Roman" w:hAnsi="Times New Roman"/>
          <w:bCs/>
          <w:i/>
          <w:sz w:val="28"/>
          <w:szCs w:val="28"/>
          <w:lang w:eastAsia="ru-RU"/>
        </w:rPr>
        <w:t>–</w:t>
      </w:r>
      <w:r w:rsidRPr="00B2573C">
        <w:rPr>
          <w:rFonts w:ascii="Times New Roman" w:eastAsia="Times New Roman" w:hAnsi="Times New Roman"/>
          <w:bCs/>
          <w:i/>
          <w:sz w:val="28"/>
          <w:szCs w:val="28"/>
          <w:lang w:eastAsia="ru-RU"/>
        </w:rPr>
        <w:t xml:space="preserve"> </w:t>
      </w:r>
      <w:r w:rsidR="00E75B8A" w:rsidRPr="00B2573C">
        <w:rPr>
          <w:rFonts w:ascii="Times New Roman" w:eastAsia="Times New Roman" w:hAnsi="Times New Roman"/>
          <w:bCs/>
          <w:sz w:val="28"/>
          <w:szCs w:val="28"/>
          <w:lang w:eastAsia="ru-RU"/>
        </w:rPr>
        <w:t>метилпреднизолон</w:t>
      </w:r>
      <w:r w:rsidR="00D97838" w:rsidRPr="00B2573C">
        <w:rPr>
          <w:rFonts w:ascii="Times New Roman" w:eastAsia="Times New Roman" w:hAnsi="Times New Roman"/>
          <w:bCs/>
          <w:sz w:val="28"/>
          <w:szCs w:val="28"/>
          <w:lang w:eastAsia="ru-RU"/>
        </w:rPr>
        <w:t xml:space="preserve"> </w:t>
      </w:r>
      <w:r w:rsidR="00E75B8A" w:rsidRPr="00B2573C">
        <w:rPr>
          <w:rFonts w:ascii="Times New Roman" w:eastAsia="Times New Roman" w:hAnsi="Times New Roman"/>
          <w:bCs/>
          <w:sz w:val="28"/>
          <w:szCs w:val="28"/>
          <w:lang w:eastAsia="ru-RU"/>
        </w:rPr>
        <w:t>4</w:t>
      </w:r>
      <w:r w:rsidR="00D97838" w:rsidRPr="00B2573C">
        <w:rPr>
          <w:rFonts w:ascii="Times New Roman" w:eastAsia="Times New Roman" w:hAnsi="Times New Roman"/>
          <w:bCs/>
          <w:sz w:val="28"/>
          <w:szCs w:val="28"/>
          <w:lang w:eastAsia="ru-RU"/>
        </w:rPr>
        <w:t xml:space="preserve"> мг</w:t>
      </w:r>
      <w:r w:rsidR="00E75B8A" w:rsidRPr="00B2573C">
        <w:rPr>
          <w:rFonts w:ascii="Times New Roman" w:eastAsia="Times New Roman" w:hAnsi="Times New Roman"/>
          <w:bCs/>
          <w:sz w:val="28"/>
          <w:szCs w:val="28"/>
          <w:lang w:eastAsia="ru-RU"/>
        </w:rPr>
        <w:t>, 8 мг и 16 мг соответственно</w:t>
      </w:r>
      <w:r w:rsidR="00E86C6A" w:rsidRPr="00B2573C">
        <w:rPr>
          <w:rFonts w:ascii="Times New Roman" w:eastAsia="Times New Roman" w:hAnsi="Times New Roman"/>
          <w:bCs/>
          <w:sz w:val="28"/>
          <w:szCs w:val="28"/>
          <w:lang w:eastAsia="ru-RU"/>
        </w:rPr>
        <w:t>,</w:t>
      </w:r>
    </w:p>
    <w:p w14:paraId="4597DCFC" w14:textId="77777777" w:rsidR="00E75B8A" w:rsidRDefault="006B7A90" w:rsidP="00F14BCD">
      <w:pPr>
        <w:autoSpaceDE w:val="0"/>
        <w:autoSpaceDN w:val="0"/>
        <w:adjustRightInd w:val="0"/>
        <w:spacing w:after="0" w:line="240" w:lineRule="auto"/>
        <w:jc w:val="both"/>
        <w:rPr>
          <w:rFonts w:ascii="Times New Roman" w:hAnsi="Times New Roman"/>
          <w:sz w:val="28"/>
          <w:szCs w:val="28"/>
        </w:rPr>
      </w:pPr>
      <w:r w:rsidRPr="00B2573C">
        <w:rPr>
          <w:rFonts w:ascii="Times New Roman" w:hAnsi="Times New Roman"/>
          <w:i/>
          <w:iCs/>
          <w:sz w:val="28"/>
          <w:szCs w:val="28"/>
        </w:rPr>
        <w:t xml:space="preserve">вспомогательные вещества: </w:t>
      </w:r>
      <w:r w:rsidR="00E75B8A" w:rsidRPr="00B2573C">
        <w:rPr>
          <w:rFonts w:ascii="Times New Roman" w:hAnsi="Times New Roman"/>
          <w:sz w:val="28"/>
          <w:szCs w:val="28"/>
        </w:rPr>
        <w:t>лактозы моногидрат (</w:t>
      </w:r>
      <w:r w:rsidR="00E75B8A" w:rsidRPr="00B2573C">
        <w:rPr>
          <w:rFonts w:ascii="Times New Roman" w:hAnsi="Times New Roman"/>
          <w:sz w:val="28"/>
          <w:szCs w:val="28"/>
          <w:lang w:val="en-US"/>
        </w:rPr>
        <w:t>DCL</w:t>
      </w:r>
      <w:r w:rsidR="00E75B8A" w:rsidRPr="00B2573C">
        <w:rPr>
          <w:rFonts w:ascii="Times New Roman" w:hAnsi="Times New Roman"/>
          <w:sz w:val="28"/>
          <w:szCs w:val="28"/>
        </w:rPr>
        <w:t xml:space="preserve"> 11), целлюлоза микрокристаллическая (</w:t>
      </w:r>
      <w:r w:rsidR="00E75B8A" w:rsidRPr="00B2573C">
        <w:rPr>
          <w:rFonts w:ascii="Times New Roman" w:hAnsi="Times New Roman"/>
          <w:sz w:val="28"/>
          <w:szCs w:val="28"/>
          <w:lang w:val="en-US"/>
        </w:rPr>
        <w:t>PH</w:t>
      </w:r>
      <w:r w:rsidR="00E75B8A" w:rsidRPr="00B2573C">
        <w:rPr>
          <w:rFonts w:ascii="Times New Roman" w:hAnsi="Times New Roman"/>
          <w:sz w:val="28"/>
          <w:szCs w:val="28"/>
        </w:rPr>
        <w:t xml:space="preserve"> 102), крахмал кукурузный (1500), натрия </w:t>
      </w:r>
      <w:r w:rsidR="00075707" w:rsidRPr="00B2573C">
        <w:rPr>
          <w:rFonts w:ascii="Times New Roman" w:hAnsi="Times New Roman"/>
          <w:sz w:val="28"/>
          <w:szCs w:val="28"/>
        </w:rPr>
        <w:t>додецил</w:t>
      </w:r>
      <w:r w:rsidR="00E75B8A" w:rsidRPr="00B2573C">
        <w:rPr>
          <w:rFonts w:ascii="Times New Roman" w:hAnsi="Times New Roman"/>
          <w:sz w:val="28"/>
          <w:szCs w:val="28"/>
        </w:rPr>
        <w:t xml:space="preserve"> сульфат, натрия крахмала гликолят, магния стеарат.</w:t>
      </w:r>
    </w:p>
    <w:p w14:paraId="6E059BAA" w14:textId="77777777" w:rsidR="00E40504" w:rsidRPr="00B2573C" w:rsidRDefault="00E40504" w:rsidP="00F14BCD">
      <w:pPr>
        <w:autoSpaceDE w:val="0"/>
        <w:autoSpaceDN w:val="0"/>
        <w:adjustRightInd w:val="0"/>
        <w:spacing w:after="0" w:line="240" w:lineRule="auto"/>
        <w:jc w:val="both"/>
        <w:rPr>
          <w:rFonts w:ascii="Times New Roman" w:hAnsi="Times New Roman"/>
          <w:sz w:val="28"/>
          <w:szCs w:val="28"/>
        </w:rPr>
      </w:pPr>
    </w:p>
    <w:p w14:paraId="6831CD14" w14:textId="77777777" w:rsidR="006B7A90" w:rsidRPr="00B2573C" w:rsidRDefault="006B7A90" w:rsidP="00F14BCD">
      <w:pPr>
        <w:spacing w:after="0" w:line="240" w:lineRule="auto"/>
        <w:jc w:val="both"/>
        <w:rPr>
          <w:rFonts w:ascii="Times New Roman" w:hAnsi="Times New Roman"/>
          <w:iCs/>
          <w:spacing w:val="-2"/>
          <w:sz w:val="28"/>
          <w:szCs w:val="28"/>
        </w:rPr>
      </w:pPr>
      <w:r w:rsidRPr="00B2573C">
        <w:rPr>
          <w:rFonts w:ascii="Times New Roman" w:eastAsia="Times New Roman" w:hAnsi="Times New Roman"/>
          <w:b/>
          <w:i/>
          <w:sz w:val="28"/>
          <w:szCs w:val="28"/>
          <w:lang w:eastAsia="ru-RU"/>
        </w:rPr>
        <w:t>Описание внешнего вида, запаха, вкуса</w:t>
      </w:r>
    </w:p>
    <w:bookmarkEnd w:id="15"/>
    <w:p w14:paraId="59957013" w14:textId="77777777" w:rsidR="0041460C" w:rsidRDefault="002717E0" w:rsidP="00F14BCD">
      <w:pPr>
        <w:pStyle w:val="ac"/>
        <w:jc w:val="both"/>
        <w:rPr>
          <w:rFonts w:ascii="Times New Roman" w:eastAsia="Times New Roman" w:hAnsi="Times New Roman"/>
          <w:sz w:val="28"/>
          <w:szCs w:val="28"/>
          <w:lang w:eastAsia="ru-RU"/>
        </w:rPr>
      </w:pPr>
      <w:r w:rsidRPr="002717E0">
        <w:rPr>
          <w:rFonts w:ascii="Times New Roman" w:eastAsia="Times New Roman" w:hAnsi="Times New Roman"/>
          <w:sz w:val="28"/>
          <w:szCs w:val="28"/>
          <w:lang w:eastAsia="ru-RU"/>
        </w:rPr>
        <w:t>Таблетки круглой формы белого цвета, двояковыпуклые, гладкие с обеих сторон, толщиной 3.60 ± 0.30 мм (от 3.30 мм до 3.90 мм).</w:t>
      </w:r>
    </w:p>
    <w:p w14:paraId="54F973C0" w14:textId="77777777" w:rsidR="002717E0" w:rsidRPr="00B2573C" w:rsidRDefault="002717E0" w:rsidP="00F14BCD">
      <w:pPr>
        <w:pStyle w:val="ac"/>
        <w:jc w:val="both"/>
        <w:rPr>
          <w:rFonts w:ascii="Times New Roman" w:eastAsia="Times New Roman" w:hAnsi="Times New Roman"/>
          <w:sz w:val="28"/>
          <w:szCs w:val="28"/>
          <w:lang w:eastAsia="ru-RU"/>
        </w:rPr>
      </w:pPr>
    </w:p>
    <w:p w14:paraId="00DA6758" w14:textId="77777777" w:rsidR="00C9308C" w:rsidRPr="00B2573C" w:rsidRDefault="004F0668" w:rsidP="00F14BCD">
      <w:pPr>
        <w:spacing w:after="0" w:line="240" w:lineRule="auto"/>
        <w:jc w:val="both"/>
        <w:rPr>
          <w:rFonts w:ascii="Times New Roman" w:eastAsia="Times New Roman" w:hAnsi="Times New Roman"/>
          <w:b/>
          <w:sz w:val="28"/>
          <w:szCs w:val="28"/>
          <w:lang w:eastAsia="ru-RU"/>
        </w:rPr>
      </w:pPr>
      <w:bookmarkStart w:id="16" w:name="2175220287"/>
      <w:r w:rsidRPr="00B2573C">
        <w:rPr>
          <w:rFonts w:ascii="Times New Roman" w:eastAsia="Times New Roman" w:hAnsi="Times New Roman"/>
          <w:b/>
          <w:sz w:val="28"/>
          <w:szCs w:val="28"/>
          <w:lang w:eastAsia="ru-RU"/>
        </w:rPr>
        <w:t>Форма выпуска и</w:t>
      </w:r>
      <w:r w:rsidR="00C9308C" w:rsidRPr="00B2573C">
        <w:rPr>
          <w:rFonts w:ascii="Times New Roman" w:eastAsia="Times New Roman" w:hAnsi="Times New Roman"/>
          <w:b/>
          <w:sz w:val="28"/>
          <w:szCs w:val="28"/>
          <w:lang w:eastAsia="ru-RU"/>
        </w:rPr>
        <w:t xml:space="preserve"> упаковка</w:t>
      </w:r>
    </w:p>
    <w:p w14:paraId="55BB3F3C" w14:textId="77777777" w:rsidR="00075707" w:rsidRPr="00B2573C" w:rsidRDefault="00075707" w:rsidP="00F14BCD">
      <w:pPr>
        <w:spacing w:after="0" w:line="240" w:lineRule="auto"/>
        <w:jc w:val="both"/>
        <w:rPr>
          <w:rFonts w:ascii="Times New Roman" w:hAnsi="Times New Roman"/>
          <w:snapToGrid w:val="0"/>
          <w:sz w:val="28"/>
          <w:szCs w:val="28"/>
        </w:rPr>
      </w:pPr>
      <w:r w:rsidRPr="00B2573C">
        <w:rPr>
          <w:rFonts w:ascii="Times New Roman" w:hAnsi="Times New Roman"/>
          <w:snapToGrid w:val="0"/>
          <w:sz w:val="28"/>
          <w:szCs w:val="28"/>
        </w:rPr>
        <w:t>По 10 таблеток помещают в контурную ячейковую упаковку из фольги алюминиевой и пленки поливинилхлоридной янтарного цвета.</w:t>
      </w:r>
    </w:p>
    <w:p w14:paraId="0B75B758" w14:textId="77777777" w:rsidR="00E86C6A" w:rsidRDefault="00075707" w:rsidP="00F14BCD">
      <w:pPr>
        <w:spacing w:after="0" w:line="240" w:lineRule="auto"/>
        <w:jc w:val="both"/>
        <w:rPr>
          <w:rFonts w:ascii="Times New Roman" w:hAnsi="Times New Roman"/>
          <w:snapToGrid w:val="0"/>
          <w:sz w:val="28"/>
          <w:szCs w:val="28"/>
        </w:rPr>
      </w:pPr>
      <w:r w:rsidRPr="00B2573C">
        <w:rPr>
          <w:rFonts w:ascii="Times New Roman" w:hAnsi="Times New Roman"/>
          <w:snapToGrid w:val="0"/>
          <w:sz w:val="28"/>
          <w:szCs w:val="28"/>
        </w:rPr>
        <w:t>По 3 контурны</w:t>
      </w:r>
      <w:r w:rsidR="00380E3E" w:rsidRPr="00B2573C">
        <w:rPr>
          <w:rFonts w:ascii="Times New Roman" w:hAnsi="Times New Roman"/>
          <w:snapToGrid w:val="0"/>
          <w:sz w:val="28"/>
          <w:szCs w:val="28"/>
        </w:rPr>
        <w:t>е</w:t>
      </w:r>
      <w:r w:rsidRPr="00B2573C">
        <w:rPr>
          <w:rFonts w:ascii="Times New Roman" w:hAnsi="Times New Roman"/>
          <w:snapToGrid w:val="0"/>
          <w:sz w:val="28"/>
          <w:szCs w:val="28"/>
        </w:rPr>
        <w:t xml:space="preserve"> ячейковы</w:t>
      </w:r>
      <w:r w:rsidR="00380E3E" w:rsidRPr="00B2573C">
        <w:rPr>
          <w:rFonts w:ascii="Times New Roman" w:hAnsi="Times New Roman"/>
          <w:snapToGrid w:val="0"/>
          <w:sz w:val="28"/>
          <w:szCs w:val="28"/>
        </w:rPr>
        <w:t>е</w:t>
      </w:r>
      <w:r w:rsidRPr="00B2573C">
        <w:rPr>
          <w:rFonts w:ascii="Times New Roman" w:hAnsi="Times New Roman"/>
          <w:snapToGrid w:val="0"/>
          <w:sz w:val="28"/>
          <w:szCs w:val="28"/>
        </w:rPr>
        <w:t xml:space="preserve"> упаков</w:t>
      </w:r>
      <w:r w:rsidR="00380E3E" w:rsidRPr="00B2573C">
        <w:rPr>
          <w:rFonts w:ascii="Times New Roman" w:hAnsi="Times New Roman"/>
          <w:snapToGrid w:val="0"/>
          <w:sz w:val="28"/>
          <w:szCs w:val="28"/>
        </w:rPr>
        <w:t>ки</w:t>
      </w:r>
      <w:r w:rsidRPr="00B2573C">
        <w:rPr>
          <w:rFonts w:ascii="Times New Roman" w:hAnsi="Times New Roman"/>
          <w:snapToGrid w:val="0"/>
          <w:sz w:val="28"/>
          <w:szCs w:val="28"/>
        </w:rPr>
        <w:t xml:space="preserve"> вместе с инструкцией по медицинскому применению на казахском и русском языках помещают в пачку из картона.</w:t>
      </w:r>
    </w:p>
    <w:p w14:paraId="3E07620B" w14:textId="77777777" w:rsidR="00083334" w:rsidRPr="00B2573C" w:rsidRDefault="00083334" w:rsidP="00F14BCD">
      <w:pPr>
        <w:spacing w:after="0" w:line="240" w:lineRule="auto"/>
        <w:jc w:val="both"/>
        <w:rPr>
          <w:rFonts w:ascii="Times New Roman" w:eastAsia="Times New Roman" w:hAnsi="Times New Roman"/>
          <w:b/>
          <w:sz w:val="28"/>
          <w:szCs w:val="28"/>
          <w:lang w:eastAsia="ru-RU"/>
        </w:rPr>
      </w:pPr>
    </w:p>
    <w:p w14:paraId="3C4906E1" w14:textId="77777777" w:rsidR="00844CE8" w:rsidRPr="00B2573C" w:rsidRDefault="00844CE8" w:rsidP="00F14BCD">
      <w:pPr>
        <w:spacing w:after="0" w:line="240" w:lineRule="auto"/>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С</w:t>
      </w:r>
      <w:r w:rsidR="000E01AB" w:rsidRPr="00B2573C">
        <w:rPr>
          <w:rFonts w:ascii="Times New Roman" w:eastAsia="Times New Roman" w:hAnsi="Times New Roman"/>
          <w:b/>
          <w:sz w:val="28"/>
          <w:szCs w:val="28"/>
          <w:lang w:eastAsia="ru-RU"/>
        </w:rPr>
        <w:t xml:space="preserve">рок </w:t>
      </w:r>
      <w:r w:rsidR="006C6558" w:rsidRPr="00B2573C">
        <w:rPr>
          <w:rFonts w:ascii="Times New Roman" w:eastAsia="Times New Roman" w:hAnsi="Times New Roman"/>
          <w:b/>
          <w:sz w:val="28"/>
          <w:szCs w:val="28"/>
          <w:lang w:eastAsia="ru-RU"/>
        </w:rPr>
        <w:t>хранения</w:t>
      </w:r>
      <w:r w:rsidR="000E01AB" w:rsidRPr="00B2573C">
        <w:rPr>
          <w:rFonts w:ascii="Times New Roman" w:eastAsia="Times New Roman" w:hAnsi="Times New Roman"/>
          <w:b/>
          <w:sz w:val="28"/>
          <w:szCs w:val="28"/>
          <w:lang w:eastAsia="ru-RU"/>
        </w:rPr>
        <w:t xml:space="preserve"> </w:t>
      </w:r>
    </w:p>
    <w:p w14:paraId="5899B922" w14:textId="77777777" w:rsidR="00D14D61" w:rsidRPr="00B2573C" w:rsidRDefault="004D4212" w:rsidP="00F14BCD">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2</w:t>
      </w:r>
      <w:r w:rsidR="00D65DBB" w:rsidRPr="00B2573C">
        <w:rPr>
          <w:rFonts w:ascii="Times New Roman" w:eastAsia="Times New Roman" w:hAnsi="Times New Roman"/>
          <w:sz w:val="28"/>
          <w:szCs w:val="28"/>
          <w:lang w:eastAsia="ru-RU"/>
        </w:rPr>
        <w:t xml:space="preserve"> года.</w:t>
      </w:r>
    </w:p>
    <w:p w14:paraId="1C602D90" w14:textId="77777777" w:rsidR="000E01AB" w:rsidRPr="00B2573C" w:rsidRDefault="00D14D61" w:rsidP="00F14BCD">
      <w:pPr>
        <w:spacing w:after="0" w:line="240" w:lineRule="auto"/>
        <w:jc w:val="both"/>
        <w:rPr>
          <w:rFonts w:ascii="Times New Roman" w:eastAsia="Times New Roman" w:hAnsi="Times New Roman"/>
          <w:sz w:val="28"/>
          <w:szCs w:val="28"/>
          <w:lang w:eastAsia="ru-RU"/>
        </w:rPr>
      </w:pPr>
      <w:r w:rsidRPr="00B2573C">
        <w:rPr>
          <w:rFonts w:ascii="Times New Roman" w:eastAsia="Times New Roman" w:hAnsi="Times New Roman"/>
          <w:sz w:val="28"/>
          <w:szCs w:val="28"/>
          <w:lang w:eastAsia="ru-RU"/>
        </w:rPr>
        <w:t xml:space="preserve">Не </w:t>
      </w:r>
      <w:r w:rsidR="000E01AB" w:rsidRPr="00B2573C">
        <w:rPr>
          <w:rFonts w:ascii="Times New Roman" w:eastAsia="Times New Roman" w:hAnsi="Times New Roman"/>
          <w:sz w:val="28"/>
          <w:szCs w:val="28"/>
          <w:lang w:eastAsia="ru-RU"/>
        </w:rPr>
        <w:t>примен</w:t>
      </w:r>
      <w:r w:rsidRPr="00B2573C">
        <w:rPr>
          <w:rFonts w:ascii="Times New Roman" w:eastAsia="Times New Roman" w:hAnsi="Times New Roman"/>
          <w:sz w:val="28"/>
          <w:szCs w:val="28"/>
          <w:lang w:eastAsia="ru-RU"/>
        </w:rPr>
        <w:t xml:space="preserve">ять </w:t>
      </w:r>
      <w:r w:rsidR="000E01AB" w:rsidRPr="00B2573C">
        <w:rPr>
          <w:rFonts w:ascii="Times New Roman" w:eastAsia="Times New Roman" w:hAnsi="Times New Roman"/>
          <w:sz w:val="28"/>
          <w:szCs w:val="28"/>
          <w:lang w:eastAsia="ru-RU"/>
        </w:rPr>
        <w:t>по истечении срока годности</w:t>
      </w:r>
      <w:r w:rsidRPr="00B2573C">
        <w:rPr>
          <w:rFonts w:ascii="Times New Roman" w:eastAsia="Times New Roman" w:hAnsi="Times New Roman"/>
          <w:sz w:val="28"/>
          <w:szCs w:val="28"/>
          <w:lang w:eastAsia="ru-RU"/>
        </w:rPr>
        <w:t>!</w:t>
      </w:r>
    </w:p>
    <w:p w14:paraId="30C0A97B" w14:textId="77777777" w:rsidR="000E01AB" w:rsidRPr="00B2573C" w:rsidRDefault="00D14D61" w:rsidP="00F14BCD">
      <w:pPr>
        <w:spacing w:after="0" w:line="240" w:lineRule="auto"/>
        <w:jc w:val="both"/>
        <w:rPr>
          <w:rFonts w:ascii="Times New Roman" w:eastAsia="Times New Roman" w:hAnsi="Times New Roman"/>
          <w:b/>
          <w:i/>
          <w:sz w:val="28"/>
          <w:szCs w:val="28"/>
          <w:lang w:eastAsia="ru-RU"/>
        </w:rPr>
      </w:pPr>
      <w:bookmarkStart w:id="17" w:name="2175220288"/>
      <w:bookmarkEnd w:id="16"/>
      <w:r w:rsidRPr="00B2573C">
        <w:rPr>
          <w:rFonts w:ascii="Times New Roman" w:eastAsia="Times New Roman" w:hAnsi="Times New Roman"/>
          <w:b/>
          <w:i/>
          <w:sz w:val="28"/>
          <w:szCs w:val="28"/>
          <w:lang w:eastAsia="ru-RU"/>
        </w:rPr>
        <w:t>Условия хранения</w:t>
      </w:r>
    </w:p>
    <w:p w14:paraId="6A32A80D" w14:textId="77777777" w:rsidR="00E86C6A" w:rsidRPr="00B2573C" w:rsidRDefault="00D65DBB" w:rsidP="00F14BCD">
      <w:pPr>
        <w:spacing w:after="0" w:line="240" w:lineRule="auto"/>
        <w:jc w:val="both"/>
        <w:rPr>
          <w:rFonts w:ascii="Times New Roman" w:hAnsi="Times New Roman"/>
          <w:sz w:val="28"/>
          <w:szCs w:val="28"/>
        </w:rPr>
      </w:pPr>
      <w:r w:rsidRPr="00B2573C">
        <w:rPr>
          <w:rFonts w:ascii="Times New Roman" w:hAnsi="Times New Roman"/>
          <w:sz w:val="28"/>
          <w:szCs w:val="28"/>
        </w:rPr>
        <w:t xml:space="preserve">Хранить в сухом, защищенном от света месте, при температуре не выше </w:t>
      </w:r>
    </w:p>
    <w:p w14:paraId="3465E8CB" w14:textId="77777777" w:rsidR="00D65DBB" w:rsidRPr="00B2573C" w:rsidRDefault="00FF751D" w:rsidP="00F14BCD">
      <w:pPr>
        <w:spacing w:after="0" w:line="240" w:lineRule="auto"/>
        <w:jc w:val="both"/>
        <w:rPr>
          <w:rFonts w:ascii="Times New Roman" w:hAnsi="Times New Roman"/>
          <w:sz w:val="28"/>
          <w:szCs w:val="28"/>
        </w:rPr>
      </w:pPr>
      <w:r w:rsidRPr="00B2573C">
        <w:rPr>
          <w:rFonts w:ascii="Times New Roman" w:hAnsi="Times New Roman"/>
          <w:sz w:val="28"/>
          <w:szCs w:val="28"/>
        </w:rPr>
        <w:t>25</w:t>
      </w:r>
      <w:r w:rsidR="00D65DBB" w:rsidRPr="00B2573C">
        <w:rPr>
          <w:rFonts w:ascii="Times New Roman" w:hAnsi="Times New Roman"/>
          <w:sz w:val="28"/>
          <w:szCs w:val="28"/>
        </w:rPr>
        <w:t xml:space="preserve"> </w:t>
      </w:r>
      <w:r w:rsidR="00D65DBB" w:rsidRPr="00B2573C">
        <w:rPr>
          <w:rFonts w:ascii="Times New Roman" w:hAnsi="Times New Roman"/>
          <w:sz w:val="28"/>
          <w:szCs w:val="28"/>
        </w:rPr>
        <w:sym w:font="Symbol" w:char="F0B0"/>
      </w:r>
      <w:r w:rsidR="00D65DBB" w:rsidRPr="00B2573C">
        <w:rPr>
          <w:rFonts w:ascii="Times New Roman" w:hAnsi="Times New Roman"/>
          <w:sz w:val="28"/>
          <w:szCs w:val="28"/>
        </w:rPr>
        <w:t>С.</w:t>
      </w:r>
    </w:p>
    <w:p w14:paraId="44A08711" w14:textId="77777777" w:rsidR="00D65DBB" w:rsidRPr="00B2573C" w:rsidRDefault="00D65DBB" w:rsidP="00F14BCD">
      <w:pPr>
        <w:spacing w:after="0" w:line="240" w:lineRule="auto"/>
        <w:jc w:val="both"/>
        <w:rPr>
          <w:rFonts w:ascii="Times New Roman" w:hAnsi="Times New Roman"/>
          <w:sz w:val="28"/>
          <w:szCs w:val="28"/>
        </w:rPr>
      </w:pPr>
      <w:r w:rsidRPr="00B2573C">
        <w:rPr>
          <w:rFonts w:ascii="Times New Roman" w:hAnsi="Times New Roman"/>
          <w:sz w:val="28"/>
          <w:szCs w:val="28"/>
        </w:rPr>
        <w:t xml:space="preserve">Хранить в недоступном для детей месте! </w:t>
      </w:r>
      <w:bookmarkEnd w:id="17"/>
    </w:p>
    <w:p w14:paraId="5D6A706A" w14:textId="77777777" w:rsidR="004F0668" w:rsidRPr="00B2573C" w:rsidRDefault="004F0668" w:rsidP="00F14BCD">
      <w:pPr>
        <w:spacing w:after="0" w:line="240" w:lineRule="auto"/>
        <w:jc w:val="both"/>
        <w:rPr>
          <w:rFonts w:ascii="Times New Roman" w:hAnsi="Times New Roman"/>
          <w:sz w:val="28"/>
          <w:szCs w:val="28"/>
        </w:rPr>
      </w:pPr>
    </w:p>
    <w:p w14:paraId="57677929" w14:textId="77777777" w:rsidR="006C6558" w:rsidRPr="00B2573C" w:rsidRDefault="006C6558" w:rsidP="00F14BCD">
      <w:pPr>
        <w:spacing w:after="0" w:line="240" w:lineRule="auto"/>
        <w:jc w:val="both"/>
        <w:rPr>
          <w:rFonts w:ascii="Times New Roman" w:hAnsi="Times New Roman"/>
          <w:color w:val="000000"/>
          <w:sz w:val="28"/>
          <w:szCs w:val="28"/>
        </w:rPr>
      </w:pPr>
      <w:r w:rsidRPr="00B2573C">
        <w:rPr>
          <w:rFonts w:ascii="Times New Roman" w:hAnsi="Times New Roman"/>
          <w:b/>
          <w:color w:val="000000"/>
          <w:sz w:val="28"/>
          <w:szCs w:val="28"/>
        </w:rPr>
        <w:t xml:space="preserve">Условия отпуска из аптек </w:t>
      </w:r>
    </w:p>
    <w:p w14:paraId="379FEDE4" w14:textId="77777777" w:rsidR="00A13708" w:rsidRPr="00B2573C" w:rsidRDefault="00A13708" w:rsidP="00F14BCD">
      <w:pPr>
        <w:spacing w:after="0" w:line="240" w:lineRule="auto"/>
        <w:jc w:val="both"/>
        <w:rPr>
          <w:rFonts w:ascii="Times New Roman" w:hAnsi="Times New Roman"/>
          <w:color w:val="000000"/>
          <w:sz w:val="28"/>
          <w:szCs w:val="28"/>
        </w:rPr>
      </w:pPr>
      <w:r w:rsidRPr="00B2573C">
        <w:rPr>
          <w:rFonts w:ascii="Times New Roman" w:hAnsi="Times New Roman"/>
          <w:color w:val="000000"/>
          <w:sz w:val="28"/>
          <w:szCs w:val="28"/>
        </w:rPr>
        <w:t>По рецепту</w:t>
      </w:r>
    </w:p>
    <w:p w14:paraId="0D760F0F" w14:textId="77777777" w:rsidR="00C716E7" w:rsidRPr="00B2573C" w:rsidRDefault="00C716E7" w:rsidP="00F14BCD">
      <w:pPr>
        <w:spacing w:after="0" w:line="240" w:lineRule="auto"/>
        <w:jc w:val="both"/>
        <w:rPr>
          <w:rFonts w:ascii="Times New Roman" w:eastAsia="Times New Roman" w:hAnsi="Times New Roman"/>
          <w:b/>
          <w:sz w:val="28"/>
          <w:szCs w:val="28"/>
          <w:lang w:eastAsia="ru-RU"/>
        </w:rPr>
      </w:pPr>
    </w:p>
    <w:p w14:paraId="052C7404" w14:textId="77777777" w:rsidR="006B7A90" w:rsidRPr="00B2573C" w:rsidRDefault="007C1693" w:rsidP="00F14BCD">
      <w:pPr>
        <w:spacing w:after="0" w:line="240" w:lineRule="auto"/>
        <w:jc w:val="both"/>
        <w:rPr>
          <w:rFonts w:ascii="Times New Roman" w:eastAsia="Times New Roman" w:hAnsi="Times New Roman"/>
          <w:b/>
          <w:sz w:val="28"/>
          <w:szCs w:val="28"/>
          <w:lang w:eastAsia="ru-RU"/>
        </w:rPr>
      </w:pPr>
      <w:r w:rsidRPr="00B2573C">
        <w:rPr>
          <w:rFonts w:ascii="Times New Roman" w:eastAsia="Times New Roman" w:hAnsi="Times New Roman"/>
          <w:b/>
          <w:sz w:val="28"/>
          <w:szCs w:val="28"/>
          <w:lang w:eastAsia="ru-RU"/>
        </w:rPr>
        <w:t>Сведения о производителе</w:t>
      </w:r>
    </w:p>
    <w:p w14:paraId="156B6E76" w14:textId="77777777" w:rsidR="003F1875" w:rsidRPr="00B2573C" w:rsidRDefault="004E2EC8" w:rsidP="00F14BCD">
      <w:pPr>
        <w:autoSpaceDE w:val="0"/>
        <w:autoSpaceDN w:val="0"/>
        <w:spacing w:after="0" w:line="240" w:lineRule="auto"/>
        <w:jc w:val="both"/>
        <w:rPr>
          <w:rFonts w:ascii="Times New Roman" w:hAnsi="Times New Roman"/>
          <w:color w:val="000000"/>
          <w:sz w:val="28"/>
          <w:szCs w:val="28"/>
        </w:rPr>
      </w:pPr>
      <w:r w:rsidRPr="00B2573C">
        <w:rPr>
          <w:rFonts w:ascii="Times New Roman" w:hAnsi="Times New Roman"/>
          <w:color w:val="000000"/>
          <w:sz w:val="28"/>
          <w:szCs w:val="28"/>
          <w:lang w:val="en-US"/>
        </w:rPr>
        <w:t>Steril</w:t>
      </w:r>
      <w:r w:rsidRPr="00B2573C">
        <w:rPr>
          <w:rFonts w:ascii="Times New Roman" w:hAnsi="Times New Roman"/>
          <w:color w:val="000000"/>
          <w:sz w:val="28"/>
          <w:szCs w:val="28"/>
        </w:rPr>
        <w:t>-</w:t>
      </w:r>
      <w:r w:rsidRPr="00B2573C">
        <w:rPr>
          <w:rFonts w:ascii="Times New Roman" w:hAnsi="Times New Roman"/>
          <w:color w:val="000000"/>
          <w:sz w:val="28"/>
          <w:szCs w:val="28"/>
          <w:lang w:val="en-US"/>
        </w:rPr>
        <w:t>Gene</w:t>
      </w:r>
      <w:r w:rsidRPr="00B2573C">
        <w:rPr>
          <w:rFonts w:ascii="Times New Roman" w:hAnsi="Times New Roman"/>
          <w:color w:val="000000"/>
          <w:sz w:val="28"/>
          <w:szCs w:val="28"/>
        </w:rPr>
        <w:t xml:space="preserve"> </w:t>
      </w:r>
      <w:r w:rsidRPr="00B2573C">
        <w:rPr>
          <w:rFonts w:ascii="Times New Roman" w:hAnsi="Times New Roman"/>
          <w:color w:val="000000"/>
          <w:sz w:val="28"/>
          <w:szCs w:val="28"/>
          <w:lang w:val="en-US"/>
        </w:rPr>
        <w:t>Life</w:t>
      </w:r>
      <w:r w:rsidRPr="00B2573C">
        <w:rPr>
          <w:rFonts w:ascii="Times New Roman" w:hAnsi="Times New Roman"/>
          <w:color w:val="000000"/>
          <w:sz w:val="28"/>
          <w:szCs w:val="28"/>
        </w:rPr>
        <w:t xml:space="preserve"> </w:t>
      </w:r>
      <w:r w:rsidRPr="00B2573C">
        <w:rPr>
          <w:rFonts w:ascii="Times New Roman" w:hAnsi="Times New Roman"/>
          <w:color w:val="000000"/>
          <w:sz w:val="28"/>
          <w:szCs w:val="28"/>
          <w:lang w:val="en-US"/>
        </w:rPr>
        <w:t>Sciences</w:t>
      </w:r>
      <w:r w:rsidRPr="00B2573C">
        <w:rPr>
          <w:rFonts w:ascii="Times New Roman" w:hAnsi="Times New Roman"/>
          <w:color w:val="000000"/>
          <w:sz w:val="28"/>
          <w:szCs w:val="28"/>
        </w:rPr>
        <w:t xml:space="preserve"> (</w:t>
      </w:r>
      <w:r w:rsidRPr="00B2573C">
        <w:rPr>
          <w:rFonts w:ascii="Times New Roman" w:hAnsi="Times New Roman"/>
          <w:color w:val="000000"/>
          <w:sz w:val="28"/>
          <w:szCs w:val="28"/>
          <w:lang w:val="en-US"/>
        </w:rPr>
        <w:t>P</w:t>
      </w:r>
      <w:r w:rsidRPr="00B2573C">
        <w:rPr>
          <w:rFonts w:ascii="Times New Roman" w:hAnsi="Times New Roman"/>
          <w:color w:val="000000"/>
          <w:sz w:val="28"/>
          <w:szCs w:val="28"/>
        </w:rPr>
        <w:t xml:space="preserve">) </w:t>
      </w:r>
      <w:r w:rsidRPr="00B2573C">
        <w:rPr>
          <w:rFonts w:ascii="Times New Roman" w:hAnsi="Times New Roman"/>
          <w:color w:val="000000"/>
          <w:sz w:val="28"/>
          <w:szCs w:val="28"/>
          <w:lang w:val="en-US"/>
        </w:rPr>
        <w:t>Ltd</w:t>
      </w:r>
      <w:r w:rsidR="003F1875" w:rsidRPr="00B2573C">
        <w:rPr>
          <w:rFonts w:ascii="Times New Roman" w:hAnsi="Times New Roman"/>
          <w:color w:val="000000"/>
          <w:sz w:val="28"/>
          <w:szCs w:val="28"/>
        </w:rPr>
        <w:t xml:space="preserve">, </w:t>
      </w:r>
    </w:p>
    <w:p w14:paraId="55795066" w14:textId="77777777" w:rsidR="003F1875" w:rsidRPr="00B2573C" w:rsidRDefault="00E86C6A" w:rsidP="00F14BCD">
      <w:pPr>
        <w:autoSpaceDE w:val="0"/>
        <w:autoSpaceDN w:val="0"/>
        <w:spacing w:after="0" w:line="240" w:lineRule="auto"/>
        <w:jc w:val="both"/>
        <w:rPr>
          <w:rFonts w:ascii="Times New Roman" w:hAnsi="Times New Roman"/>
          <w:color w:val="000000"/>
          <w:sz w:val="28"/>
          <w:szCs w:val="28"/>
        </w:rPr>
      </w:pPr>
      <w:r w:rsidRPr="00B2573C">
        <w:rPr>
          <w:rFonts w:ascii="Times New Roman" w:hAnsi="Times New Roman"/>
          <w:color w:val="000000"/>
          <w:sz w:val="28"/>
          <w:szCs w:val="28"/>
        </w:rPr>
        <w:t>№</w:t>
      </w:r>
      <w:r w:rsidR="004E2EC8" w:rsidRPr="00B2573C">
        <w:rPr>
          <w:rFonts w:ascii="Times New Roman" w:hAnsi="Times New Roman"/>
          <w:color w:val="000000"/>
          <w:sz w:val="28"/>
          <w:szCs w:val="28"/>
        </w:rPr>
        <w:t xml:space="preserve">: 45, </w:t>
      </w:r>
      <w:r w:rsidR="004E2EC8" w:rsidRPr="00B2573C">
        <w:rPr>
          <w:rFonts w:ascii="Times New Roman" w:hAnsi="Times New Roman"/>
          <w:color w:val="000000"/>
          <w:sz w:val="28"/>
          <w:szCs w:val="28"/>
          <w:lang w:val="en-US"/>
        </w:rPr>
        <w:t>Mangalam</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Main</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Road</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Mangalam</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Village</w:t>
      </w:r>
      <w:r w:rsidR="000B64F3" w:rsidRPr="00B2573C">
        <w:rPr>
          <w:rFonts w:ascii="Times New Roman" w:hAnsi="Times New Roman"/>
          <w:color w:val="000000"/>
          <w:sz w:val="28"/>
          <w:szCs w:val="28"/>
        </w:rPr>
        <w:t>/Мангалам Виллидж</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Villianur</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Commune</w:t>
      </w:r>
      <w:r w:rsidR="004E2EC8" w:rsidRPr="00B2573C">
        <w:rPr>
          <w:rFonts w:ascii="Times New Roman" w:hAnsi="Times New Roman"/>
          <w:color w:val="000000"/>
          <w:sz w:val="28"/>
          <w:szCs w:val="28"/>
        </w:rPr>
        <w:t xml:space="preserve">, </w:t>
      </w:r>
      <w:r w:rsidR="004E2EC8" w:rsidRPr="00B2573C">
        <w:rPr>
          <w:rFonts w:ascii="Times New Roman" w:hAnsi="Times New Roman"/>
          <w:color w:val="000000"/>
          <w:sz w:val="28"/>
          <w:szCs w:val="28"/>
          <w:lang w:val="en-US"/>
        </w:rPr>
        <w:t>Puducherry</w:t>
      </w:r>
      <w:r w:rsidR="004E2EC8" w:rsidRPr="00B2573C">
        <w:rPr>
          <w:rFonts w:ascii="Times New Roman" w:hAnsi="Times New Roman"/>
          <w:color w:val="000000"/>
          <w:sz w:val="28"/>
          <w:szCs w:val="28"/>
        </w:rPr>
        <w:t xml:space="preserve"> – 605 110</w:t>
      </w:r>
      <w:r w:rsidR="003F1875" w:rsidRPr="00B2573C">
        <w:rPr>
          <w:rFonts w:ascii="Times New Roman" w:hAnsi="Times New Roman"/>
          <w:color w:val="000000"/>
          <w:sz w:val="28"/>
          <w:szCs w:val="28"/>
        </w:rPr>
        <w:t>, Индия.</w:t>
      </w:r>
    </w:p>
    <w:p w14:paraId="2A0E475A" w14:textId="77777777" w:rsidR="00E86C6A" w:rsidRPr="00B2573C" w:rsidRDefault="003F1875" w:rsidP="00F14BCD">
      <w:pPr>
        <w:autoSpaceDE w:val="0"/>
        <w:autoSpaceDN w:val="0"/>
        <w:spacing w:after="0" w:line="240" w:lineRule="auto"/>
        <w:jc w:val="both"/>
        <w:rPr>
          <w:rFonts w:ascii="Times New Roman" w:hAnsi="Times New Roman"/>
          <w:sz w:val="28"/>
          <w:szCs w:val="28"/>
        </w:rPr>
      </w:pPr>
      <w:r w:rsidRPr="00B2573C">
        <w:rPr>
          <w:rFonts w:ascii="Times New Roman" w:hAnsi="Times New Roman"/>
          <w:color w:val="000000"/>
          <w:sz w:val="28"/>
          <w:szCs w:val="28"/>
        </w:rPr>
        <w:t>тел.</w:t>
      </w:r>
      <w:r w:rsidR="00E86C6A" w:rsidRPr="00B2573C">
        <w:rPr>
          <w:rFonts w:ascii="Times New Roman" w:hAnsi="Times New Roman"/>
          <w:color w:val="000000"/>
          <w:sz w:val="28"/>
          <w:szCs w:val="28"/>
        </w:rPr>
        <w:t>:</w:t>
      </w:r>
      <w:r w:rsidRPr="00B2573C">
        <w:rPr>
          <w:rFonts w:ascii="Times New Roman" w:hAnsi="Times New Roman"/>
          <w:color w:val="000000"/>
          <w:sz w:val="28"/>
          <w:szCs w:val="28"/>
        </w:rPr>
        <w:t xml:space="preserve"> +91</w:t>
      </w:r>
      <w:r w:rsidR="00F020D7" w:rsidRPr="00B2573C">
        <w:rPr>
          <w:rFonts w:ascii="Times New Roman" w:hAnsi="Times New Roman"/>
          <w:color w:val="000000"/>
          <w:sz w:val="28"/>
          <w:szCs w:val="28"/>
        </w:rPr>
        <w:t> 413 2661103</w:t>
      </w:r>
      <w:r w:rsidR="00A90A90" w:rsidRPr="00B2573C">
        <w:rPr>
          <w:rFonts w:ascii="Times New Roman" w:hAnsi="Times New Roman"/>
          <w:color w:val="000000"/>
          <w:sz w:val="28"/>
          <w:szCs w:val="28"/>
        </w:rPr>
        <w:t>, электронный адрес:</w:t>
      </w:r>
      <w:r w:rsidR="00F020D7" w:rsidRPr="00B2573C">
        <w:rPr>
          <w:rFonts w:ascii="Times New Roman" w:hAnsi="Times New Roman"/>
          <w:color w:val="000000"/>
          <w:sz w:val="28"/>
          <w:szCs w:val="28"/>
        </w:rPr>
        <w:t xml:space="preserve"> </w:t>
      </w:r>
      <w:r w:rsidR="00F020D7" w:rsidRPr="00B2573C">
        <w:rPr>
          <w:rFonts w:ascii="Times New Roman" w:hAnsi="Times New Roman"/>
          <w:sz w:val="28"/>
          <w:szCs w:val="28"/>
        </w:rPr>
        <w:t xml:space="preserve"> </w:t>
      </w:r>
      <w:hyperlink r:id="rId9" w:history="1">
        <w:r w:rsidR="00F020D7" w:rsidRPr="00B2573C">
          <w:rPr>
            <w:rFonts w:ascii="Times New Roman" w:hAnsi="Times New Roman"/>
            <w:sz w:val="28"/>
            <w:szCs w:val="28"/>
          </w:rPr>
          <w:t>hrd@steril-gene.com</w:t>
        </w:r>
      </w:hyperlink>
    </w:p>
    <w:p w14:paraId="00D40990" w14:textId="77777777" w:rsidR="00D96CF9" w:rsidRPr="00B2573C" w:rsidRDefault="00D96CF9" w:rsidP="00F14BCD">
      <w:pPr>
        <w:autoSpaceDE w:val="0"/>
        <w:autoSpaceDN w:val="0"/>
        <w:spacing w:after="0" w:line="240" w:lineRule="auto"/>
        <w:jc w:val="both"/>
        <w:rPr>
          <w:rFonts w:ascii="Times New Roman" w:hAnsi="Times New Roman"/>
          <w:sz w:val="28"/>
          <w:szCs w:val="28"/>
        </w:rPr>
      </w:pPr>
    </w:p>
    <w:p w14:paraId="617F7FD3" w14:textId="77777777" w:rsidR="005020DD" w:rsidRPr="00B2573C" w:rsidRDefault="005020DD" w:rsidP="00F14BCD">
      <w:pPr>
        <w:autoSpaceDE w:val="0"/>
        <w:autoSpaceDN w:val="0"/>
        <w:spacing w:after="0" w:line="240" w:lineRule="auto"/>
        <w:jc w:val="both"/>
        <w:rPr>
          <w:rFonts w:ascii="Times New Roman" w:hAnsi="Times New Roman"/>
          <w:b/>
          <w:bCs/>
          <w:sz w:val="28"/>
          <w:szCs w:val="28"/>
        </w:rPr>
      </w:pPr>
      <w:r w:rsidRPr="00B2573C">
        <w:rPr>
          <w:rFonts w:ascii="Times New Roman" w:hAnsi="Times New Roman"/>
          <w:b/>
          <w:bCs/>
          <w:sz w:val="28"/>
          <w:szCs w:val="28"/>
        </w:rPr>
        <w:t>Держатель регистрационного удостоверения</w:t>
      </w:r>
    </w:p>
    <w:p w14:paraId="7357A96D" w14:textId="77777777" w:rsidR="00D96CF9" w:rsidRPr="00B2573C" w:rsidRDefault="00D96CF9" w:rsidP="00D96CF9">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ТОО «</w:t>
      </w:r>
      <w:r w:rsidRPr="00B2573C">
        <w:rPr>
          <w:rFonts w:ascii="Times New Roman" w:eastAsia="Times New Roman" w:hAnsi="Times New Roman"/>
          <w:bCs/>
          <w:iCs/>
          <w:sz w:val="28"/>
          <w:szCs w:val="28"/>
          <w:lang w:val="en-US" w:eastAsia="cs-CZ"/>
        </w:rPr>
        <w:t>Rogers</w:t>
      </w:r>
      <w:r w:rsidRPr="00B2573C">
        <w:rPr>
          <w:rFonts w:ascii="Times New Roman" w:eastAsia="Times New Roman" w:hAnsi="Times New Roman"/>
          <w:bCs/>
          <w:iCs/>
          <w:sz w:val="28"/>
          <w:szCs w:val="28"/>
          <w:lang w:eastAsia="cs-CZ"/>
        </w:rPr>
        <w:t xml:space="preserve"> </w:t>
      </w:r>
      <w:r w:rsidRPr="00B2573C">
        <w:rPr>
          <w:rFonts w:ascii="Times New Roman" w:eastAsia="Times New Roman" w:hAnsi="Times New Roman"/>
          <w:bCs/>
          <w:iCs/>
          <w:sz w:val="28"/>
          <w:szCs w:val="28"/>
          <w:lang w:val="en-US" w:eastAsia="cs-CZ"/>
        </w:rPr>
        <w:t>Pharma</w:t>
      </w:r>
      <w:r w:rsidRPr="00B2573C">
        <w:rPr>
          <w:rFonts w:ascii="Times New Roman" w:eastAsia="Times New Roman" w:hAnsi="Times New Roman"/>
          <w:bCs/>
          <w:iCs/>
          <w:sz w:val="28"/>
          <w:szCs w:val="28"/>
          <w:lang w:eastAsia="cs-CZ"/>
        </w:rPr>
        <w:t>»</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Республика Казахстан</w:t>
      </w:r>
      <w:r w:rsidRPr="00B2573C">
        <w:rPr>
          <w:rFonts w:ascii="Times New Roman" w:eastAsia="Times New Roman" w:hAnsi="Times New Roman"/>
          <w:bCs/>
          <w:iCs/>
          <w:sz w:val="28"/>
          <w:szCs w:val="28"/>
          <w:lang w:val="de-DE" w:eastAsia="cs-CZ"/>
        </w:rPr>
        <w:t xml:space="preserve">, 050043, </w:t>
      </w:r>
    </w:p>
    <w:p w14:paraId="050BB5DC" w14:textId="77777777" w:rsidR="00D96CF9" w:rsidRPr="00B2573C" w:rsidRDefault="00D96CF9" w:rsidP="00D96CF9">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г</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Алматы</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мкн</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 xml:space="preserve">Мирас, 157, блок 2, н.п. 819. </w:t>
      </w:r>
    </w:p>
    <w:p w14:paraId="2D4C64C2" w14:textId="77777777" w:rsidR="002717E0" w:rsidRPr="002717E0" w:rsidRDefault="00D96CF9" w:rsidP="002717E0">
      <w:pPr>
        <w:autoSpaceDE w:val="0"/>
        <w:autoSpaceDN w:val="0"/>
        <w:spacing w:after="0" w:line="240" w:lineRule="auto"/>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Тел.:</w:t>
      </w:r>
      <w:r w:rsidR="00E40504">
        <w:rPr>
          <w:rFonts w:ascii="Times New Roman" w:eastAsia="Times New Roman" w:hAnsi="Times New Roman"/>
          <w:bCs/>
          <w:iCs/>
          <w:sz w:val="28"/>
          <w:szCs w:val="28"/>
          <w:lang w:eastAsia="cs-CZ"/>
        </w:rPr>
        <w:t xml:space="preserve"> +7 </w:t>
      </w:r>
      <w:r w:rsidRPr="00B2573C">
        <w:rPr>
          <w:rFonts w:ascii="Times New Roman" w:eastAsia="Times New Roman" w:hAnsi="Times New Roman"/>
          <w:bCs/>
          <w:iCs/>
          <w:sz w:val="28"/>
          <w:szCs w:val="28"/>
          <w:lang w:eastAsia="cs-CZ"/>
        </w:rPr>
        <w:t xml:space="preserve">(727) 311-81-96/97, электронный адрес: </w:t>
      </w:r>
      <w:hyperlink r:id="rId10" w:history="1">
        <w:r w:rsidRPr="00B2573C">
          <w:rPr>
            <w:rStyle w:val="af"/>
            <w:rFonts w:ascii="Times New Roman" w:eastAsia="Times New Roman" w:hAnsi="Times New Roman"/>
            <w:bCs/>
            <w:iCs/>
            <w:color w:val="auto"/>
            <w:sz w:val="28"/>
            <w:szCs w:val="28"/>
            <w:u w:val="none"/>
            <w:lang w:val="en-US" w:eastAsia="cs-CZ"/>
          </w:rPr>
          <w:t>office</w:t>
        </w:r>
        <w:r w:rsidRPr="00B2573C">
          <w:rPr>
            <w:rStyle w:val="af"/>
            <w:rFonts w:ascii="Times New Roman" w:eastAsia="Times New Roman" w:hAnsi="Times New Roman"/>
            <w:bCs/>
            <w:iCs/>
            <w:color w:val="auto"/>
            <w:sz w:val="28"/>
            <w:szCs w:val="28"/>
            <w:u w:val="none"/>
            <w:lang w:eastAsia="cs-CZ"/>
          </w:rPr>
          <w:t>.</w:t>
        </w:r>
        <w:r w:rsidRPr="00B2573C">
          <w:rPr>
            <w:rStyle w:val="af"/>
            <w:rFonts w:ascii="Times New Roman" w:eastAsia="Times New Roman" w:hAnsi="Times New Roman"/>
            <w:bCs/>
            <w:iCs/>
            <w:color w:val="auto"/>
            <w:sz w:val="28"/>
            <w:szCs w:val="28"/>
            <w:u w:val="none"/>
            <w:lang w:val="en-US" w:eastAsia="cs-CZ"/>
          </w:rPr>
          <w:t>secretary</w:t>
        </w:r>
        <w:r w:rsidRPr="00B2573C">
          <w:rPr>
            <w:rStyle w:val="af"/>
            <w:rFonts w:ascii="Times New Roman" w:eastAsia="Times New Roman" w:hAnsi="Times New Roman"/>
            <w:bCs/>
            <w:iCs/>
            <w:color w:val="auto"/>
            <w:sz w:val="28"/>
            <w:szCs w:val="28"/>
            <w:u w:val="none"/>
            <w:lang w:eastAsia="cs-CZ"/>
          </w:rPr>
          <w:t>@</w:t>
        </w:r>
        <w:r w:rsidRPr="00B2573C">
          <w:rPr>
            <w:rStyle w:val="af"/>
            <w:rFonts w:ascii="Times New Roman" w:eastAsia="Times New Roman" w:hAnsi="Times New Roman"/>
            <w:bCs/>
            <w:iCs/>
            <w:color w:val="auto"/>
            <w:sz w:val="28"/>
            <w:szCs w:val="28"/>
            <w:u w:val="none"/>
            <w:lang w:val="en-US" w:eastAsia="cs-CZ"/>
          </w:rPr>
          <w:t>rogersgroup</w:t>
        </w:r>
        <w:r w:rsidRPr="00B2573C">
          <w:rPr>
            <w:rStyle w:val="af"/>
            <w:rFonts w:ascii="Times New Roman" w:eastAsia="Times New Roman" w:hAnsi="Times New Roman"/>
            <w:bCs/>
            <w:iCs/>
            <w:color w:val="auto"/>
            <w:sz w:val="28"/>
            <w:szCs w:val="28"/>
            <w:u w:val="none"/>
            <w:lang w:eastAsia="cs-CZ"/>
          </w:rPr>
          <w:t>.</w:t>
        </w:r>
        <w:r w:rsidRPr="00B2573C">
          <w:rPr>
            <w:rStyle w:val="af"/>
            <w:rFonts w:ascii="Times New Roman" w:eastAsia="Times New Roman" w:hAnsi="Times New Roman"/>
            <w:bCs/>
            <w:iCs/>
            <w:color w:val="auto"/>
            <w:sz w:val="28"/>
            <w:szCs w:val="28"/>
            <w:u w:val="none"/>
            <w:lang w:val="en-US" w:eastAsia="cs-CZ"/>
          </w:rPr>
          <w:t>in</w:t>
        </w:r>
      </w:hyperlink>
    </w:p>
    <w:p w14:paraId="66C223EA" w14:textId="77777777" w:rsidR="00D96CF9" w:rsidRPr="00B2573C" w:rsidRDefault="00D96CF9" w:rsidP="00F14BCD">
      <w:pPr>
        <w:spacing w:after="0" w:line="240" w:lineRule="auto"/>
        <w:jc w:val="both"/>
        <w:rPr>
          <w:rFonts w:ascii="Times New Roman" w:eastAsia="Times New Roman" w:hAnsi="Times New Roman"/>
          <w:b/>
          <w:sz w:val="28"/>
          <w:szCs w:val="28"/>
          <w:lang w:eastAsia="cs-CZ"/>
        </w:rPr>
      </w:pPr>
    </w:p>
    <w:p w14:paraId="40E8C61D" w14:textId="77777777" w:rsidR="005A6DEE" w:rsidRPr="00B2573C" w:rsidRDefault="005A6DEE" w:rsidP="00F14BCD">
      <w:pPr>
        <w:spacing w:after="0" w:line="240" w:lineRule="auto"/>
        <w:jc w:val="both"/>
        <w:rPr>
          <w:rFonts w:ascii="Times New Roman" w:eastAsia="Times New Roman" w:hAnsi="Times New Roman"/>
          <w:b/>
          <w:sz w:val="28"/>
          <w:szCs w:val="28"/>
          <w:lang w:eastAsia="cs-CZ"/>
        </w:rPr>
      </w:pPr>
      <w:r w:rsidRPr="00B2573C">
        <w:rPr>
          <w:rFonts w:ascii="Times New Roman" w:eastAsia="Times New Roman" w:hAnsi="Times New Roman"/>
          <w:b/>
          <w:sz w:val="28"/>
          <w:szCs w:val="28"/>
          <w:lang w:val="uk-UA" w:eastAsia="cs-CZ"/>
        </w:rPr>
        <w:t>Наименование, адрес и контактные данные (телефон, факс, электронная почта) организации</w:t>
      </w:r>
      <w:r w:rsidRPr="00B2573C">
        <w:rPr>
          <w:rFonts w:ascii="Times New Roman" w:eastAsia="Times New Roman" w:hAnsi="Times New Roman"/>
          <w:b/>
          <w:sz w:val="28"/>
          <w:szCs w:val="28"/>
          <w:lang w:eastAsia="cs-CZ"/>
        </w:rPr>
        <w:t xml:space="preserve">, принимающей претензии (предложения) по качеству лекарственного средства от потребителей </w:t>
      </w:r>
      <w:r w:rsidRPr="00B2573C">
        <w:rPr>
          <w:rFonts w:ascii="Times New Roman" w:eastAsia="Times New Roman" w:hAnsi="Times New Roman"/>
          <w:b/>
          <w:sz w:val="28"/>
          <w:szCs w:val="28"/>
          <w:lang w:val="uk-UA" w:eastAsia="cs-CZ"/>
        </w:rPr>
        <w:t>на территории</w:t>
      </w:r>
      <w:r w:rsidRPr="00B2573C">
        <w:rPr>
          <w:rFonts w:ascii="Times New Roman" w:eastAsia="Times New Roman" w:hAnsi="Times New Roman"/>
          <w:b/>
          <w:sz w:val="28"/>
          <w:szCs w:val="28"/>
          <w:lang w:eastAsia="cs-CZ"/>
        </w:rPr>
        <w:t xml:space="preserve"> Республики Казахстан</w:t>
      </w:r>
    </w:p>
    <w:p w14:paraId="3D0514E9" w14:textId="77777777" w:rsidR="00403056" w:rsidRPr="00B2573C" w:rsidRDefault="005A6DEE" w:rsidP="00F14BCD">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ТОО «</w:t>
      </w:r>
      <w:r w:rsidRPr="00B2573C">
        <w:rPr>
          <w:rFonts w:ascii="Times New Roman" w:eastAsia="Times New Roman" w:hAnsi="Times New Roman"/>
          <w:bCs/>
          <w:iCs/>
          <w:sz w:val="28"/>
          <w:szCs w:val="28"/>
          <w:lang w:val="en-US" w:eastAsia="cs-CZ"/>
        </w:rPr>
        <w:t>Rogers</w:t>
      </w:r>
      <w:r w:rsidRPr="00B2573C">
        <w:rPr>
          <w:rFonts w:ascii="Times New Roman" w:eastAsia="Times New Roman" w:hAnsi="Times New Roman"/>
          <w:bCs/>
          <w:iCs/>
          <w:sz w:val="28"/>
          <w:szCs w:val="28"/>
          <w:lang w:eastAsia="cs-CZ"/>
        </w:rPr>
        <w:t xml:space="preserve"> </w:t>
      </w:r>
      <w:r w:rsidRPr="00B2573C">
        <w:rPr>
          <w:rFonts w:ascii="Times New Roman" w:eastAsia="Times New Roman" w:hAnsi="Times New Roman"/>
          <w:bCs/>
          <w:iCs/>
          <w:sz w:val="28"/>
          <w:szCs w:val="28"/>
          <w:lang w:val="en-US" w:eastAsia="cs-CZ"/>
        </w:rPr>
        <w:t>Pharma</w:t>
      </w:r>
      <w:r w:rsidRPr="00B2573C">
        <w:rPr>
          <w:rFonts w:ascii="Times New Roman" w:eastAsia="Times New Roman" w:hAnsi="Times New Roman"/>
          <w:bCs/>
          <w:iCs/>
          <w:sz w:val="28"/>
          <w:szCs w:val="28"/>
          <w:lang w:eastAsia="cs-CZ"/>
        </w:rPr>
        <w:t>»</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Республика Казахстан</w:t>
      </w:r>
      <w:r w:rsidRPr="00B2573C">
        <w:rPr>
          <w:rFonts w:ascii="Times New Roman" w:eastAsia="Times New Roman" w:hAnsi="Times New Roman"/>
          <w:bCs/>
          <w:iCs/>
          <w:sz w:val="28"/>
          <w:szCs w:val="28"/>
          <w:lang w:val="de-DE" w:eastAsia="cs-CZ"/>
        </w:rPr>
        <w:t xml:space="preserve">, 050043, </w:t>
      </w:r>
    </w:p>
    <w:p w14:paraId="07000856" w14:textId="77777777" w:rsidR="00403056" w:rsidRPr="00B2573C" w:rsidRDefault="005A6DEE" w:rsidP="00F14BCD">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г</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Алматы</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мкн</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 xml:space="preserve">Мирас, 157, </w:t>
      </w:r>
      <w:r w:rsidR="00D70797" w:rsidRPr="00B2573C">
        <w:rPr>
          <w:rFonts w:ascii="Times New Roman" w:eastAsia="Times New Roman" w:hAnsi="Times New Roman"/>
          <w:bCs/>
          <w:iCs/>
          <w:sz w:val="28"/>
          <w:szCs w:val="28"/>
          <w:lang w:eastAsia="cs-CZ"/>
        </w:rPr>
        <w:t xml:space="preserve">блок 2, </w:t>
      </w:r>
      <w:r w:rsidRPr="00B2573C">
        <w:rPr>
          <w:rFonts w:ascii="Times New Roman" w:eastAsia="Times New Roman" w:hAnsi="Times New Roman"/>
          <w:bCs/>
          <w:iCs/>
          <w:sz w:val="28"/>
          <w:szCs w:val="28"/>
          <w:lang w:eastAsia="cs-CZ"/>
        </w:rPr>
        <w:t>н.п. 819.</w:t>
      </w:r>
      <w:r w:rsidR="00A90A90" w:rsidRPr="00B2573C">
        <w:rPr>
          <w:rFonts w:ascii="Times New Roman" w:eastAsia="Times New Roman" w:hAnsi="Times New Roman"/>
          <w:bCs/>
          <w:iCs/>
          <w:sz w:val="28"/>
          <w:szCs w:val="28"/>
          <w:lang w:eastAsia="cs-CZ"/>
        </w:rPr>
        <w:t xml:space="preserve"> </w:t>
      </w:r>
    </w:p>
    <w:p w14:paraId="274C8EFB" w14:textId="77777777" w:rsidR="00403056" w:rsidRPr="00B2573C" w:rsidRDefault="005A6DEE" w:rsidP="00F14BCD">
      <w:pPr>
        <w:autoSpaceDE w:val="0"/>
        <w:autoSpaceDN w:val="0"/>
        <w:spacing w:after="0" w:line="240" w:lineRule="auto"/>
        <w:jc w:val="both"/>
        <w:rPr>
          <w:rStyle w:val="af"/>
          <w:rFonts w:ascii="Times New Roman" w:eastAsia="Times New Roman" w:hAnsi="Times New Roman"/>
          <w:bCs/>
          <w:iCs/>
          <w:color w:val="auto"/>
          <w:sz w:val="28"/>
          <w:szCs w:val="28"/>
          <w:u w:val="none"/>
          <w:lang w:eastAsia="cs-CZ"/>
        </w:rPr>
      </w:pPr>
      <w:r w:rsidRPr="00B2573C">
        <w:rPr>
          <w:rFonts w:ascii="Times New Roman" w:eastAsia="Times New Roman" w:hAnsi="Times New Roman"/>
          <w:bCs/>
          <w:iCs/>
          <w:sz w:val="28"/>
          <w:szCs w:val="28"/>
          <w:lang w:eastAsia="cs-CZ"/>
        </w:rPr>
        <w:t>Тел.</w:t>
      </w:r>
      <w:r w:rsidR="00403056" w:rsidRPr="00B2573C">
        <w:rPr>
          <w:rFonts w:ascii="Times New Roman" w:eastAsia="Times New Roman" w:hAnsi="Times New Roman"/>
          <w:bCs/>
          <w:iCs/>
          <w:sz w:val="28"/>
          <w:szCs w:val="28"/>
          <w:lang w:eastAsia="cs-CZ"/>
        </w:rPr>
        <w:t>:</w:t>
      </w:r>
      <w:r w:rsidRPr="00B2573C">
        <w:rPr>
          <w:rFonts w:ascii="Times New Roman" w:eastAsia="Times New Roman" w:hAnsi="Times New Roman"/>
          <w:bCs/>
          <w:iCs/>
          <w:sz w:val="28"/>
          <w:szCs w:val="28"/>
          <w:lang w:eastAsia="cs-CZ"/>
        </w:rPr>
        <w:t xml:space="preserve"> (727) 311-81-96/97, </w:t>
      </w:r>
      <w:r w:rsidR="00A47955" w:rsidRPr="00B2573C">
        <w:rPr>
          <w:rFonts w:ascii="Times New Roman" w:eastAsia="Times New Roman" w:hAnsi="Times New Roman"/>
          <w:bCs/>
          <w:iCs/>
          <w:sz w:val="28"/>
          <w:szCs w:val="28"/>
          <w:lang w:eastAsia="cs-CZ"/>
        </w:rPr>
        <w:t xml:space="preserve">электронный адрес: </w:t>
      </w:r>
      <w:hyperlink r:id="rId11" w:history="1">
        <w:r w:rsidR="00A47955" w:rsidRPr="00B2573C">
          <w:rPr>
            <w:rStyle w:val="af"/>
            <w:rFonts w:ascii="Times New Roman" w:eastAsia="Times New Roman" w:hAnsi="Times New Roman"/>
            <w:bCs/>
            <w:iCs/>
            <w:color w:val="auto"/>
            <w:sz w:val="28"/>
            <w:szCs w:val="28"/>
            <w:u w:val="none"/>
            <w:lang w:val="en-US" w:eastAsia="cs-CZ"/>
          </w:rPr>
          <w:t>office</w:t>
        </w:r>
        <w:r w:rsidR="00A47955" w:rsidRPr="00B2573C">
          <w:rPr>
            <w:rStyle w:val="af"/>
            <w:rFonts w:ascii="Times New Roman" w:eastAsia="Times New Roman" w:hAnsi="Times New Roman"/>
            <w:bCs/>
            <w:iCs/>
            <w:color w:val="auto"/>
            <w:sz w:val="28"/>
            <w:szCs w:val="28"/>
            <w:u w:val="none"/>
            <w:lang w:eastAsia="cs-CZ"/>
          </w:rPr>
          <w:t>.</w:t>
        </w:r>
        <w:r w:rsidR="00A47955" w:rsidRPr="00B2573C">
          <w:rPr>
            <w:rStyle w:val="af"/>
            <w:rFonts w:ascii="Times New Roman" w:eastAsia="Times New Roman" w:hAnsi="Times New Roman"/>
            <w:bCs/>
            <w:iCs/>
            <w:color w:val="auto"/>
            <w:sz w:val="28"/>
            <w:szCs w:val="28"/>
            <w:u w:val="none"/>
            <w:lang w:val="en-US" w:eastAsia="cs-CZ"/>
          </w:rPr>
          <w:t>secretary</w:t>
        </w:r>
        <w:r w:rsidR="00A47955" w:rsidRPr="00B2573C">
          <w:rPr>
            <w:rStyle w:val="af"/>
            <w:rFonts w:ascii="Times New Roman" w:eastAsia="Times New Roman" w:hAnsi="Times New Roman"/>
            <w:bCs/>
            <w:iCs/>
            <w:color w:val="auto"/>
            <w:sz w:val="28"/>
            <w:szCs w:val="28"/>
            <w:u w:val="none"/>
            <w:lang w:eastAsia="cs-CZ"/>
          </w:rPr>
          <w:t>@</w:t>
        </w:r>
        <w:r w:rsidR="00A47955" w:rsidRPr="00B2573C">
          <w:rPr>
            <w:rStyle w:val="af"/>
            <w:rFonts w:ascii="Times New Roman" w:eastAsia="Times New Roman" w:hAnsi="Times New Roman"/>
            <w:bCs/>
            <w:iCs/>
            <w:color w:val="auto"/>
            <w:sz w:val="28"/>
            <w:szCs w:val="28"/>
            <w:u w:val="none"/>
            <w:lang w:val="en-US" w:eastAsia="cs-CZ"/>
          </w:rPr>
          <w:t>rogersgroup</w:t>
        </w:r>
        <w:r w:rsidR="00A47955" w:rsidRPr="00B2573C">
          <w:rPr>
            <w:rStyle w:val="af"/>
            <w:rFonts w:ascii="Times New Roman" w:eastAsia="Times New Roman" w:hAnsi="Times New Roman"/>
            <w:bCs/>
            <w:iCs/>
            <w:color w:val="auto"/>
            <w:sz w:val="28"/>
            <w:szCs w:val="28"/>
            <w:u w:val="none"/>
            <w:lang w:eastAsia="cs-CZ"/>
          </w:rPr>
          <w:t>.</w:t>
        </w:r>
        <w:r w:rsidR="00A47955" w:rsidRPr="00B2573C">
          <w:rPr>
            <w:rStyle w:val="af"/>
            <w:rFonts w:ascii="Times New Roman" w:eastAsia="Times New Roman" w:hAnsi="Times New Roman"/>
            <w:bCs/>
            <w:iCs/>
            <w:color w:val="auto"/>
            <w:sz w:val="28"/>
            <w:szCs w:val="28"/>
            <w:u w:val="none"/>
            <w:lang w:val="en-US" w:eastAsia="cs-CZ"/>
          </w:rPr>
          <w:t>in</w:t>
        </w:r>
      </w:hyperlink>
    </w:p>
    <w:p w14:paraId="3F15EE74" w14:textId="77777777" w:rsidR="00D96CF9" w:rsidRPr="00B2573C" w:rsidRDefault="00D96CF9" w:rsidP="00F14BCD">
      <w:pPr>
        <w:autoSpaceDE w:val="0"/>
        <w:autoSpaceDN w:val="0"/>
        <w:spacing w:after="0" w:line="240" w:lineRule="auto"/>
        <w:jc w:val="both"/>
        <w:rPr>
          <w:rFonts w:ascii="Times New Roman" w:eastAsia="Times New Roman" w:hAnsi="Times New Roman"/>
          <w:bCs/>
          <w:iCs/>
          <w:sz w:val="28"/>
          <w:szCs w:val="28"/>
          <w:lang w:eastAsia="cs-CZ"/>
        </w:rPr>
      </w:pPr>
    </w:p>
    <w:p w14:paraId="4769A59E" w14:textId="77777777" w:rsidR="005A6DEE" w:rsidRPr="00B2573C" w:rsidRDefault="005A6DEE" w:rsidP="00F14BCD">
      <w:pPr>
        <w:autoSpaceDE w:val="0"/>
        <w:autoSpaceDN w:val="0"/>
        <w:spacing w:after="0" w:line="240" w:lineRule="auto"/>
        <w:jc w:val="both"/>
        <w:rPr>
          <w:rFonts w:ascii="Times New Roman" w:eastAsia="Times New Roman" w:hAnsi="Times New Roman"/>
          <w:b/>
          <w:bCs/>
          <w:iCs/>
          <w:color w:val="000000"/>
          <w:sz w:val="28"/>
          <w:szCs w:val="28"/>
          <w:lang w:eastAsia="cs-CZ"/>
        </w:rPr>
      </w:pPr>
      <w:r w:rsidRPr="00B2573C">
        <w:rPr>
          <w:rFonts w:ascii="Times New Roman" w:eastAsia="Times New Roman" w:hAnsi="Times New Roman"/>
          <w:b/>
          <w:bCs/>
          <w:iCs/>
          <w:color w:val="000000"/>
          <w:sz w:val="28"/>
          <w:szCs w:val="28"/>
          <w:lang w:val="kk-KZ" w:eastAsia="cs-CZ"/>
        </w:rPr>
        <w:t xml:space="preserve">Наименование, адрес и контактные данные (телефон, факс, электронная почта) организации </w:t>
      </w:r>
      <w:r w:rsidRPr="00B2573C">
        <w:rPr>
          <w:rFonts w:ascii="Times New Roman" w:eastAsia="Times New Roman" w:hAnsi="Times New Roman"/>
          <w:b/>
          <w:bCs/>
          <w:iCs/>
          <w:color w:val="000000"/>
          <w:sz w:val="28"/>
          <w:szCs w:val="28"/>
          <w:lang w:eastAsia="cs-CZ"/>
        </w:rPr>
        <w:t xml:space="preserve">на территории Республики Казахстан, </w:t>
      </w:r>
      <w:r w:rsidRPr="00B2573C">
        <w:rPr>
          <w:rFonts w:ascii="Times New Roman" w:eastAsia="Times New Roman" w:hAnsi="Times New Roman"/>
          <w:b/>
          <w:bCs/>
          <w:iCs/>
          <w:color w:val="000000"/>
          <w:sz w:val="28"/>
          <w:szCs w:val="28"/>
          <w:lang w:val="de-DE" w:eastAsia="cs-CZ"/>
        </w:rPr>
        <w:t xml:space="preserve">ответственной за пострегистрационное наблюдение за безопасностью лекарственного средства </w:t>
      </w:r>
    </w:p>
    <w:p w14:paraId="3B037132" w14:textId="77777777" w:rsidR="00D96CF9" w:rsidRPr="00B2573C" w:rsidRDefault="00D96CF9" w:rsidP="00D96CF9">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lastRenderedPageBreak/>
        <w:t>ТОО «</w:t>
      </w:r>
      <w:r w:rsidRPr="00B2573C">
        <w:rPr>
          <w:rFonts w:ascii="Times New Roman" w:eastAsia="Times New Roman" w:hAnsi="Times New Roman"/>
          <w:bCs/>
          <w:iCs/>
          <w:sz w:val="28"/>
          <w:szCs w:val="28"/>
          <w:lang w:val="en-US" w:eastAsia="cs-CZ"/>
        </w:rPr>
        <w:t>Rogers</w:t>
      </w:r>
      <w:r w:rsidRPr="00B2573C">
        <w:rPr>
          <w:rFonts w:ascii="Times New Roman" w:eastAsia="Times New Roman" w:hAnsi="Times New Roman"/>
          <w:bCs/>
          <w:iCs/>
          <w:sz w:val="28"/>
          <w:szCs w:val="28"/>
          <w:lang w:eastAsia="cs-CZ"/>
        </w:rPr>
        <w:t xml:space="preserve"> </w:t>
      </w:r>
      <w:r w:rsidRPr="00B2573C">
        <w:rPr>
          <w:rFonts w:ascii="Times New Roman" w:eastAsia="Times New Roman" w:hAnsi="Times New Roman"/>
          <w:bCs/>
          <w:iCs/>
          <w:sz w:val="28"/>
          <w:szCs w:val="28"/>
          <w:lang w:val="en-US" w:eastAsia="cs-CZ"/>
        </w:rPr>
        <w:t>Pharma</w:t>
      </w:r>
      <w:r w:rsidRPr="00B2573C">
        <w:rPr>
          <w:rFonts w:ascii="Times New Roman" w:eastAsia="Times New Roman" w:hAnsi="Times New Roman"/>
          <w:bCs/>
          <w:iCs/>
          <w:sz w:val="28"/>
          <w:szCs w:val="28"/>
          <w:lang w:eastAsia="cs-CZ"/>
        </w:rPr>
        <w:t>»</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Республика Казахстан</w:t>
      </w:r>
      <w:r w:rsidRPr="00B2573C">
        <w:rPr>
          <w:rFonts w:ascii="Times New Roman" w:eastAsia="Times New Roman" w:hAnsi="Times New Roman"/>
          <w:bCs/>
          <w:iCs/>
          <w:sz w:val="28"/>
          <w:szCs w:val="28"/>
          <w:lang w:val="de-DE" w:eastAsia="cs-CZ"/>
        </w:rPr>
        <w:t xml:space="preserve">, 050043, </w:t>
      </w:r>
    </w:p>
    <w:p w14:paraId="0E1A59FE" w14:textId="77777777" w:rsidR="00D96CF9" w:rsidRPr="00B2573C" w:rsidRDefault="00D96CF9" w:rsidP="00D96CF9">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г</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Алматы</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мкн</w:t>
      </w:r>
      <w:r w:rsidRPr="00B2573C">
        <w:rPr>
          <w:rFonts w:ascii="Times New Roman" w:eastAsia="Times New Roman" w:hAnsi="Times New Roman"/>
          <w:bCs/>
          <w:iCs/>
          <w:sz w:val="28"/>
          <w:szCs w:val="28"/>
          <w:lang w:val="de-DE" w:eastAsia="cs-CZ"/>
        </w:rPr>
        <w:t xml:space="preserve">. </w:t>
      </w:r>
      <w:r w:rsidRPr="00B2573C">
        <w:rPr>
          <w:rFonts w:ascii="Times New Roman" w:eastAsia="Times New Roman" w:hAnsi="Times New Roman"/>
          <w:bCs/>
          <w:iCs/>
          <w:sz w:val="28"/>
          <w:szCs w:val="28"/>
          <w:lang w:eastAsia="cs-CZ"/>
        </w:rPr>
        <w:t xml:space="preserve">Мирас, 157, блок 2, н.п. 819. </w:t>
      </w:r>
    </w:p>
    <w:p w14:paraId="23FB1C0C" w14:textId="77777777" w:rsidR="000A620D" w:rsidRPr="00B2573C" w:rsidRDefault="00D96CF9" w:rsidP="000A620D">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Тел.:</w:t>
      </w:r>
      <w:r w:rsidR="00696A29">
        <w:rPr>
          <w:rFonts w:ascii="Times New Roman" w:eastAsia="Times New Roman" w:hAnsi="Times New Roman"/>
          <w:bCs/>
          <w:iCs/>
          <w:sz w:val="28"/>
          <w:szCs w:val="28"/>
          <w:lang w:eastAsia="cs-CZ"/>
        </w:rPr>
        <w:t xml:space="preserve"> +7</w:t>
      </w:r>
      <w:r w:rsidRPr="00B2573C">
        <w:rPr>
          <w:rFonts w:ascii="Times New Roman" w:eastAsia="Times New Roman" w:hAnsi="Times New Roman"/>
          <w:bCs/>
          <w:iCs/>
          <w:sz w:val="28"/>
          <w:szCs w:val="28"/>
          <w:lang w:eastAsia="cs-CZ"/>
        </w:rPr>
        <w:t xml:space="preserve"> (727) 311-81-96/97, </w:t>
      </w:r>
    </w:p>
    <w:p w14:paraId="736FC9BB" w14:textId="77777777" w:rsidR="000A620D" w:rsidRPr="00B2573C" w:rsidRDefault="000A620D" w:rsidP="000A620D">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Телефон с 24-х часовой доступностью: +7 747 991 19 04</w:t>
      </w:r>
    </w:p>
    <w:p w14:paraId="229AEED1" w14:textId="77777777" w:rsidR="000A620D" w:rsidRPr="000A620D" w:rsidRDefault="00D96CF9" w:rsidP="000A620D">
      <w:pPr>
        <w:autoSpaceDE w:val="0"/>
        <w:autoSpaceDN w:val="0"/>
        <w:spacing w:after="0" w:line="240" w:lineRule="auto"/>
        <w:jc w:val="both"/>
        <w:rPr>
          <w:rFonts w:ascii="Times New Roman" w:eastAsia="Times New Roman" w:hAnsi="Times New Roman"/>
          <w:bCs/>
          <w:iCs/>
          <w:sz w:val="28"/>
          <w:szCs w:val="28"/>
          <w:lang w:eastAsia="cs-CZ"/>
        </w:rPr>
      </w:pPr>
      <w:r w:rsidRPr="00B2573C">
        <w:rPr>
          <w:rFonts w:ascii="Times New Roman" w:eastAsia="Times New Roman" w:hAnsi="Times New Roman"/>
          <w:bCs/>
          <w:iCs/>
          <w:sz w:val="28"/>
          <w:szCs w:val="28"/>
          <w:lang w:eastAsia="cs-CZ"/>
        </w:rPr>
        <w:t xml:space="preserve">электронный адрес: </w:t>
      </w:r>
      <w:hyperlink r:id="rId12" w:history="1">
        <w:r w:rsidR="000A620D" w:rsidRPr="00B2573C">
          <w:rPr>
            <w:rStyle w:val="af"/>
            <w:rFonts w:ascii="Times New Roman" w:eastAsia="Times New Roman" w:hAnsi="Times New Roman"/>
            <w:sz w:val="28"/>
            <w:szCs w:val="28"/>
            <w:lang w:val="kk-KZ" w:eastAsia="ar-SA"/>
          </w:rPr>
          <w:t>office.secretary@rogersgroup.in</w:t>
        </w:r>
      </w:hyperlink>
      <w:r w:rsidR="000A620D" w:rsidRPr="00B2573C">
        <w:rPr>
          <w:rStyle w:val="af"/>
          <w:rFonts w:ascii="Times New Roman" w:eastAsia="Times New Roman" w:hAnsi="Times New Roman"/>
          <w:sz w:val="28"/>
          <w:szCs w:val="28"/>
          <w:lang w:val="kk-KZ" w:eastAsia="ar-SA"/>
        </w:rPr>
        <w:t>, pharmacovigilance@rogerspharma.kz</w:t>
      </w:r>
    </w:p>
    <w:p w14:paraId="2CC88059" w14:textId="77777777" w:rsidR="00D96CF9" w:rsidRPr="000A620D" w:rsidRDefault="00D96CF9" w:rsidP="00D96CF9">
      <w:pPr>
        <w:autoSpaceDE w:val="0"/>
        <w:autoSpaceDN w:val="0"/>
        <w:spacing w:after="0" w:line="240" w:lineRule="auto"/>
        <w:jc w:val="both"/>
        <w:rPr>
          <w:rStyle w:val="af"/>
          <w:rFonts w:ascii="Times New Roman" w:eastAsia="Times New Roman" w:hAnsi="Times New Roman"/>
          <w:bCs/>
          <w:iCs/>
          <w:color w:val="auto"/>
          <w:sz w:val="28"/>
          <w:szCs w:val="28"/>
          <w:u w:val="none"/>
          <w:lang w:val="kk-KZ" w:eastAsia="cs-CZ"/>
        </w:rPr>
      </w:pPr>
    </w:p>
    <w:p w14:paraId="22F0A78E" w14:textId="77777777" w:rsidR="005A6DEE" w:rsidRPr="00F14BCD" w:rsidRDefault="005A6DEE" w:rsidP="00D96CF9">
      <w:pPr>
        <w:autoSpaceDE w:val="0"/>
        <w:autoSpaceDN w:val="0"/>
        <w:spacing w:after="0" w:line="240" w:lineRule="auto"/>
        <w:jc w:val="both"/>
        <w:rPr>
          <w:rFonts w:ascii="Times New Roman" w:eastAsia="Times New Roman" w:hAnsi="Times New Roman"/>
          <w:bCs/>
          <w:iCs/>
          <w:color w:val="000000"/>
          <w:sz w:val="28"/>
          <w:szCs w:val="28"/>
          <w:lang w:eastAsia="cs-CZ"/>
        </w:rPr>
      </w:pPr>
    </w:p>
    <w:p w14:paraId="0558C888" w14:textId="5297CA6C" w:rsidR="00BC628C" w:rsidRDefault="00BC628C"/>
    <w:sectPr w:rsidR="00BC628C"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E61E" w14:textId="77777777" w:rsidR="001F1C92" w:rsidRDefault="001F1C92" w:rsidP="00D275FC">
      <w:pPr>
        <w:spacing w:after="0" w:line="240" w:lineRule="auto"/>
      </w:pPr>
      <w:r>
        <w:separator/>
      </w:r>
    </w:p>
  </w:endnote>
  <w:endnote w:type="continuationSeparator" w:id="0">
    <w:p w14:paraId="4F3D1D1F" w14:textId="77777777" w:rsidR="001F1C92" w:rsidRDefault="001F1C92"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bar">
    <w:altName w:val="Arial Narrow"/>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F8FB" w14:textId="77777777" w:rsidR="009D472B" w:rsidRDefault="001F1C92"/>
  <w:p w14:paraId="3E425F72" w14:textId="77777777" w:rsidR="00BC628C" w:rsidRDefault="001F1C92">
    <w:r>
      <w:rPr>
        <w:rFonts w:ascii="Times New Roman" w:eastAsia="Times New Roman" w:hAnsi="Times New Roman"/>
      </w:rPr>
      <w:t>Решение: N087242</w:t>
    </w:r>
    <w:r>
      <w:rPr>
        <w:rFonts w:ascii="Times New Roman" w:eastAsia="Times New Roman" w:hAnsi="Times New Roman"/>
      </w:rPr>
      <w:br/>
      <w:t>Дата решения: 08.07.2025</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Байтубаев Е. Н.</w:t>
    </w:r>
    <w:r>
      <w:rPr>
        <w:rFonts w:ascii="Times New Roman" w:eastAsia="Times New Roman" w:hAnsi="Times New Roman"/>
      </w:rPr>
      <w:br/>
      <w:t xml:space="preserve">(Комитет медицинского и </w:t>
    </w:r>
    <w:r>
      <w:rPr>
        <w:rFonts w:ascii="Times New Roman" w:eastAsia="Times New Roman" w:hAnsi="Times New Roman"/>
      </w:rPr>
      <w:t>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9E04" w14:textId="77777777" w:rsidR="009D472B" w:rsidRDefault="001F1C92"/>
  <w:p w14:paraId="08DDC5F7" w14:textId="32C1DF14" w:rsidR="00BC628C" w:rsidRDefault="00BC62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CFF9" w14:textId="77777777" w:rsidR="009D472B" w:rsidRDefault="001F1C92"/>
  <w:p w14:paraId="1E2D3DC1" w14:textId="77777777" w:rsidR="00BC628C" w:rsidRDefault="001F1C92">
    <w:r>
      <w:rPr>
        <w:rFonts w:ascii="Times New Roman" w:eastAsia="Times New Roman" w:hAnsi="Times New Roman"/>
      </w:rPr>
      <w:t>Решени</w:t>
    </w:r>
    <w:r>
      <w:rPr>
        <w:rFonts w:ascii="Times New Roman" w:eastAsia="Times New Roman" w:hAnsi="Times New Roman"/>
      </w:rPr>
      <w:t>е: N087242</w:t>
    </w:r>
    <w:r>
      <w:rPr>
        <w:rFonts w:ascii="Times New Roman" w:eastAsia="Times New Roman" w:hAnsi="Times New Roman"/>
      </w:rPr>
      <w:br/>
      <w:t>Дата решения: 08.07.2025</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Байтубаев Е. Н.</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w:t>
    </w:r>
    <w:r>
      <w:rPr>
        <w:rFonts w:ascii="Times New Roman" w:eastAsia="Times New Roman" w:hAnsi="Times New Roman"/>
      </w:rPr>
      <w:t>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17AA" w14:textId="77777777" w:rsidR="001F1C92" w:rsidRDefault="001F1C92" w:rsidP="00D275FC">
      <w:pPr>
        <w:spacing w:after="0" w:line="240" w:lineRule="auto"/>
      </w:pPr>
      <w:r>
        <w:separator/>
      </w:r>
    </w:p>
  </w:footnote>
  <w:footnote w:type="continuationSeparator" w:id="0">
    <w:p w14:paraId="52FE0F2D" w14:textId="77777777" w:rsidR="001F1C92" w:rsidRDefault="001F1C92"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BF12" w14:textId="77777777" w:rsidR="00D275FC" w:rsidRDefault="008F5AB7">
    <w:pPr>
      <w:pStyle w:val="af1"/>
    </w:pPr>
    <w:r>
      <w:rPr>
        <w:noProof/>
        <w:lang w:eastAsia="ru-RU"/>
      </w:rPr>
      <mc:AlternateContent>
        <mc:Choice Requires="wps">
          <w:drawing>
            <wp:anchor distT="0" distB="0" distL="114300" distR="114300" simplePos="0" relativeHeight="251657728" behindDoc="0" locked="0" layoutInCell="1" allowOverlap="1" wp14:anchorId="671788B8" wp14:editId="0CE4DF67">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35B1CC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920D0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DD0D0DA"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D2953"/>
    <w:multiLevelType w:val="hybridMultilevel"/>
    <w:tmpl w:val="2304BD12"/>
    <w:lvl w:ilvl="0" w:tplc="605897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8010E7E"/>
    <w:multiLevelType w:val="hybridMultilevel"/>
    <w:tmpl w:val="B15487A4"/>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2C6A67"/>
    <w:multiLevelType w:val="hybridMultilevel"/>
    <w:tmpl w:val="8D28D55A"/>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919A2"/>
    <w:multiLevelType w:val="hybridMultilevel"/>
    <w:tmpl w:val="0B841DE4"/>
    <w:lvl w:ilvl="0" w:tplc="605897C4">
      <w:start w:val="1"/>
      <w:numFmt w:val="bullet"/>
      <w:lvlText w:val=""/>
      <w:lvlJc w:val="left"/>
      <w:pPr>
        <w:ind w:left="720" w:hanging="360"/>
      </w:pPr>
      <w:rPr>
        <w:rFonts w:ascii="Symbol" w:hAnsi="Symbol" w:hint="default"/>
      </w:rPr>
    </w:lvl>
    <w:lvl w:ilvl="1" w:tplc="3B629B7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2F6189"/>
    <w:multiLevelType w:val="hybridMultilevel"/>
    <w:tmpl w:val="58CAD49E"/>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B148DF"/>
    <w:multiLevelType w:val="hybridMultilevel"/>
    <w:tmpl w:val="95963798"/>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E66062C"/>
    <w:multiLevelType w:val="hybridMultilevel"/>
    <w:tmpl w:val="D8E6AD92"/>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0890C84"/>
    <w:multiLevelType w:val="hybridMultilevel"/>
    <w:tmpl w:val="BED8F6EA"/>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0"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3AC0"/>
    <w:multiLevelType w:val="hybridMultilevel"/>
    <w:tmpl w:val="1B6C6DA8"/>
    <w:lvl w:ilvl="0" w:tplc="605897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5"/>
  </w:num>
  <w:num w:numId="3">
    <w:abstractNumId w:val="2"/>
  </w:num>
  <w:num w:numId="4">
    <w:abstractNumId w:val="25"/>
  </w:num>
  <w:num w:numId="5">
    <w:abstractNumId w:val="33"/>
  </w:num>
  <w:num w:numId="6">
    <w:abstractNumId w:val="8"/>
  </w:num>
  <w:num w:numId="7">
    <w:abstractNumId w:val="30"/>
  </w:num>
  <w:num w:numId="8">
    <w:abstractNumId w:val="11"/>
  </w:num>
  <w:num w:numId="9">
    <w:abstractNumId w:val="21"/>
  </w:num>
  <w:num w:numId="10">
    <w:abstractNumId w:val="12"/>
  </w:num>
  <w:num w:numId="11">
    <w:abstractNumId w:val="20"/>
  </w:num>
  <w:num w:numId="12">
    <w:abstractNumId w:val="24"/>
  </w:num>
  <w:num w:numId="13">
    <w:abstractNumId w:val="26"/>
  </w:num>
  <w:num w:numId="14">
    <w:abstractNumId w:val="17"/>
  </w:num>
  <w:num w:numId="15">
    <w:abstractNumId w:val="0"/>
  </w:num>
  <w:num w:numId="16">
    <w:abstractNumId w:val="32"/>
  </w:num>
  <w:num w:numId="17">
    <w:abstractNumId w:val="19"/>
  </w:num>
  <w:num w:numId="18">
    <w:abstractNumId w:val="18"/>
  </w:num>
  <w:num w:numId="19">
    <w:abstractNumId w:val="10"/>
  </w:num>
  <w:num w:numId="20">
    <w:abstractNumId w:val="1"/>
  </w:num>
  <w:num w:numId="21">
    <w:abstractNumId w:val="15"/>
  </w:num>
  <w:num w:numId="22">
    <w:abstractNumId w:val="7"/>
  </w:num>
  <w:num w:numId="23">
    <w:abstractNumId w:val="29"/>
  </w:num>
  <w:num w:numId="24">
    <w:abstractNumId w:val="16"/>
  </w:num>
  <w:num w:numId="25">
    <w:abstractNumId w:val="14"/>
  </w:num>
  <w:num w:numId="26">
    <w:abstractNumId w:val="22"/>
  </w:num>
  <w:num w:numId="27">
    <w:abstractNumId w:val="28"/>
  </w:num>
  <w:num w:numId="28">
    <w:abstractNumId w:val="6"/>
  </w:num>
  <w:num w:numId="29">
    <w:abstractNumId w:val="27"/>
  </w:num>
  <w:num w:numId="30">
    <w:abstractNumId w:val="3"/>
  </w:num>
  <w:num w:numId="31">
    <w:abstractNumId w:val="31"/>
  </w:num>
  <w:num w:numId="32">
    <w:abstractNumId w:val="4"/>
  </w:num>
  <w:num w:numId="33">
    <w:abstractNumId w:val="9"/>
  </w:num>
  <w:num w:numId="34">
    <w:abstractNumId w:val="13"/>
  </w:num>
  <w:num w:numId="35">
    <w:abstractNumId w:val="9"/>
  </w:num>
  <w:num w:numId="36">
    <w:abstractNumId w:val="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27C1"/>
    <w:rsid w:val="00010371"/>
    <w:rsid w:val="000212BE"/>
    <w:rsid w:val="000224E7"/>
    <w:rsid w:val="00023635"/>
    <w:rsid w:val="000264BB"/>
    <w:rsid w:val="00033FC1"/>
    <w:rsid w:val="00034159"/>
    <w:rsid w:val="00042999"/>
    <w:rsid w:val="000440D2"/>
    <w:rsid w:val="00075707"/>
    <w:rsid w:val="00077313"/>
    <w:rsid w:val="00083334"/>
    <w:rsid w:val="000852A1"/>
    <w:rsid w:val="000972E6"/>
    <w:rsid w:val="000A0D71"/>
    <w:rsid w:val="000A620D"/>
    <w:rsid w:val="000B0C3E"/>
    <w:rsid w:val="000B64F3"/>
    <w:rsid w:val="000C2C4B"/>
    <w:rsid w:val="000C4C48"/>
    <w:rsid w:val="000D7BBA"/>
    <w:rsid w:val="000E01AB"/>
    <w:rsid w:val="000E13E5"/>
    <w:rsid w:val="000E2683"/>
    <w:rsid w:val="000E49F0"/>
    <w:rsid w:val="000E6126"/>
    <w:rsid w:val="000F05E3"/>
    <w:rsid w:val="00100406"/>
    <w:rsid w:val="00107A8A"/>
    <w:rsid w:val="00111788"/>
    <w:rsid w:val="00116C58"/>
    <w:rsid w:val="00132B9A"/>
    <w:rsid w:val="00134DED"/>
    <w:rsid w:val="001368AE"/>
    <w:rsid w:val="00144CCD"/>
    <w:rsid w:val="0014739A"/>
    <w:rsid w:val="0015490C"/>
    <w:rsid w:val="001573E2"/>
    <w:rsid w:val="0016278D"/>
    <w:rsid w:val="0016582E"/>
    <w:rsid w:val="00170A37"/>
    <w:rsid w:val="001937AD"/>
    <w:rsid w:val="001A2CB2"/>
    <w:rsid w:val="001A5CCF"/>
    <w:rsid w:val="001B6AEC"/>
    <w:rsid w:val="001D7851"/>
    <w:rsid w:val="001E070C"/>
    <w:rsid w:val="001E618B"/>
    <w:rsid w:val="001E6F4C"/>
    <w:rsid w:val="001F16AA"/>
    <w:rsid w:val="001F1C92"/>
    <w:rsid w:val="001F58F0"/>
    <w:rsid w:val="00203355"/>
    <w:rsid w:val="00211005"/>
    <w:rsid w:val="002121AD"/>
    <w:rsid w:val="0021796F"/>
    <w:rsid w:val="00217D41"/>
    <w:rsid w:val="00222CA6"/>
    <w:rsid w:val="00232642"/>
    <w:rsid w:val="0023404B"/>
    <w:rsid w:val="00237697"/>
    <w:rsid w:val="00247530"/>
    <w:rsid w:val="00250EDB"/>
    <w:rsid w:val="00256E10"/>
    <w:rsid w:val="00260413"/>
    <w:rsid w:val="00260EBC"/>
    <w:rsid w:val="00264710"/>
    <w:rsid w:val="00267567"/>
    <w:rsid w:val="00270B0A"/>
    <w:rsid w:val="002717E0"/>
    <w:rsid w:val="0027339D"/>
    <w:rsid w:val="00281FBE"/>
    <w:rsid w:val="00285F56"/>
    <w:rsid w:val="00290D2E"/>
    <w:rsid w:val="00292715"/>
    <w:rsid w:val="00295465"/>
    <w:rsid w:val="002A22B3"/>
    <w:rsid w:val="002A3095"/>
    <w:rsid w:val="002A591C"/>
    <w:rsid w:val="002A5F9C"/>
    <w:rsid w:val="002B3270"/>
    <w:rsid w:val="002B7135"/>
    <w:rsid w:val="002C10E1"/>
    <w:rsid w:val="002C15EB"/>
    <w:rsid w:val="002C1660"/>
    <w:rsid w:val="002C35A2"/>
    <w:rsid w:val="002C5345"/>
    <w:rsid w:val="002C6301"/>
    <w:rsid w:val="002C76D7"/>
    <w:rsid w:val="002D551C"/>
    <w:rsid w:val="002D56B7"/>
    <w:rsid w:val="002E0BAD"/>
    <w:rsid w:val="002F1A01"/>
    <w:rsid w:val="002F4A14"/>
    <w:rsid w:val="002F7FAE"/>
    <w:rsid w:val="00302607"/>
    <w:rsid w:val="003043BF"/>
    <w:rsid w:val="003055F8"/>
    <w:rsid w:val="00320073"/>
    <w:rsid w:val="003262DF"/>
    <w:rsid w:val="00334685"/>
    <w:rsid w:val="003356B2"/>
    <w:rsid w:val="00347C25"/>
    <w:rsid w:val="00354078"/>
    <w:rsid w:val="0036288F"/>
    <w:rsid w:val="00365B10"/>
    <w:rsid w:val="003662F1"/>
    <w:rsid w:val="00367BA7"/>
    <w:rsid w:val="003761C0"/>
    <w:rsid w:val="00380E3E"/>
    <w:rsid w:val="00380F98"/>
    <w:rsid w:val="003812B2"/>
    <w:rsid w:val="00383CDB"/>
    <w:rsid w:val="00384F08"/>
    <w:rsid w:val="003879F9"/>
    <w:rsid w:val="00396C40"/>
    <w:rsid w:val="00396D23"/>
    <w:rsid w:val="003A035E"/>
    <w:rsid w:val="003A52CD"/>
    <w:rsid w:val="003B0285"/>
    <w:rsid w:val="003B0A75"/>
    <w:rsid w:val="003B148C"/>
    <w:rsid w:val="003B64D3"/>
    <w:rsid w:val="003C2917"/>
    <w:rsid w:val="003D2DB3"/>
    <w:rsid w:val="003E13CF"/>
    <w:rsid w:val="003E5DEC"/>
    <w:rsid w:val="003F1875"/>
    <w:rsid w:val="003F5344"/>
    <w:rsid w:val="003F7EDC"/>
    <w:rsid w:val="00403056"/>
    <w:rsid w:val="00404548"/>
    <w:rsid w:val="00407AEF"/>
    <w:rsid w:val="0041162E"/>
    <w:rsid w:val="0041460C"/>
    <w:rsid w:val="0042786D"/>
    <w:rsid w:val="00433C62"/>
    <w:rsid w:val="00434D01"/>
    <w:rsid w:val="00437005"/>
    <w:rsid w:val="004373AC"/>
    <w:rsid w:val="004404DA"/>
    <w:rsid w:val="0046069B"/>
    <w:rsid w:val="00463588"/>
    <w:rsid w:val="00470D47"/>
    <w:rsid w:val="00472EF5"/>
    <w:rsid w:val="00483247"/>
    <w:rsid w:val="0048687C"/>
    <w:rsid w:val="00491CA9"/>
    <w:rsid w:val="004A232C"/>
    <w:rsid w:val="004A31B4"/>
    <w:rsid w:val="004B12FD"/>
    <w:rsid w:val="004B1453"/>
    <w:rsid w:val="004B21AD"/>
    <w:rsid w:val="004C1922"/>
    <w:rsid w:val="004C462F"/>
    <w:rsid w:val="004D1F1F"/>
    <w:rsid w:val="004D3E83"/>
    <w:rsid w:val="004D4212"/>
    <w:rsid w:val="004D49E9"/>
    <w:rsid w:val="004D6F29"/>
    <w:rsid w:val="004E2EC8"/>
    <w:rsid w:val="004E50AE"/>
    <w:rsid w:val="004E7623"/>
    <w:rsid w:val="004F0668"/>
    <w:rsid w:val="004F4796"/>
    <w:rsid w:val="005020DD"/>
    <w:rsid w:val="005071DA"/>
    <w:rsid w:val="005119B1"/>
    <w:rsid w:val="00512C02"/>
    <w:rsid w:val="00523D82"/>
    <w:rsid w:val="00541A00"/>
    <w:rsid w:val="005444B2"/>
    <w:rsid w:val="00545FA8"/>
    <w:rsid w:val="00551A3E"/>
    <w:rsid w:val="00552F8B"/>
    <w:rsid w:val="00560A7B"/>
    <w:rsid w:val="005614F2"/>
    <w:rsid w:val="00561FE7"/>
    <w:rsid w:val="00564181"/>
    <w:rsid w:val="00565A41"/>
    <w:rsid w:val="00575348"/>
    <w:rsid w:val="005779DE"/>
    <w:rsid w:val="00582380"/>
    <w:rsid w:val="005869C5"/>
    <w:rsid w:val="00594839"/>
    <w:rsid w:val="005A3C81"/>
    <w:rsid w:val="005A5680"/>
    <w:rsid w:val="005A6639"/>
    <w:rsid w:val="005A6914"/>
    <w:rsid w:val="005A6DEE"/>
    <w:rsid w:val="005B3FFE"/>
    <w:rsid w:val="005B73CA"/>
    <w:rsid w:val="005B77BD"/>
    <w:rsid w:val="005C1519"/>
    <w:rsid w:val="005C1C3B"/>
    <w:rsid w:val="005C1C4E"/>
    <w:rsid w:val="005C3F43"/>
    <w:rsid w:val="005C4A16"/>
    <w:rsid w:val="005C4B12"/>
    <w:rsid w:val="005D68C6"/>
    <w:rsid w:val="005D7EE3"/>
    <w:rsid w:val="005E0D89"/>
    <w:rsid w:val="005E50DE"/>
    <w:rsid w:val="005E6AA8"/>
    <w:rsid w:val="005F4F7B"/>
    <w:rsid w:val="005F7097"/>
    <w:rsid w:val="0060364A"/>
    <w:rsid w:val="00610558"/>
    <w:rsid w:val="00613E8F"/>
    <w:rsid w:val="00616058"/>
    <w:rsid w:val="006161A4"/>
    <w:rsid w:val="0061650D"/>
    <w:rsid w:val="00617843"/>
    <w:rsid w:val="00620F34"/>
    <w:rsid w:val="00621FC9"/>
    <w:rsid w:val="00624C1B"/>
    <w:rsid w:val="00625471"/>
    <w:rsid w:val="00627853"/>
    <w:rsid w:val="00630C24"/>
    <w:rsid w:val="00634D0C"/>
    <w:rsid w:val="00637F71"/>
    <w:rsid w:val="00652BCE"/>
    <w:rsid w:val="00652E29"/>
    <w:rsid w:val="00653617"/>
    <w:rsid w:val="006703A5"/>
    <w:rsid w:val="0067136B"/>
    <w:rsid w:val="00690FA9"/>
    <w:rsid w:val="00691208"/>
    <w:rsid w:val="00693014"/>
    <w:rsid w:val="00696A29"/>
    <w:rsid w:val="006A23C4"/>
    <w:rsid w:val="006A5575"/>
    <w:rsid w:val="006A702E"/>
    <w:rsid w:val="006B7A90"/>
    <w:rsid w:val="006C577B"/>
    <w:rsid w:val="006C5F38"/>
    <w:rsid w:val="006C6558"/>
    <w:rsid w:val="006D69E6"/>
    <w:rsid w:val="006D7D5A"/>
    <w:rsid w:val="006E4305"/>
    <w:rsid w:val="006F5763"/>
    <w:rsid w:val="00700B7B"/>
    <w:rsid w:val="00704BAB"/>
    <w:rsid w:val="007104D1"/>
    <w:rsid w:val="007135A6"/>
    <w:rsid w:val="00713CA3"/>
    <w:rsid w:val="00730D97"/>
    <w:rsid w:val="00732F32"/>
    <w:rsid w:val="00733A73"/>
    <w:rsid w:val="00734239"/>
    <w:rsid w:val="00734EBD"/>
    <w:rsid w:val="007365A8"/>
    <w:rsid w:val="00736B6C"/>
    <w:rsid w:val="00745CFF"/>
    <w:rsid w:val="00746B72"/>
    <w:rsid w:val="00746FF2"/>
    <w:rsid w:val="00761133"/>
    <w:rsid w:val="007617F4"/>
    <w:rsid w:val="00764E84"/>
    <w:rsid w:val="0077381A"/>
    <w:rsid w:val="007762F8"/>
    <w:rsid w:val="00783520"/>
    <w:rsid w:val="007875E6"/>
    <w:rsid w:val="00794AED"/>
    <w:rsid w:val="007A02D3"/>
    <w:rsid w:val="007A18B1"/>
    <w:rsid w:val="007A4E67"/>
    <w:rsid w:val="007B24F7"/>
    <w:rsid w:val="007C055A"/>
    <w:rsid w:val="007C1693"/>
    <w:rsid w:val="007D0DB2"/>
    <w:rsid w:val="007D0E84"/>
    <w:rsid w:val="007D681B"/>
    <w:rsid w:val="007E1A7B"/>
    <w:rsid w:val="007E1D85"/>
    <w:rsid w:val="007E5B48"/>
    <w:rsid w:val="007E702A"/>
    <w:rsid w:val="007E708F"/>
    <w:rsid w:val="0081154A"/>
    <w:rsid w:val="00820B36"/>
    <w:rsid w:val="00821948"/>
    <w:rsid w:val="008250FA"/>
    <w:rsid w:val="0082642D"/>
    <w:rsid w:val="00827AFE"/>
    <w:rsid w:val="00827BB2"/>
    <w:rsid w:val="0083023F"/>
    <w:rsid w:val="008329DA"/>
    <w:rsid w:val="008330E7"/>
    <w:rsid w:val="008351DA"/>
    <w:rsid w:val="008353A4"/>
    <w:rsid w:val="008372C6"/>
    <w:rsid w:val="0083733F"/>
    <w:rsid w:val="00844CE8"/>
    <w:rsid w:val="00847154"/>
    <w:rsid w:val="00847CDC"/>
    <w:rsid w:val="0085389D"/>
    <w:rsid w:val="00862884"/>
    <w:rsid w:val="0086657B"/>
    <w:rsid w:val="008832E5"/>
    <w:rsid w:val="00891711"/>
    <w:rsid w:val="0089211A"/>
    <w:rsid w:val="00897669"/>
    <w:rsid w:val="008A04D2"/>
    <w:rsid w:val="008A0ECE"/>
    <w:rsid w:val="008C0181"/>
    <w:rsid w:val="008C1E59"/>
    <w:rsid w:val="008D4451"/>
    <w:rsid w:val="008D62B7"/>
    <w:rsid w:val="008E6895"/>
    <w:rsid w:val="008F0DDA"/>
    <w:rsid w:val="008F455E"/>
    <w:rsid w:val="008F5AB7"/>
    <w:rsid w:val="00900B3C"/>
    <w:rsid w:val="00904FB5"/>
    <w:rsid w:val="0091136C"/>
    <w:rsid w:val="009157ED"/>
    <w:rsid w:val="00922A72"/>
    <w:rsid w:val="00930D7D"/>
    <w:rsid w:val="0095047E"/>
    <w:rsid w:val="0095447B"/>
    <w:rsid w:val="00956101"/>
    <w:rsid w:val="00962CD6"/>
    <w:rsid w:val="0096432B"/>
    <w:rsid w:val="00976464"/>
    <w:rsid w:val="009836DA"/>
    <w:rsid w:val="00993A60"/>
    <w:rsid w:val="00996F90"/>
    <w:rsid w:val="009A3F6B"/>
    <w:rsid w:val="009B014E"/>
    <w:rsid w:val="009B41A9"/>
    <w:rsid w:val="009D6129"/>
    <w:rsid w:val="009D6877"/>
    <w:rsid w:val="009D71D5"/>
    <w:rsid w:val="009E2887"/>
    <w:rsid w:val="009E5CB9"/>
    <w:rsid w:val="009E70AE"/>
    <w:rsid w:val="009F31F2"/>
    <w:rsid w:val="009F45A5"/>
    <w:rsid w:val="009F6E85"/>
    <w:rsid w:val="00A01C2E"/>
    <w:rsid w:val="00A02BB2"/>
    <w:rsid w:val="00A04052"/>
    <w:rsid w:val="00A05150"/>
    <w:rsid w:val="00A0522B"/>
    <w:rsid w:val="00A12563"/>
    <w:rsid w:val="00A13708"/>
    <w:rsid w:val="00A33639"/>
    <w:rsid w:val="00A47955"/>
    <w:rsid w:val="00A652CA"/>
    <w:rsid w:val="00A8185B"/>
    <w:rsid w:val="00A84DC7"/>
    <w:rsid w:val="00A86D5F"/>
    <w:rsid w:val="00A9019E"/>
    <w:rsid w:val="00A90607"/>
    <w:rsid w:val="00A90A90"/>
    <w:rsid w:val="00A9476C"/>
    <w:rsid w:val="00AA4801"/>
    <w:rsid w:val="00AA4875"/>
    <w:rsid w:val="00AA5E2F"/>
    <w:rsid w:val="00AA7317"/>
    <w:rsid w:val="00AC2C0B"/>
    <w:rsid w:val="00AC4905"/>
    <w:rsid w:val="00AE7922"/>
    <w:rsid w:val="00AF3970"/>
    <w:rsid w:val="00AF7784"/>
    <w:rsid w:val="00B01011"/>
    <w:rsid w:val="00B06C9D"/>
    <w:rsid w:val="00B0746B"/>
    <w:rsid w:val="00B11878"/>
    <w:rsid w:val="00B2573C"/>
    <w:rsid w:val="00B35BA6"/>
    <w:rsid w:val="00B377E1"/>
    <w:rsid w:val="00B40CC4"/>
    <w:rsid w:val="00B46F30"/>
    <w:rsid w:val="00B51483"/>
    <w:rsid w:val="00B518D8"/>
    <w:rsid w:val="00B565FC"/>
    <w:rsid w:val="00B608C1"/>
    <w:rsid w:val="00B60D3D"/>
    <w:rsid w:val="00B61D95"/>
    <w:rsid w:val="00B624BC"/>
    <w:rsid w:val="00B62E45"/>
    <w:rsid w:val="00B7186A"/>
    <w:rsid w:val="00B8256B"/>
    <w:rsid w:val="00B865F9"/>
    <w:rsid w:val="00B9187F"/>
    <w:rsid w:val="00BB2D90"/>
    <w:rsid w:val="00BB3050"/>
    <w:rsid w:val="00BB7831"/>
    <w:rsid w:val="00BB7D74"/>
    <w:rsid w:val="00BC0B42"/>
    <w:rsid w:val="00BC31BC"/>
    <w:rsid w:val="00BC6167"/>
    <w:rsid w:val="00BC628C"/>
    <w:rsid w:val="00BE4435"/>
    <w:rsid w:val="00BE6B71"/>
    <w:rsid w:val="00C07BB3"/>
    <w:rsid w:val="00C106A0"/>
    <w:rsid w:val="00C2000E"/>
    <w:rsid w:val="00C340B9"/>
    <w:rsid w:val="00C34E6D"/>
    <w:rsid w:val="00C351C2"/>
    <w:rsid w:val="00C379C9"/>
    <w:rsid w:val="00C400D6"/>
    <w:rsid w:val="00C422B8"/>
    <w:rsid w:val="00C566D6"/>
    <w:rsid w:val="00C716E7"/>
    <w:rsid w:val="00C74F82"/>
    <w:rsid w:val="00C767ED"/>
    <w:rsid w:val="00C839ED"/>
    <w:rsid w:val="00C84299"/>
    <w:rsid w:val="00C92F14"/>
    <w:rsid w:val="00C9308C"/>
    <w:rsid w:val="00C965E1"/>
    <w:rsid w:val="00C9674F"/>
    <w:rsid w:val="00C97365"/>
    <w:rsid w:val="00CA7294"/>
    <w:rsid w:val="00CC08BA"/>
    <w:rsid w:val="00CC330A"/>
    <w:rsid w:val="00CC5727"/>
    <w:rsid w:val="00CC7DBD"/>
    <w:rsid w:val="00CE38C0"/>
    <w:rsid w:val="00CF3849"/>
    <w:rsid w:val="00CF4CC8"/>
    <w:rsid w:val="00D01DFB"/>
    <w:rsid w:val="00D0233C"/>
    <w:rsid w:val="00D02990"/>
    <w:rsid w:val="00D066FC"/>
    <w:rsid w:val="00D11462"/>
    <w:rsid w:val="00D14D61"/>
    <w:rsid w:val="00D22A47"/>
    <w:rsid w:val="00D25A9D"/>
    <w:rsid w:val="00D275FC"/>
    <w:rsid w:val="00D3576E"/>
    <w:rsid w:val="00D37549"/>
    <w:rsid w:val="00D400A1"/>
    <w:rsid w:val="00D43297"/>
    <w:rsid w:val="00D46B0B"/>
    <w:rsid w:val="00D55ED8"/>
    <w:rsid w:val="00D65DBB"/>
    <w:rsid w:val="00D70797"/>
    <w:rsid w:val="00D70DB6"/>
    <w:rsid w:val="00D710CB"/>
    <w:rsid w:val="00D73F7F"/>
    <w:rsid w:val="00D74622"/>
    <w:rsid w:val="00D76048"/>
    <w:rsid w:val="00D82757"/>
    <w:rsid w:val="00D84237"/>
    <w:rsid w:val="00D8456E"/>
    <w:rsid w:val="00D93C80"/>
    <w:rsid w:val="00D94FB7"/>
    <w:rsid w:val="00D96A8F"/>
    <w:rsid w:val="00D96CF9"/>
    <w:rsid w:val="00D97838"/>
    <w:rsid w:val="00DA3167"/>
    <w:rsid w:val="00DA3249"/>
    <w:rsid w:val="00DA4AA2"/>
    <w:rsid w:val="00DB406A"/>
    <w:rsid w:val="00DB6E75"/>
    <w:rsid w:val="00DD610F"/>
    <w:rsid w:val="00DE5F10"/>
    <w:rsid w:val="00DF11A7"/>
    <w:rsid w:val="00E0106E"/>
    <w:rsid w:val="00E03E8D"/>
    <w:rsid w:val="00E24ABB"/>
    <w:rsid w:val="00E271CB"/>
    <w:rsid w:val="00E34FE3"/>
    <w:rsid w:val="00E40504"/>
    <w:rsid w:val="00E43585"/>
    <w:rsid w:val="00E55D6C"/>
    <w:rsid w:val="00E57396"/>
    <w:rsid w:val="00E63944"/>
    <w:rsid w:val="00E75B8A"/>
    <w:rsid w:val="00E81A1B"/>
    <w:rsid w:val="00E81A86"/>
    <w:rsid w:val="00E8607B"/>
    <w:rsid w:val="00E86C6A"/>
    <w:rsid w:val="00E91073"/>
    <w:rsid w:val="00E93583"/>
    <w:rsid w:val="00E96077"/>
    <w:rsid w:val="00EA2F86"/>
    <w:rsid w:val="00EA6D39"/>
    <w:rsid w:val="00EB1D97"/>
    <w:rsid w:val="00ED1199"/>
    <w:rsid w:val="00ED32D4"/>
    <w:rsid w:val="00EE4BD9"/>
    <w:rsid w:val="00EF4C53"/>
    <w:rsid w:val="00F006F1"/>
    <w:rsid w:val="00F020D7"/>
    <w:rsid w:val="00F07B7B"/>
    <w:rsid w:val="00F14BCD"/>
    <w:rsid w:val="00F16856"/>
    <w:rsid w:val="00F22A17"/>
    <w:rsid w:val="00F23B95"/>
    <w:rsid w:val="00F23BFD"/>
    <w:rsid w:val="00F37243"/>
    <w:rsid w:val="00F40388"/>
    <w:rsid w:val="00F42B3F"/>
    <w:rsid w:val="00F63389"/>
    <w:rsid w:val="00F76127"/>
    <w:rsid w:val="00F8747E"/>
    <w:rsid w:val="00F91977"/>
    <w:rsid w:val="00F91E74"/>
    <w:rsid w:val="00F92469"/>
    <w:rsid w:val="00F97B57"/>
    <w:rsid w:val="00F97F93"/>
    <w:rsid w:val="00FA369A"/>
    <w:rsid w:val="00FA4F7C"/>
    <w:rsid w:val="00FB0456"/>
    <w:rsid w:val="00FB47F4"/>
    <w:rsid w:val="00FB552C"/>
    <w:rsid w:val="00FD2B12"/>
    <w:rsid w:val="00FD2B9F"/>
    <w:rsid w:val="00FE2D26"/>
    <w:rsid w:val="00FE566D"/>
    <w:rsid w:val="00FE58E3"/>
    <w:rsid w:val="00FE6F16"/>
    <w:rsid w:val="00FF718B"/>
    <w:rsid w:val="00FF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6BEA3"/>
  <w15:docId w15:val="{DB7DD8D5-707B-4D3A-B99F-BABA1E18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F1875"/>
    <w:rPr>
      <w:color w:val="605E5C"/>
      <w:shd w:val="clear" w:color="auto" w:fill="E1DFDD"/>
    </w:rPr>
  </w:style>
  <w:style w:type="paragraph" w:customStyle="1" w:styleId="Style3">
    <w:name w:val="Style3"/>
    <w:basedOn w:val="a"/>
    <w:rsid w:val="00EE4BD9"/>
    <w:pPr>
      <w:tabs>
        <w:tab w:val="left" w:pos="567"/>
      </w:tabs>
      <w:spacing w:after="0" w:line="400" w:lineRule="exact"/>
      <w:jc w:val="both"/>
    </w:pPr>
    <w:rPr>
      <w:rFonts w:ascii="Hebar" w:eastAsia="Times New Roman" w:hAnsi="Hebar"/>
      <w:spacing w:val="10"/>
      <w:sz w:val="24"/>
      <w:szCs w:val="20"/>
      <w:lang w:val="en-GB"/>
    </w:rPr>
  </w:style>
  <w:style w:type="paragraph" w:customStyle="1" w:styleId="210">
    <w:name w:val="Основной текст 21"/>
    <w:basedOn w:val="a"/>
    <w:rsid w:val="00FF751D"/>
    <w:pPr>
      <w:overflowPunct w:val="0"/>
      <w:autoSpaceDE w:val="0"/>
      <w:autoSpaceDN w:val="0"/>
      <w:adjustRightInd w:val="0"/>
      <w:spacing w:after="0" w:line="240" w:lineRule="auto"/>
      <w:ind w:left="360"/>
      <w:jc w:val="both"/>
    </w:pPr>
    <w:rPr>
      <w:rFonts w:ascii="Times New Roman" w:eastAsia="Times New Roman" w:hAnsi="Times New Roman"/>
      <w:sz w:val="24"/>
      <w:szCs w:val="20"/>
      <w:lang w:eastAsia="ru-RU"/>
    </w:rPr>
  </w:style>
  <w:style w:type="paragraph" w:customStyle="1" w:styleId="Style5">
    <w:name w:val="Style5"/>
    <w:basedOn w:val="a"/>
    <w:uiPriority w:val="99"/>
    <w:rsid w:val="00FF751D"/>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afa">
    <w:name w:val="Íîðìàëüíûé"/>
    <w:rsid w:val="00D01DFB"/>
    <w:rPr>
      <w:rFonts w:ascii="Courier" w:eastAsia="Times New Roman" w:hAnsi="Courier"/>
      <w:sz w:val="24"/>
      <w:lang w:val="en-US" w:eastAsia="en-US"/>
    </w:rPr>
  </w:style>
  <w:style w:type="character" w:customStyle="1" w:styleId="TableText9">
    <w:name w:val="TableText 9"/>
    <w:rsid w:val="00D01DFB"/>
    <w:rPr>
      <w:rFonts w:ascii="Times New Roman" w:hAnsi="Times New Roman"/>
      <w:sz w:val="18"/>
    </w:rPr>
  </w:style>
  <w:style w:type="character" w:customStyle="1" w:styleId="UnresolvedMention1">
    <w:name w:val="Unresolved Mention1"/>
    <w:basedOn w:val="a0"/>
    <w:uiPriority w:val="99"/>
    <w:semiHidden/>
    <w:unhideWhenUsed/>
    <w:rsid w:val="000A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50266">
      <w:bodyDiv w:val="1"/>
      <w:marLeft w:val="0"/>
      <w:marRight w:val="0"/>
      <w:marTop w:val="0"/>
      <w:marBottom w:val="0"/>
      <w:divBdr>
        <w:top w:val="none" w:sz="0" w:space="0" w:color="auto"/>
        <w:left w:val="none" w:sz="0" w:space="0" w:color="auto"/>
        <w:bottom w:val="none" w:sz="0" w:space="0" w:color="auto"/>
        <w:right w:val="none" w:sz="0" w:space="0" w:color="auto"/>
      </w:divBdr>
    </w:div>
    <w:div w:id="324358338">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77663709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ecretary@rogersgroup.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hrd@steril-gene.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3388-DB84-420E-B3EA-51D11D79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5728</Words>
  <Characters>32652</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38304</CharactersWithSpaces>
  <SharedDoc>false</SharedDoc>
  <HLinks>
    <vt:vector size="18" baseType="variant">
      <vt:variant>
        <vt:i4>4784187</vt:i4>
      </vt:variant>
      <vt:variant>
        <vt:i4>6</vt:i4>
      </vt:variant>
      <vt:variant>
        <vt:i4>0</vt:i4>
      </vt:variant>
      <vt:variant>
        <vt:i4>5</vt:i4>
      </vt:variant>
      <vt:variant>
        <vt:lpwstr>mailto:office.secretary@rogersgroup.in</vt:lpwstr>
      </vt:variant>
      <vt:variant>
        <vt:lpwstr/>
      </vt:variant>
      <vt:variant>
        <vt:i4>3276890</vt:i4>
      </vt:variant>
      <vt:variant>
        <vt:i4>3</vt:i4>
      </vt:variant>
      <vt:variant>
        <vt:i4>0</vt:i4>
      </vt:variant>
      <vt:variant>
        <vt:i4>5</vt:i4>
      </vt:variant>
      <vt:variant>
        <vt:lpwstr>mailto:hrd@steril-gene.com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2018-03-22T06:08:00Z</cp:lastPrinted>
  <dcterms:created xsi:type="dcterms:W3CDTF">2025-03-17T12:43:00Z</dcterms:created>
  <dcterms:modified xsi:type="dcterms:W3CDTF">2025-07-25T08:07:00Z</dcterms:modified>
</cp:coreProperties>
</file>